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摩根中证碳中和</w:t>
      </w:r>
      <w:r w:rsidRPr="00473486">
        <w:rPr>
          <w:rFonts w:eastAsiaTheme="minorEastAsia"/>
          <w:b/>
          <w:color w:val="000000" w:themeColor="text1"/>
          <w:sz w:val="36"/>
          <w:szCs w:val="36"/>
        </w:rPr>
        <w:t>60</w:t>
      </w:r>
      <w:r w:rsidRPr="00473486">
        <w:rPr>
          <w:rFonts w:eastAsiaTheme="minorEastAsia"/>
          <w:b/>
          <w:color w:val="000000" w:themeColor="text1"/>
          <w:sz w:val="36"/>
          <w:szCs w:val="36"/>
        </w:rPr>
        <w:t>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1</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3</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基金托管人：交通银行股份有限公司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报告送出日期：二〇二四年四月二十二日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3</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摩根中证碳中和</w:t>
            </w:r>
            <w:r w:rsidRPr="00473486">
              <w:rPr>
                <w:rFonts w:eastAsiaTheme="minorEastAsia"/>
                <w:color w:val="000000" w:themeColor="text1"/>
                <w:kern w:val="0"/>
                <w:szCs w:val="21"/>
              </w:rPr>
              <w:t>60ETF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74,598,943.00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w:t>
            </w:r>
            <w:r>
              <w:rPr>
                <w:rFonts w:eastAsiaTheme="minorEastAsia"/>
                <w:color w:val="000000" w:themeColor="text1"/>
                <w:kern w:val="0"/>
                <w:szCs w:val="21"/>
              </w:rPr>
              <w:t>指数中其他成份股或备选成份股进行替代，以期在规定的风险承受限度内，尽量缩小跟踪误差。</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w:t>
            </w:r>
            <w:r>
              <w:rPr>
                <w:rFonts w:eastAsiaTheme="minorEastAsia"/>
                <w:color w:val="000000" w:themeColor="text1"/>
                <w:kern w:val="0"/>
                <w:szCs w:val="21"/>
              </w:rPr>
              <w:lastRenderedPageBreak/>
              <w:t>整，保证基金正常运行，从而有效跟踪标的指数。</w:t>
            </w:r>
          </w:p>
          <w:p w:rsidR="00D24EA0" w:rsidRDefault="00713D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本基金的业绩比较基准为标的指数，即中证碳中和</w:t>
            </w:r>
            <w:r w:rsidRPr="00473486">
              <w:rPr>
                <w:rFonts w:eastAsiaTheme="minorEastAsia"/>
                <w:color w:val="000000" w:themeColor="text1"/>
                <w:kern w:val="0"/>
                <w:szCs w:val="21"/>
              </w:rPr>
              <w:t>60</w:t>
            </w:r>
            <w:r w:rsidRPr="00473486">
              <w:rPr>
                <w:rFonts w:eastAsiaTheme="minorEastAsia"/>
                <w:color w:val="000000" w:themeColor="text1"/>
                <w:kern w:val="0"/>
                <w:szCs w:val="21"/>
              </w:rPr>
              <w:t>指数收益率。本基金标的指数变更的，相应更换基金名称和业绩比较基准，并在履行适当程序后及时公告。</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交通银行股份有限公司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bookmarkStart w:id="0" w:name="_GoBack"/>
      <w:bookmarkEnd w:id="0"/>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713D87" w:rsidRPr="00473486" w:rsidTr="00713D87">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3</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713D87" w:rsidRPr="00473486" w:rsidTr="00713D87">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-485,749.83</w:t>
            </w:r>
          </w:p>
        </w:tc>
      </w:tr>
      <w:tr w:rsidR="00713D87" w:rsidRPr="00473486" w:rsidTr="00713D87">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-228,951.82</w:t>
            </w:r>
          </w:p>
        </w:tc>
      </w:tr>
      <w:tr w:rsidR="00713D87" w:rsidRPr="00473486" w:rsidTr="00713D87">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-0.0043</w:t>
            </w:r>
          </w:p>
        </w:tc>
      </w:tr>
      <w:tr w:rsidR="00713D87" w:rsidRPr="00473486" w:rsidTr="00713D87">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54,890,635.37</w:t>
            </w:r>
          </w:p>
        </w:tc>
      </w:tr>
      <w:tr w:rsidR="00713D87" w:rsidRPr="00473486" w:rsidTr="00713D87">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0.7358</w:t>
            </w:r>
          </w:p>
        </w:tc>
      </w:tr>
    </w:tbl>
    <w:p w:rsidR="00D24EA0" w:rsidRDefault="00713D8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D24EA0">
        <w:tc>
          <w:tcPr>
            <w:tcW w:w="1395" w:type="dxa"/>
            <w:vAlign w:val="center"/>
          </w:tcPr>
          <w:p w:rsidR="00D24EA0" w:rsidRDefault="00713D87">
            <w:pPr>
              <w:jc w:val="left"/>
            </w:pPr>
            <w:r>
              <w:rPr>
                <w:rFonts w:eastAsiaTheme="minorEastAsia"/>
                <w:color w:val="000000" w:themeColor="text1"/>
                <w:szCs w:val="21"/>
              </w:rPr>
              <w:t>过去三个月</w:t>
            </w:r>
          </w:p>
        </w:tc>
        <w:tc>
          <w:tcPr>
            <w:tcW w:w="1092" w:type="dxa"/>
            <w:vAlign w:val="center"/>
          </w:tcPr>
          <w:p w:rsidR="00D24EA0" w:rsidRDefault="00713D87">
            <w:pPr>
              <w:jc w:val="center"/>
            </w:pPr>
            <w:r>
              <w:rPr>
                <w:rFonts w:eastAsiaTheme="minorEastAsia"/>
                <w:color w:val="000000" w:themeColor="text1"/>
                <w:szCs w:val="21"/>
              </w:rPr>
              <w:t>1.69%</w:t>
            </w:r>
          </w:p>
        </w:tc>
        <w:tc>
          <w:tcPr>
            <w:tcW w:w="1161" w:type="dxa"/>
            <w:vAlign w:val="center"/>
          </w:tcPr>
          <w:p w:rsidR="00D24EA0" w:rsidRDefault="00713D87">
            <w:pPr>
              <w:jc w:val="center"/>
            </w:pPr>
            <w:r>
              <w:rPr>
                <w:rFonts w:eastAsiaTheme="minorEastAsia"/>
                <w:color w:val="000000" w:themeColor="text1"/>
                <w:szCs w:val="21"/>
              </w:rPr>
              <w:t>1.35%</w:t>
            </w:r>
          </w:p>
        </w:tc>
        <w:tc>
          <w:tcPr>
            <w:tcW w:w="1181" w:type="dxa"/>
            <w:vAlign w:val="center"/>
          </w:tcPr>
          <w:p w:rsidR="00D24EA0" w:rsidRDefault="00713D87">
            <w:pPr>
              <w:jc w:val="center"/>
            </w:pPr>
            <w:r>
              <w:rPr>
                <w:rFonts w:eastAsiaTheme="minorEastAsia"/>
                <w:color w:val="000000" w:themeColor="text1"/>
                <w:szCs w:val="21"/>
              </w:rPr>
              <w:t>1.86%</w:t>
            </w:r>
          </w:p>
        </w:tc>
        <w:tc>
          <w:tcPr>
            <w:tcW w:w="1188" w:type="dxa"/>
            <w:vAlign w:val="center"/>
          </w:tcPr>
          <w:p w:rsidR="00D24EA0" w:rsidRDefault="00713D87">
            <w:pPr>
              <w:jc w:val="center"/>
            </w:pPr>
            <w:r>
              <w:rPr>
                <w:rFonts w:eastAsiaTheme="minorEastAsia"/>
                <w:color w:val="000000" w:themeColor="text1"/>
                <w:szCs w:val="21"/>
              </w:rPr>
              <w:t>1.35%</w:t>
            </w:r>
          </w:p>
        </w:tc>
        <w:tc>
          <w:tcPr>
            <w:tcW w:w="1199" w:type="dxa"/>
            <w:vAlign w:val="center"/>
          </w:tcPr>
          <w:p w:rsidR="00D24EA0" w:rsidRDefault="00713D87">
            <w:pPr>
              <w:jc w:val="center"/>
            </w:pPr>
            <w:r>
              <w:rPr>
                <w:rFonts w:eastAsiaTheme="minorEastAsia"/>
                <w:color w:val="000000" w:themeColor="text1"/>
                <w:szCs w:val="21"/>
              </w:rPr>
              <w:t>-0.17%</w:t>
            </w:r>
          </w:p>
        </w:tc>
        <w:tc>
          <w:tcPr>
            <w:tcW w:w="1204" w:type="dxa"/>
            <w:vAlign w:val="center"/>
          </w:tcPr>
          <w:p w:rsidR="00D24EA0" w:rsidRDefault="00713D87">
            <w:pPr>
              <w:jc w:val="center"/>
            </w:pPr>
            <w:r>
              <w:rPr>
                <w:rFonts w:eastAsiaTheme="minorEastAsia"/>
                <w:color w:val="000000" w:themeColor="text1"/>
                <w:szCs w:val="21"/>
              </w:rPr>
              <w:t>0.00%</w:t>
            </w:r>
          </w:p>
        </w:tc>
      </w:tr>
      <w:tr w:rsidR="00D24EA0">
        <w:tc>
          <w:tcPr>
            <w:tcW w:w="1395" w:type="dxa"/>
            <w:vAlign w:val="center"/>
          </w:tcPr>
          <w:p w:rsidR="00D24EA0" w:rsidRDefault="00713D87">
            <w:pPr>
              <w:jc w:val="left"/>
            </w:pPr>
            <w:r>
              <w:rPr>
                <w:rFonts w:eastAsiaTheme="minorEastAsia"/>
                <w:color w:val="000000" w:themeColor="text1"/>
                <w:szCs w:val="21"/>
              </w:rPr>
              <w:t>过去六个月</w:t>
            </w:r>
          </w:p>
        </w:tc>
        <w:tc>
          <w:tcPr>
            <w:tcW w:w="1092" w:type="dxa"/>
            <w:vAlign w:val="center"/>
          </w:tcPr>
          <w:p w:rsidR="00D24EA0" w:rsidRDefault="00713D87">
            <w:pPr>
              <w:jc w:val="center"/>
            </w:pPr>
            <w:r>
              <w:rPr>
                <w:rFonts w:eastAsiaTheme="minorEastAsia"/>
                <w:color w:val="000000" w:themeColor="text1"/>
                <w:szCs w:val="21"/>
              </w:rPr>
              <w:t>-7.89%</w:t>
            </w:r>
          </w:p>
        </w:tc>
        <w:tc>
          <w:tcPr>
            <w:tcW w:w="1161" w:type="dxa"/>
            <w:vAlign w:val="center"/>
          </w:tcPr>
          <w:p w:rsidR="00D24EA0" w:rsidRDefault="00713D87">
            <w:pPr>
              <w:jc w:val="center"/>
            </w:pPr>
            <w:r>
              <w:rPr>
                <w:rFonts w:eastAsiaTheme="minorEastAsia"/>
                <w:color w:val="000000" w:themeColor="text1"/>
                <w:szCs w:val="21"/>
              </w:rPr>
              <w:t>1.25%</w:t>
            </w:r>
          </w:p>
        </w:tc>
        <w:tc>
          <w:tcPr>
            <w:tcW w:w="1181" w:type="dxa"/>
            <w:vAlign w:val="center"/>
          </w:tcPr>
          <w:p w:rsidR="00D24EA0" w:rsidRDefault="00713D87">
            <w:pPr>
              <w:jc w:val="center"/>
            </w:pPr>
            <w:r>
              <w:rPr>
                <w:rFonts w:eastAsiaTheme="minorEastAsia"/>
                <w:color w:val="000000" w:themeColor="text1"/>
                <w:szCs w:val="21"/>
              </w:rPr>
              <w:t>-7.52%</w:t>
            </w:r>
          </w:p>
        </w:tc>
        <w:tc>
          <w:tcPr>
            <w:tcW w:w="1188" w:type="dxa"/>
            <w:vAlign w:val="center"/>
          </w:tcPr>
          <w:p w:rsidR="00D24EA0" w:rsidRDefault="00713D87">
            <w:pPr>
              <w:jc w:val="center"/>
            </w:pPr>
            <w:r>
              <w:rPr>
                <w:rFonts w:eastAsiaTheme="minorEastAsia"/>
                <w:color w:val="000000" w:themeColor="text1"/>
                <w:szCs w:val="21"/>
              </w:rPr>
              <w:t>1.25%</w:t>
            </w:r>
          </w:p>
        </w:tc>
        <w:tc>
          <w:tcPr>
            <w:tcW w:w="1199" w:type="dxa"/>
            <w:vAlign w:val="center"/>
          </w:tcPr>
          <w:p w:rsidR="00D24EA0" w:rsidRDefault="00713D87">
            <w:pPr>
              <w:jc w:val="center"/>
            </w:pPr>
            <w:r>
              <w:rPr>
                <w:rFonts w:eastAsiaTheme="minorEastAsia"/>
                <w:color w:val="000000" w:themeColor="text1"/>
                <w:szCs w:val="21"/>
              </w:rPr>
              <w:t>-0.37%</w:t>
            </w:r>
          </w:p>
        </w:tc>
        <w:tc>
          <w:tcPr>
            <w:tcW w:w="1204" w:type="dxa"/>
            <w:vAlign w:val="center"/>
          </w:tcPr>
          <w:p w:rsidR="00D24EA0" w:rsidRDefault="00713D87">
            <w:pPr>
              <w:jc w:val="center"/>
            </w:pPr>
            <w:r>
              <w:rPr>
                <w:rFonts w:eastAsiaTheme="minorEastAsia"/>
                <w:color w:val="000000" w:themeColor="text1"/>
                <w:szCs w:val="21"/>
              </w:rPr>
              <w:t>0.00%</w:t>
            </w:r>
          </w:p>
        </w:tc>
      </w:tr>
      <w:tr w:rsidR="00D24EA0">
        <w:tc>
          <w:tcPr>
            <w:tcW w:w="1395" w:type="dxa"/>
            <w:vAlign w:val="center"/>
          </w:tcPr>
          <w:p w:rsidR="00D24EA0" w:rsidRDefault="00713D87">
            <w:pPr>
              <w:jc w:val="left"/>
            </w:pPr>
            <w:r>
              <w:rPr>
                <w:rFonts w:eastAsiaTheme="minorEastAsia"/>
                <w:color w:val="000000" w:themeColor="text1"/>
                <w:szCs w:val="21"/>
              </w:rPr>
              <w:t>过去一年</w:t>
            </w:r>
          </w:p>
        </w:tc>
        <w:tc>
          <w:tcPr>
            <w:tcW w:w="1092" w:type="dxa"/>
            <w:vAlign w:val="center"/>
          </w:tcPr>
          <w:p w:rsidR="00D24EA0" w:rsidRDefault="00713D87">
            <w:pPr>
              <w:jc w:val="center"/>
            </w:pPr>
            <w:r>
              <w:rPr>
                <w:rFonts w:eastAsiaTheme="minorEastAsia"/>
                <w:color w:val="000000" w:themeColor="text1"/>
                <w:szCs w:val="21"/>
              </w:rPr>
              <w:t>-22.60%</w:t>
            </w:r>
          </w:p>
        </w:tc>
        <w:tc>
          <w:tcPr>
            <w:tcW w:w="1161" w:type="dxa"/>
            <w:vAlign w:val="center"/>
          </w:tcPr>
          <w:p w:rsidR="00D24EA0" w:rsidRDefault="00713D87">
            <w:pPr>
              <w:jc w:val="center"/>
            </w:pPr>
            <w:r>
              <w:rPr>
                <w:rFonts w:eastAsiaTheme="minorEastAsia"/>
                <w:color w:val="000000" w:themeColor="text1"/>
                <w:szCs w:val="21"/>
              </w:rPr>
              <w:t>1.17%</w:t>
            </w:r>
          </w:p>
        </w:tc>
        <w:tc>
          <w:tcPr>
            <w:tcW w:w="1181" w:type="dxa"/>
            <w:vAlign w:val="center"/>
          </w:tcPr>
          <w:p w:rsidR="00D24EA0" w:rsidRDefault="00713D87">
            <w:pPr>
              <w:jc w:val="center"/>
            </w:pPr>
            <w:r>
              <w:rPr>
                <w:rFonts w:eastAsiaTheme="minorEastAsia"/>
                <w:color w:val="000000" w:themeColor="text1"/>
                <w:szCs w:val="21"/>
              </w:rPr>
              <w:t>-23.27%</w:t>
            </w:r>
          </w:p>
        </w:tc>
        <w:tc>
          <w:tcPr>
            <w:tcW w:w="1188" w:type="dxa"/>
            <w:vAlign w:val="center"/>
          </w:tcPr>
          <w:p w:rsidR="00D24EA0" w:rsidRDefault="00713D87">
            <w:pPr>
              <w:jc w:val="center"/>
            </w:pPr>
            <w:r>
              <w:rPr>
                <w:rFonts w:eastAsiaTheme="minorEastAsia"/>
                <w:color w:val="000000" w:themeColor="text1"/>
                <w:szCs w:val="21"/>
              </w:rPr>
              <w:t>1.18%</w:t>
            </w:r>
          </w:p>
        </w:tc>
        <w:tc>
          <w:tcPr>
            <w:tcW w:w="1199" w:type="dxa"/>
            <w:vAlign w:val="center"/>
          </w:tcPr>
          <w:p w:rsidR="00D24EA0" w:rsidRDefault="00713D87">
            <w:pPr>
              <w:jc w:val="center"/>
            </w:pPr>
            <w:r>
              <w:rPr>
                <w:rFonts w:eastAsiaTheme="minorEastAsia"/>
                <w:color w:val="000000" w:themeColor="text1"/>
                <w:szCs w:val="21"/>
              </w:rPr>
              <w:t>0.67%</w:t>
            </w:r>
          </w:p>
        </w:tc>
        <w:tc>
          <w:tcPr>
            <w:tcW w:w="1204" w:type="dxa"/>
            <w:vAlign w:val="center"/>
          </w:tcPr>
          <w:p w:rsidR="00D24EA0" w:rsidRDefault="00713D87">
            <w:pPr>
              <w:jc w:val="center"/>
            </w:pPr>
            <w:r>
              <w:rPr>
                <w:rFonts w:eastAsiaTheme="minorEastAsia"/>
                <w:color w:val="000000" w:themeColor="text1"/>
                <w:szCs w:val="21"/>
              </w:rPr>
              <w:t>-0.01%</w:t>
            </w:r>
          </w:p>
        </w:tc>
      </w:tr>
      <w:tr w:rsidR="00D24EA0">
        <w:tc>
          <w:tcPr>
            <w:tcW w:w="1395" w:type="dxa"/>
            <w:vAlign w:val="center"/>
          </w:tcPr>
          <w:p w:rsidR="00D24EA0" w:rsidRDefault="00713D87">
            <w:pPr>
              <w:jc w:val="left"/>
            </w:pPr>
            <w:r>
              <w:rPr>
                <w:rFonts w:eastAsiaTheme="minorEastAsia"/>
                <w:color w:val="000000" w:themeColor="text1"/>
                <w:szCs w:val="21"/>
              </w:rPr>
              <w:t>过去三年</w:t>
            </w:r>
          </w:p>
        </w:tc>
        <w:tc>
          <w:tcPr>
            <w:tcW w:w="1092" w:type="dxa"/>
            <w:vAlign w:val="center"/>
          </w:tcPr>
          <w:p w:rsidR="00D24EA0" w:rsidRDefault="00713D87">
            <w:pPr>
              <w:jc w:val="center"/>
            </w:pPr>
            <w:r>
              <w:rPr>
                <w:rFonts w:eastAsiaTheme="minorEastAsia"/>
                <w:color w:val="000000" w:themeColor="text1"/>
                <w:szCs w:val="21"/>
              </w:rPr>
              <w:t>-</w:t>
            </w:r>
          </w:p>
        </w:tc>
        <w:tc>
          <w:tcPr>
            <w:tcW w:w="1161" w:type="dxa"/>
            <w:vAlign w:val="center"/>
          </w:tcPr>
          <w:p w:rsidR="00D24EA0" w:rsidRDefault="00713D87">
            <w:pPr>
              <w:jc w:val="center"/>
            </w:pPr>
            <w:r>
              <w:rPr>
                <w:rFonts w:eastAsiaTheme="minorEastAsia"/>
                <w:color w:val="000000" w:themeColor="text1"/>
                <w:szCs w:val="21"/>
              </w:rPr>
              <w:t>-</w:t>
            </w:r>
          </w:p>
        </w:tc>
        <w:tc>
          <w:tcPr>
            <w:tcW w:w="1181" w:type="dxa"/>
            <w:vAlign w:val="center"/>
          </w:tcPr>
          <w:p w:rsidR="00D24EA0" w:rsidRDefault="00713D87">
            <w:pPr>
              <w:jc w:val="center"/>
            </w:pPr>
            <w:r>
              <w:rPr>
                <w:rFonts w:eastAsiaTheme="minorEastAsia"/>
                <w:color w:val="000000" w:themeColor="text1"/>
                <w:szCs w:val="21"/>
              </w:rPr>
              <w:t>-</w:t>
            </w:r>
          </w:p>
        </w:tc>
        <w:tc>
          <w:tcPr>
            <w:tcW w:w="1188" w:type="dxa"/>
            <w:vAlign w:val="center"/>
          </w:tcPr>
          <w:p w:rsidR="00D24EA0" w:rsidRDefault="00713D87">
            <w:pPr>
              <w:jc w:val="center"/>
            </w:pPr>
            <w:r>
              <w:rPr>
                <w:rFonts w:eastAsiaTheme="minorEastAsia"/>
                <w:color w:val="000000" w:themeColor="text1"/>
                <w:szCs w:val="21"/>
              </w:rPr>
              <w:t>-</w:t>
            </w:r>
          </w:p>
        </w:tc>
        <w:tc>
          <w:tcPr>
            <w:tcW w:w="1199" w:type="dxa"/>
            <w:vAlign w:val="center"/>
          </w:tcPr>
          <w:p w:rsidR="00D24EA0" w:rsidRDefault="00713D87">
            <w:pPr>
              <w:jc w:val="center"/>
            </w:pPr>
            <w:r>
              <w:rPr>
                <w:rFonts w:eastAsiaTheme="minorEastAsia"/>
                <w:color w:val="000000" w:themeColor="text1"/>
                <w:szCs w:val="21"/>
              </w:rPr>
              <w:t>-</w:t>
            </w:r>
          </w:p>
        </w:tc>
        <w:tc>
          <w:tcPr>
            <w:tcW w:w="1204" w:type="dxa"/>
            <w:vAlign w:val="center"/>
          </w:tcPr>
          <w:p w:rsidR="00D24EA0" w:rsidRDefault="00713D87">
            <w:pPr>
              <w:jc w:val="center"/>
            </w:pPr>
            <w:r>
              <w:rPr>
                <w:rFonts w:eastAsiaTheme="minorEastAsia"/>
                <w:color w:val="000000" w:themeColor="text1"/>
                <w:szCs w:val="21"/>
              </w:rPr>
              <w:t>-</w:t>
            </w:r>
          </w:p>
        </w:tc>
      </w:tr>
      <w:tr w:rsidR="00D24EA0">
        <w:tc>
          <w:tcPr>
            <w:tcW w:w="1395" w:type="dxa"/>
            <w:vAlign w:val="center"/>
          </w:tcPr>
          <w:p w:rsidR="00D24EA0" w:rsidRDefault="00713D87">
            <w:pPr>
              <w:jc w:val="left"/>
            </w:pPr>
            <w:r>
              <w:rPr>
                <w:rFonts w:eastAsiaTheme="minorEastAsia"/>
                <w:color w:val="000000" w:themeColor="text1"/>
                <w:szCs w:val="21"/>
              </w:rPr>
              <w:t>过去五年</w:t>
            </w:r>
          </w:p>
        </w:tc>
        <w:tc>
          <w:tcPr>
            <w:tcW w:w="1092" w:type="dxa"/>
            <w:vAlign w:val="center"/>
          </w:tcPr>
          <w:p w:rsidR="00D24EA0" w:rsidRDefault="00713D87">
            <w:pPr>
              <w:jc w:val="center"/>
            </w:pPr>
            <w:r>
              <w:rPr>
                <w:rFonts w:eastAsiaTheme="minorEastAsia"/>
                <w:color w:val="000000" w:themeColor="text1"/>
                <w:szCs w:val="21"/>
              </w:rPr>
              <w:t>-</w:t>
            </w:r>
          </w:p>
        </w:tc>
        <w:tc>
          <w:tcPr>
            <w:tcW w:w="1161" w:type="dxa"/>
            <w:vAlign w:val="center"/>
          </w:tcPr>
          <w:p w:rsidR="00D24EA0" w:rsidRDefault="00713D87">
            <w:pPr>
              <w:jc w:val="center"/>
            </w:pPr>
            <w:r>
              <w:rPr>
                <w:rFonts w:eastAsiaTheme="minorEastAsia"/>
                <w:color w:val="000000" w:themeColor="text1"/>
                <w:szCs w:val="21"/>
              </w:rPr>
              <w:t>-</w:t>
            </w:r>
          </w:p>
        </w:tc>
        <w:tc>
          <w:tcPr>
            <w:tcW w:w="1181" w:type="dxa"/>
            <w:vAlign w:val="center"/>
          </w:tcPr>
          <w:p w:rsidR="00D24EA0" w:rsidRDefault="00713D87">
            <w:pPr>
              <w:jc w:val="center"/>
            </w:pPr>
            <w:r>
              <w:rPr>
                <w:rFonts w:eastAsiaTheme="minorEastAsia"/>
                <w:color w:val="000000" w:themeColor="text1"/>
                <w:szCs w:val="21"/>
              </w:rPr>
              <w:t>-</w:t>
            </w:r>
          </w:p>
        </w:tc>
        <w:tc>
          <w:tcPr>
            <w:tcW w:w="1188" w:type="dxa"/>
            <w:vAlign w:val="center"/>
          </w:tcPr>
          <w:p w:rsidR="00D24EA0" w:rsidRDefault="00713D87">
            <w:pPr>
              <w:jc w:val="center"/>
            </w:pPr>
            <w:r>
              <w:rPr>
                <w:rFonts w:eastAsiaTheme="minorEastAsia"/>
                <w:color w:val="000000" w:themeColor="text1"/>
                <w:szCs w:val="21"/>
              </w:rPr>
              <w:t>-</w:t>
            </w:r>
          </w:p>
        </w:tc>
        <w:tc>
          <w:tcPr>
            <w:tcW w:w="1199" w:type="dxa"/>
            <w:vAlign w:val="center"/>
          </w:tcPr>
          <w:p w:rsidR="00D24EA0" w:rsidRDefault="00713D87">
            <w:pPr>
              <w:jc w:val="center"/>
            </w:pPr>
            <w:r>
              <w:rPr>
                <w:rFonts w:eastAsiaTheme="minorEastAsia"/>
                <w:color w:val="000000" w:themeColor="text1"/>
                <w:szCs w:val="21"/>
              </w:rPr>
              <w:t>-</w:t>
            </w:r>
          </w:p>
        </w:tc>
        <w:tc>
          <w:tcPr>
            <w:tcW w:w="1204" w:type="dxa"/>
            <w:vAlign w:val="center"/>
          </w:tcPr>
          <w:p w:rsidR="00D24EA0" w:rsidRDefault="00713D87">
            <w:pPr>
              <w:jc w:val="center"/>
            </w:pPr>
            <w:r>
              <w:rPr>
                <w:rFonts w:eastAsiaTheme="minorEastAsia"/>
                <w:color w:val="000000" w:themeColor="text1"/>
                <w:szCs w:val="21"/>
              </w:rPr>
              <w:t>-</w:t>
            </w:r>
          </w:p>
        </w:tc>
      </w:tr>
      <w:tr w:rsidR="00D24EA0">
        <w:tc>
          <w:tcPr>
            <w:tcW w:w="1395" w:type="dxa"/>
            <w:vAlign w:val="center"/>
          </w:tcPr>
          <w:p w:rsidR="00D24EA0" w:rsidRDefault="00713D87">
            <w:pPr>
              <w:jc w:val="left"/>
            </w:pPr>
            <w:r>
              <w:rPr>
                <w:rFonts w:eastAsiaTheme="minorEastAsia"/>
                <w:color w:val="000000" w:themeColor="text1"/>
                <w:szCs w:val="21"/>
              </w:rPr>
              <w:t>自基金合同生效起至今</w:t>
            </w:r>
          </w:p>
        </w:tc>
        <w:tc>
          <w:tcPr>
            <w:tcW w:w="1092" w:type="dxa"/>
            <w:vAlign w:val="center"/>
          </w:tcPr>
          <w:p w:rsidR="00D24EA0" w:rsidRDefault="00713D87">
            <w:pPr>
              <w:jc w:val="center"/>
            </w:pPr>
            <w:r>
              <w:rPr>
                <w:rFonts w:eastAsiaTheme="minorEastAsia"/>
                <w:color w:val="000000" w:themeColor="text1"/>
                <w:szCs w:val="21"/>
              </w:rPr>
              <w:t>-26.42%</w:t>
            </w:r>
          </w:p>
        </w:tc>
        <w:tc>
          <w:tcPr>
            <w:tcW w:w="1161" w:type="dxa"/>
            <w:vAlign w:val="center"/>
          </w:tcPr>
          <w:p w:rsidR="00D24EA0" w:rsidRDefault="00713D87">
            <w:pPr>
              <w:jc w:val="center"/>
            </w:pPr>
            <w:r>
              <w:rPr>
                <w:rFonts w:eastAsiaTheme="minorEastAsia"/>
                <w:color w:val="000000" w:themeColor="text1"/>
                <w:szCs w:val="21"/>
              </w:rPr>
              <w:t>1.11%</w:t>
            </w:r>
          </w:p>
        </w:tc>
        <w:tc>
          <w:tcPr>
            <w:tcW w:w="1181" w:type="dxa"/>
            <w:vAlign w:val="center"/>
          </w:tcPr>
          <w:p w:rsidR="00D24EA0" w:rsidRDefault="00713D87">
            <w:pPr>
              <w:jc w:val="center"/>
            </w:pPr>
            <w:r>
              <w:rPr>
                <w:rFonts w:eastAsiaTheme="minorEastAsia"/>
                <w:color w:val="000000" w:themeColor="text1"/>
                <w:szCs w:val="21"/>
              </w:rPr>
              <w:t>-24.10%</w:t>
            </w:r>
          </w:p>
        </w:tc>
        <w:tc>
          <w:tcPr>
            <w:tcW w:w="1188" w:type="dxa"/>
            <w:vAlign w:val="center"/>
          </w:tcPr>
          <w:p w:rsidR="00D24EA0" w:rsidRDefault="00713D87">
            <w:pPr>
              <w:jc w:val="center"/>
            </w:pPr>
            <w:r>
              <w:rPr>
                <w:rFonts w:eastAsiaTheme="minorEastAsia"/>
                <w:color w:val="000000" w:themeColor="text1"/>
                <w:szCs w:val="21"/>
              </w:rPr>
              <w:t>1.15%</w:t>
            </w:r>
          </w:p>
        </w:tc>
        <w:tc>
          <w:tcPr>
            <w:tcW w:w="1199" w:type="dxa"/>
            <w:vAlign w:val="center"/>
          </w:tcPr>
          <w:p w:rsidR="00D24EA0" w:rsidRDefault="00713D87">
            <w:pPr>
              <w:jc w:val="center"/>
            </w:pPr>
            <w:r>
              <w:rPr>
                <w:rFonts w:eastAsiaTheme="minorEastAsia"/>
                <w:color w:val="000000" w:themeColor="text1"/>
                <w:szCs w:val="21"/>
              </w:rPr>
              <w:t>-2.32%</w:t>
            </w:r>
          </w:p>
        </w:tc>
        <w:tc>
          <w:tcPr>
            <w:tcW w:w="1204" w:type="dxa"/>
            <w:vAlign w:val="center"/>
          </w:tcPr>
          <w:p w:rsidR="00D24EA0" w:rsidRDefault="00713D87">
            <w:pPr>
              <w:jc w:val="center"/>
            </w:pPr>
            <w:r>
              <w:rPr>
                <w:rFonts w:eastAsiaTheme="minorEastAsia"/>
                <w:color w:val="000000" w:themeColor="text1"/>
                <w:szCs w:val="21"/>
              </w:rPr>
              <w:t>-0.04%</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摩根中证碳中和</w:t>
      </w:r>
      <w:r w:rsidRPr="00473486">
        <w:rPr>
          <w:rFonts w:eastAsiaTheme="minorEastAsia"/>
          <w:color w:val="000000" w:themeColor="text1"/>
          <w:szCs w:val="21"/>
        </w:rPr>
        <w:t>60</w:t>
      </w:r>
      <w:r w:rsidRPr="00473486">
        <w:rPr>
          <w:rFonts w:eastAsiaTheme="minorEastAsia"/>
          <w:color w:val="000000" w:themeColor="text1"/>
          <w:szCs w:val="21"/>
        </w:rPr>
        <w:t>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24EA0" w:rsidRDefault="00713D8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D24EA0">
        <w:tc>
          <w:tcPr>
            <w:tcW w:w="851" w:type="dxa"/>
            <w:vAlign w:val="center"/>
          </w:tcPr>
          <w:p w:rsidR="00D24EA0" w:rsidRDefault="00713D87">
            <w:pPr>
              <w:jc w:val="center"/>
            </w:pPr>
            <w:r>
              <w:rPr>
                <w:rFonts w:eastAsiaTheme="minorEastAsia"/>
                <w:color w:val="000000" w:themeColor="text1"/>
                <w:szCs w:val="21"/>
              </w:rPr>
              <w:t>毛时超</w:t>
            </w:r>
          </w:p>
        </w:tc>
        <w:tc>
          <w:tcPr>
            <w:tcW w:w="850" w:type="dxa"/>
            <w:vAlign w:val="center"/>
          </w:tcPr>
          <w:p w:rsidR="00D24EA0" w:rsidRDefault="00713D87">
            <w:pPr>
              <w:jc w:val="center"/>
            </w:pPr>
            <w:r>
              <w:rPr>
                <w:rFonts w:eastAsiaTheme="minorEastAsia"/>
                <w:color w:val="000000" w:themeColor="text1"/>
                <w:szCs w:val="21"/>
              </w:rPr>
              <w:t>本基金基金经理</w:t>
            </w:r>
          </w:p>
        </w:tc>
        <w:tc>
          <w:tcPr>
            <w:tcW w:w="1560" w:type="dxa"/>
            <w:vAlign w:val="center"/>
          </w:tcPr>
          <w:p w:rsidR="00D24EA0" w:rsidRDefault="00713D87">
            <w:pPr>
              <w:jc w:val="center"/>
            </w:pPr>
            <w:r>
              <w:rPr>
                <w:rFonts w:eastAsiaTheme="minorEastAsia"/>
                <w:color w:val="000000" w:themeColor="text1"/>
                <w:szCs w:val="21"/>
              </w:rPr>
              <w:t>2022-12-29</w:t>
            </w:r>
          </w:p>
        </w:tc>
        <w:tc>
          <w:tcPr>
            <w:tcW w:w="1559" w:type="dxa"/>
            <w:vAlign w:val="center"/>
          </w:tcPr>
          <w:p w:rsidR="00D24EA0" w:rsidRDefault="00713D87">
            <w:pPr>
              <w:jc w:val="center"/>
            </w:pPr>
            <w:r>
              <w:rPr>
                <w:rFonts w:eastAsiaTheme="minorEastAsia"/>
                <w:color w:val="000000" w:themeColor="text1"/>
                <w:szCs w:val="21"/>
              </w:rPr>
              <w:t>-</w:t>
            </w:r>
          </w:p>
        </w:tc>
        <w:tc>
          <w:tcPr>
            <w:tcW w:w="1417" w:type="dxa"/>
            <w:vAlign w:val="center"/>
          </w:tcPr>
          <w:p w:rsidR="00D24EA0" w:rsidRDefault="00713D87">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rsidR="00D24EA0" w:rsidRDefault="00713D87">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rsidR="00D24EA0" w:rsidRDefault="00713D8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24EA0" w:rsidRDefault="00713D8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w:t>
      </w:r>
      <w:r>
        <w:rPr>
          <w:rFonts w:eastAsiaTheme="minorEastAsia"/>
          <w:color w:val="000000" w:themeColor="text1"/>
          <w:szCs w:val="21"/>
        </w:rPr>
        <w:t>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w:t>
      </w:r>
      <w:r>
        <w:rPr>
          <w:rFonts w:eastAsiaTheme="minorEastAsia"/>
          <w:color w:val="000000" w:themeColor="text1"/>
          <w:szCs w:val="21"/>
        </w:rPr>
        <w:t>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本基金投资跟踪的碳中和</w:t>
      </w:r>
      <w:r>
        <w:rPr>
          <w:rFonts w:eastAsiaTheme="minorEastAsia"/>
          <w:color w:val="000000" w:themeColor="text1"/>
          <w:szCs w:val="21"/>
        </w:rPr>
        <w:t>60</w:t>
      </w:r>
      <w:r>
        <w:rPr>
          <w:rFonts w:eastAsiaTheme="minorEastAsia"/>
          <w:color w:val="000000" w:themeColor="text1"/>
          <w:szCs w:val="21"/>
        </w:rPr>
        <w:t>指数，选取清洁能源与储能等深度低碳领域、火电等高碳</w:t>
      </w:r>
      <w:r>
        <w:rPr>
          <w:rFonts w:eastAsiaTheme="minorEastAsia"/>
          <w:color w:val="000000" w:themeColor="text1"/>
          <w:szCs w:val="21"/>
        </w:rPr>
        <w:lastRenderedPageBreak/>
        <w:t>减排领域的</w:t>
      </w:r>
      <w:r>
        <w:rPr>
          <w:rFonts w:eastAsiaTheme="minorEastAsia"/>
          <w:color w:val="000000" w:themeColor="text1"/>
          <w:szCs w:val="21"/>
        </w:rPr>
        <w:t>60</w:t>
      </w:r>
      <w:r>
        <w:rPr>
          <w:rFonts w:eastAsiaTheme="minorEastAsia"/>
          <w:color w:val="000000" w:themeColor="text1"/>
          <w:szCs w:val="21"/>
        </w:rPr>
        <w:t>只上市公司股票作为指数样本，以反映对碳中和贡献较大的上市公司的整体表现。从行业权重分布来看，截至本季度末，电力设备及新能源行业占比最大，其次是电力及公用事业。</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深度低碳板块相关的公司，由于过去几年大幅扩产，出现竞争加剧、需求增速下滑、产品价格回落的情况，股价整体呈现持续下跌的趋势。高碳减排板块相关的股票，由于绝对估值水平不高，具有一定防御属性表现较好。由于前者权重较高，对指数整体收益形成较大拖累。</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本基金采用复制标的指数的投资策略，基于多套系统处理日常的申购赎回等行为，力争将跟踪误差控制在合理水平。</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实现碳中和、控制气温升高已经成为全球共识，碳中和目标已经成为我国重要的国策，本基金跟踪投资的碳中和领域相关公司，当前估值水平处于较低位置，相关公司投资扩产的增速降低，行业竞争局面相比之前大幅改善，中长期来看或具有较高的投资性价比。</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本报告期摩根中证碳中和</w:t>
      </w:r>
      <w:r w:rsidRPr="00473486">
        <w:rPr>
          <w:rFonts w:eastAsiaTheme="minorEastAsia"/>
          <w:color w:val="000000" w:themeColor="text1"/>
          <w:szCs w:val="21"/>
        </w:rPr>
        <w:t>60ETF</w:t>
      </w:r>
      <w:r w:rsidRPr="00473486">
        <w:rPr>
          <w:rFonts w:eastAsiaTheme="minorEastAsia"/>
          <w:color w:val="000000" w:themeColor="text1"/>
          <w:szCs w:val="21"/>
        </w:rPr>
        <w:t>份额净值增长率为</w:t>
      </w:r>
      <w:r w:rsidRPr="00473486">
        <w:rPr>
          <w:rFonts w:eastAsiaTheme="minorEastAsia"/>
          <w:color w:val="000000" w:themeColor="text1"/>
          <w:szCs w:val="21"/>
        </w:rPr>
        <w:t>:1.69%</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:1.86%</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08</w:t>
      </w:r>
      <w:r>
        <w:rPr>
          <w:rFonts w:eastAsiaTheme="minorEastAsia"/>
          <w:color w:val="000000" w:themeColor="text1"/>
          <w:kern w:val="0"/>
          <w:szCs w:val="21"/>
        </w:rPr>
        <w:t>日。</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基金管理人拟调整本基金运作方式，加大营销力度，提升基金规模，方案已报监管机关。</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54,784,852.83</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99.44</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54,784,852.83</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99.44</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291,225.28</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0.53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19,298.80</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0.04</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55,095,376.91</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225,324.00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40,294,585.87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73.41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12,832,596.96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23.38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1,432,346.00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2.61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54,784,852.83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99.81</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D24EA0">
        <w:tc>
          <w:tcPr>
            <w:tcW w:w="817" w:type="dxa"/>
            <w:vAlign w:val="center"/>
          </w:tcPr>
          <w:p w:rsidR="00D24EA0" w:rsidRDefault="00713D87">
            <w:pPr>
              <w:jc w:val="center"/>
            </w:pPr>
            <w:r>
              <w:rPr>
                <w:rFonts w:eastAsiaTheme="minorEastAsia"/>
                <w:color w:val="000000" w:themeColor="text1"/>
                <w:szCs w:val="21"/>
              </w:rPr>
              <w:t>1</w:t>
            </w:r>
          </w:p>
        </w:tc>
        <w:tc>
          <w:tcPr>
            <w:tcW w:w="1276" w:type="dxa"/>
            <w:vAlign w:val="center"/>
          </w:tcPr>
          <w:p w:rsidR="00D24EA0" w:rsidRDefault="00713D87">
            <w:pPr>
              <w:jc w:val="center"/>
            </w:pPr>
            <w:r>
              <w:rPr>
                <w:rFonts w:eastAsiaTheme="minorEastAsia"/>
                <w:color w:val="000000" w:themeColor="text1"/>
                <w:szCs w:val="21"/>
              </w:rPr>
              <w:t>300750</w:t>
            </w:r>
          </w:p>
        </w:tc>
        <w:tc>
          <w:tcPr>
            <w:tcW w:w="1701" w:type="dxa"/>
            <w:vAlign w:val="center"/>
          </w:tcPr>
          <w:p w:rsidR="00D24EA0" w:rsidRDefault="00713D87">
            <w:pPr>
              <w:jc w:val="center"/>
            </w:pPr>
            <w:r>
              <w:rPr>
                <w:rFonts w:eastAsiaTheme="minorEastAsia"/>
                <w:color w:val="000000" w:themeColor="text1"/>
                <w:szCs w:val="21"/>
              </w:rPr>
              <w:t>宁德时代</w:t>
            </w:r>
          </w:p>
        </w:tc>
        <w:tc>
          <w:tcPr>
            <w:tcW w:w="1276" w:type="dxa"/>
            <w:vAlign w:val="center"/>
          </w:tcPr>
          <w:p w:rsidR="00D24EA0" w:rsidRDefault="00713D87">
            <w:pPr>
              <w:jc w:val="right"/>
            </w:pPr>
            <w:r>
              <w:rPr>
                <w:rFonts w:eastAsiaTheme="minorEastAsia"/>
                <w:color w:val="000000" w:themeColor="text1"/>
                <w:szCs w:val="21"/>
              </w:rPr>
              <w:t>32,504.00</w:t>
            </w:r>
          </w:p>
        </w:tc>
        <w:tc>
          <w:tcPr>
            <w:tcW w:w="1842" w:type="dxa"/>
            <w:vAlign w:val="center"/>
          </w:tcPr>
          <w:p w:rsidR="00D24EA0" w:rsidRDefault="00713D87">
            <w:pPr>
              <w:jc w:val="right"/>
            </w:pPr>
            <w:r>
              <w:rPr>
                <w:rFonts w:eastAsiaTheme="minorEastAsia"/>
                <w:color w:val="000000" w:themeColor="text1"/>
                <w:szCs w:val="21"/>
              </w:rPr>
              <w:t>6,180,960.64</w:t>
            </w:r>
          </w:p>
        </w:tc>
        <w:tc>
          <w:tcPr>
            <w:tcW w:w="1616" w:type="dxa"/>
            <w:vAlign w:val="center"/>
          </w:tcPr>
          <w:p w:rsidR="00D24EA0" w:rsidRDefault="00713D87">
            <w:pPr>
              <w:jc w:val="right"/>
            </w:pPr>
            <w:r>
              <w:rPr>
                <w:rFonts w:eastAsiaTheme="minorEastAsia"/>
                <w:color w:val="000000" w:themeColor="text1"/>
                <w:szCs w:val="21"/>
              </w:rPr>
              <w:t>11.26</w:t>
            </w:r>
          </w:p>
        </w:tc>
      </w:tr>
      <w:tr w:rsidR="00D24EA0">
        <w:tc>
          <w:tcPr>
            <w:tcW w:w="817" w:type="dxa"/>
            <w:vAlign w:val="center"/>
          </w:tcPr>
          <w:p w:rsidR="00D24EA0" w:rsidRDefault="00713D87">
            <w:pPr>
              <w:jc w:val="center"/>
            </w:pPr>
            <w:r>
              <w:rPr>
                <w:rFonts w:eastAsiaTheme="minorEastAsia"/>
                <w:color w:val="000000" w:themeColor="text1"/>
                <w:szCs w:val="21"/>
              </w:rPr>
              <w:t>2</w:t>
            </w:r>
          </w:p>
        </w:tc>
        <w:tc>
          <w:tcPr>
            <w:tcW w:w="1276" w:type="dxa"/>
            <w:vAlign w:val="center"/>
          </w:tcPr>
          <w:p w:rsidR="00D24EA0" w:rsidRDefault="00713D87">
            <w:pPr>
              <w:jc w:val="center"/>
            </w:pPr>
            <w:r>
              <w:rPr>
                <w:rFonts w:eastAsiaTheme="minorEastAsia"/>
                <w:color w:val="000000" w:themeColor="text1"/>
                <w:szCs w:val="21"/>
              </w:rPr>
              <w:t>600900</w:t>
            </w:r>
          </w:p>
        </w:tc>
        <w:tc>
          <w:tcPr>
            <w:tcW w:w="1701" w:type="dxa"/>
            <w:vAlign w:val="center"/>
          </w:tcPr>
          <w:p w:rsidR="00D24EA0" w:rsidRDefault="00713D87">
            <w:pPr>
              <w:jc w:val="center"/>
            </w:pPr>
            <w:r>
              <w:rPr>
                <w:rFonts w:eastAsiaTheme="minorEastAsia"/>
                <w:color w:val="000000" w:themeColor="text1"/>
                <w:szCs w:val="21"/>
              </w:rPr>
              <w:t>长江电力</w:t>
            </w:r>
          </w:p>
        </w:tc>
        <w:tc>
          <w:tcPr>
            <w:tcW w:w="1276" w:type="dxa"/>
            <w:vAlign w:val="center"/>
          </w:tcPr>
          <w:p w:rsidR="00D24EA0" w:rsidRDefault="00713D87">
            <w:pPr>
              <w:jc w:val="right"/>
            </w:pPr>
            <w:r>
              <w:rPr>
                <w:rFonts w:eastAsiaTheme="minorEastAsia"/>
                <w:color w:val="000000" w:themeColor="text1"/>
                <w:szCs w:val="21"/>
              </w:rPr>
              <w:t>199,872.00</w:t>
            </w:r>
          </w:p>
        </w:tc>
        <w:tc>
          <w:tcPr>
            <w:tcW w:w="1842" w:type="dxa"/>
            <w:vAlign w:val="center"/>
          </w:tcPr>
          <w:p w:rsidR="00D24EA0" w:rsidRDefault="00713D87">
            <w:pPr>
              <w:jc w:val="right"/>
            </w:pPr>
            <w:r>
              <w:rPr>
                <w:rFonts w:eastAsiaTheme="minorEastAsia"/>
                <w:color w:val="000000" w:themeColor="text1"/>
                <w:szCs w:val="21"/>
              </w:rPr>
              <w:t>4,982,808.96</w:t>
            </w:r>
          </w:p>
        </w:tc>
        <w:tc>
          <w:tcPr>
            <w:tcW w:w="1616" w:type="dxa"/>
            <w:vAlign w:val="center"/>
          </w:tcPr>
          <w:p w:rsidR="00D24EA0" w:rsidRDefault="00713D87">
            <w:pPr>
              <w:jc w:val="right"/>
            </w:pPr>
            <w:r>
              <w:rPr>
                <w:rFonts w:eastAsiaTheme="minorEastAsia"/>
                <w:color w:val="000000" w:themeColor="text1"/>
                <w:szCs w:val="21"/>
              </w:rPr>
              <w:t>9.08</w:t>
            </w:r>
          </w:p>
        </w:tc>
      </w:tr>
      <w:tr w:rsidR="00D24EA0">
        <w:tc>
          <w:tcPr>
            <w:tcW w:w="817" w:type="dxa"/>
            <w:vAlign w:val="center"/>
          </w:tcPr>
          <w:p w:rsidR="00D24EA0" w:rsidRDefault="00713D87">
            <w:pPr>
              <w:jc w:val="center"/>
            </w:pPr>
            <w:r>
              <w:rPr>
                <w:rFonts w:eastAsiaTheme="minorEastAsia"/>
                <w:color w:val="000000" w:themeColor="text1"/>
                <w:szCs w:val="21"/>
              </w:rPr>
              <w:t>3</w:t>
            </w:r>
          </w:p>
        </w:tc>
        <w:tc>
          <w:tcPr>
            <w:tcW w:w="1276" w:type="dxa"/>
            <w:vAlign w:val="center"/>
          </w:tcPr>
          <w:p w:rsidR="00D24EA0" w:rsidRDefault="00713D87">
            <w:pPr>
              <w:jc w:val="center"/>
            </w:pPr>
            <w:r>
              <w:rPr>
                <w:rFonts w:eastAsiaTheme="minorEastAsia"/>
                <w:color w:val="000000" w:themeColor="text1"/>
                <w:szCs w:val="21"/>
              </w:rPr>
              <w:t>002594</w:t>
            </w:r>
          </w:p>
        </w:tc>
        <w:tc>
          <w:tcPr>
            <w:tcW w:w="1701" w:type="dxa"/>
            <w:vAlign w:val="center"/>
          </w:tcPr>
          <w:p w:rsidR="00D24EA0" w:rsidRDefault="00713D87">
            <w:pPr>
              <w:jc w:val="center"/>
            </w:pPr>
            <w:r>
              <w:rPr>
                <w:rFonts w:eastAsiaTheme="minorEastAsia"/>
                <w:color w:val="000000" w:themeColor="text1"/>
                <w:szCs w:val="21"/>
              </w:rPr>
              <w:t>比亚迪</w:t>
            </w:r>
          </w:p>
        </w:tc>
        <w:tc>
          <w:tcPr>
            <w:tcW w:w="1276" w:type="dxa"/>
            <w:vAlign w:val="center"/>
          </w:tcPr>
          <w:p w:rsidR="00D24EA0" w:rsidRDefault="00713D87">
            <w:pPr>
              <w:jc w:val="right"/>
            </w:pPr>
            <w:r>
              <w:rPr>
                <w:rFonts w:eastAsiaTheme="minorEastAsia"/>
                <w:color w:val="000000" w:themeColor="text1"/>
                <w:szCs w:val="21"/>
              </w:rPr>
              <w:t>18,500.00</w:t>
            </w:r>
          </w:p>
        </w:tc>
        <w:tc>
          <w:tcPr>
            <w:tcW w:w="1842" w:type="dxa"/>
            <w:vAlign w:val="center"/>
          </w:tcPr>
          <w:p w:rsidR="00D24EA0" w:rsidRDefault="00713D87">
            <w:pPr>
              <w:jc w:val="right"/>
            </w:pPr>
            <w:r>
              <w:rPr>
                <w:rFonts w:eastAsiaTheme="minorEastAsia"/>
                <w:color w:val="000000" w:themeColor="text1"/>
                <w:szCs w:val="21"/>
              </w:rPr>
              <w:t>3,756,610.00</w:t>
            </w:r>
          </w:p>
        </w:tc>
        <w:tc>
          <w:tcPr>
            <w:tcW w:w="1616" w:type="dxa"/>
            <w:vAlign w:val="center"/>
          </w:tcPr>
          <w:p w:rsidR="00D24EA0" w:rsidRDefault="00713D87">
            <w:pPr>
              <w:jc w:val="right"/>
            </w:pPr>
            <w:r>
              <w:rPr>
                <w:rFonts w:eastAsiaTheme="minorEastAsia"/>
                <w:color w:val="000000" w:themeColor="text1"/>
                <w:szCs w:val="21"/>
              </w:rPr>
              <w:t>6.84</w:t>
            </w:r>
          </w:p>
        </w:tc>
      </w:tr>
      <w:tr w:rsidR="00D24EA0">
        <w:tc>
          <w:tcPr>
            <w:tcW w:w="817" w:type="dxa"/>
            <w:vAlign w:val="center"/>
          </w:tcPr>
          <w:p w:rsidR="00D24EA0" w:rsidRDefault="00713D87">
            <w:pPr>
              <w:jc w:val="center"/>
            </w:pPr>
            <w:r>
              <w:rPr>
                <w:rFonts w:eastAsiaTheme="minorEastAsia"/>
                <w:color w:val="000000" w:themeColor="text1"/>
                <w:szCs w:val="21"/>
              </w:rPr>
              <w:t>4</w:t>
            </w:r>
          </w:p>
        </w:tc>
        <w:tc>
          <w:tcPr>
            <w:tcW w:w="1276" w:type="dxa"/>
            <w:vAlign w:val="center"/>
          </w:tcPr>
          <w:p w:rsidR="00D24EA0" w:rsidRDefault="00713D87">
            <w:pPr>
              <w:jc w:val="center"/>
            </w:pPr>
            <w:r>
              <w:rPr>
                <w:rFonts w:eastAsiaTheme="minorEastAsia"/>
                <w:color w:val="000000" w:themeColor="text1"/>
                <w:szCs w:val="21"/>
              </w:rPr>
              <w:t>300124</w:t>
            </w:r>
          </w:p>
        </w:tc>
        <w:tc>
          <w:tcPr>
            <w:tcW w:w="1701" w:type="dxa"/>
            <w:vAlign w:val="center"/>
          </w:tcPr>
          <w:p w:rsidR="00D24EA0" w:rsidRDefault="00713D87">
            <w:pPr>
              <w:jc w:val="center"/>
            </w:pPr>
            <w:r>
              <w:rPr>
                <w:rFonts w:eastAsiaTheme="minorEastAsia"/>
                <w:color w:val="000000" w:themeColor="text1"/>
                <w:szCs w:val="21"/>
              </w:rPr>
              <w:t>汇川技术</w:t>
            </w:r>
          </w:p>
        </w:tc>
        <w:tc>
          <w:tcPr>
            <w:tcW w:w="1276" w:type="dxa"/>
            <w:vAlign w:val="center"/>
          </w:tcPr>
          <w:p w:rsidR="00D24EA0" w:rsidRDefault="00713D87">
            <w:pPr>
              <w:jc w:val="right"/>
            </w:pPr>
            <w:r>
              <w:rPr>
                <w:rFonts w:eastAsiaTheme="minorEastAsia"/>
                <w:color w:val="000000" w:themeColor="text1"/>
                <w:szCs w:val="21"/>
              </w:rPr>
              <w:t>43,600.00</w:t>
            </w:r>
          </w:p>
        </w:tc>
        <w:tc>
          <w:tcPr>
            <w:tcW w:w="1842" w:type="dxa"/>
            <w:vAlign w:val="center"/>
          </w:tcPr>
          <w:p w:rsidR="00D24EA0" w:rsidRDefault="00713D87">
            <w:pPr>
              <w:jc w:val="right"/>
            </w:pPr>
            <w:r>
              <w:rPr>
                <w:rFonts w:eastAsiaTheme="minorEastAsia"/>
                <w:color w:val="000000" w:themeColor="text1"/>
                <w:szCs w:val="21"/>
              </w:rPr>
              <w:t>2,669,192.00</w:t>
            </w:r>
          </w:p>
        </w:tc>
        <w:tc>
          <w:tcPr>
            <w:tcW w:w="1616" w:type="dxa"/>
            <w:vAlign w:val="center"/>
          </w:tcPr>
          <w:p w:rsidR="00D24EA0" w:rsidRDefault="00713D87">
            <w:pPr>
              <w:jc w:val="right"/>
            </w:pPr>
            <w:r>
              <w:rPr>
                <w:rFonts w:eastAsiaTheme="minorEastAsia"/>
                <w:color w:val="000000" w:themeColor="text1"/>
                <w:szCs w:val="21"/>
              </w:rPr>
              <w:t>4.86</w:t>
            </w:r>
          </w:p>
        </w:tc>
      </w:tr>
      <w:tr w:rsidR="00D24EA0">
        <w:tc>
          <w:tcPr>
            <w:tcW w:w="817" w:type="dxa"/>
            <w:vAlign w:val="center"/>
          </w:tcPr>
          <w:p w:rsidR="00D24EA0" w:rsidRDefault="00713D87">
            <w:pPr>
              <w:jc w:val="center"/>
            </w:pPr>
            <w:r>
              <w:rPr>
                <w:rFonts w:eastAsiaTheme="minorEastAsia"/>
                <w:color w:val="000000" w:themeColor="text1"/>
                <w:szCs w:val="21"/>
              </w:rPr>
              <w:t>5</w:t>
            </w:r>
          </w:p>
        </w:tc>
        <w:tc>
          <w:tcPr>
            <w:tcW w:w="1276" w:type="dxa"/>
            <w:vAlign w:val="center"/>
          </w:tcPr>
          <w:p w:rsidR="00D24EA0" w:rsidRDefault="00713D87">
            <w:pPr>
              <w:jc w:val="center"/>
            </w:pPr>
            <w:r>
              <w:rPr>
                <w:rFonts w:eastAsiaTheme="minorEastAsia"/>
                <w:color w:val="000000" w:themeColor="text1"/>
                <w:szCs w:val="21"/>
              </w:rPr>
              <w:t>601012</w:t>
            </w:r>
          </w:p>
        </w:tc>
        <w:tc>
          <w:tcPr>
            <w:tcW w:w="1701" w:type="dxa"/>
            <w:vAlign w:val="center"/>
          </w:tcPr>
          <w:p w:rsidR="00D24EA0" w:rsidRDefault="00713D87">
            <w:pPr>
              <w:jc w:val="center"/>
            </w:pPr>
            <w:r>
              <w:rPr>
                <w:rFonts w:eastAsiaTheme="minorEastAsia"/>
                <w:color w:val="000000" w:themeColor="text1"/>
                <w:szCs w:val="21"/>
              </w:rPr>
              <w:t>隆基绿能</w:t>
            </w:r>
          </w:p>
        </w:tc>
        <w:tc>
          <w:tcPr>
            <w:tcW w:w="1276" w:type="dxa"/>
            <w:vAlign w:val="center"/>
          </w:tcPr>
          <w:p w:rsidR="00D24EA0" w:rsidRDefault="00713D87">
            <w:pPr>
              <w:jc w:val="right"/>
            </w:pPr>
            <w:r>
              <w:rPr>
                <w:rFonts w:eastAsiaTheme="minorEastAsia"/>
                <w:color w:val="000000" w:themeColor="text1"/>
                <w:szCs w:val="21"/>
              </w:rPr>
              <w:t>123,797.00</w:t>
            </w:r>
          </w:p>
        </w:tc>
        <w:tc>
          <w:tcPr>
            <w:tcW w:w="1842" w:type="dxa"/>
            <w:vAlign w:val="center"/>
          </w:tcPr>
          <w:p w:rsidR="00D24EA0" w:rsidRDefault="00713D87">
            <w:pPr>
              <w:jc w:val="right"/>
            </w:pPr>
            <w:r>
              <w:rPr>
                <w:rFonts w:eastAsiaTheme="minorEastAsia"/>
                <w:color w:val="000000" w:themeColor="text1"/>
                <w:szCs w:val="21"/>
              </w:rPr>
              <w:t>2,415,279.47</w:t>
            </w:r>
          </w:p>
        </w:tc>
        <w:tc>
          <w:tcPr>
            <w:tcW w:w="1616" w:type="dxa"/>
            <w:vAlign w:val="center"/>
          </w:tcPr>
          <w:p w:rsidR="00D24EA0" w:rsidRDefault="00713D87">
            <w:pPr>
              <w:jc w:val="right"/>
            </w:pPr>
            <w:r>
              <w:rPr>
                <w:rFonts w:eastAsiaTheme="minorEastAsia"/>
                <w:color w:val="000000" w:themeColor="text1"/>
                <w:szCs w:val="21"/>
              </w:rPr>
              <w:t>4.40</w:t>
            </w:r>
          </w:p>
        </w:tc>
      </w:tr>
      <w:tr w:rsidR="00D24EA0">
        <w:tc>
          <w:tcPr>
            <w:tcW w:w="817" w:type="dxa"/>
            <w:vAlign w:val="center"/>
          </w:tcPr>
          <w:p w:rsidR="00D24EA0" w:rsidRDefault="00713D87">
            <w:pPr>
              <w:jc w:val="center"/>
            </w:pPr>
            <w:r>
              <w:rPr>
                <w:rFonts w:eastAsiaTheme="minorEastAsia"/>
                <w:color w:val="000000" w:themeColor="text1"/>
                <w:szCs w:val="21"/>
              </w:rPr>
              <w:t>6</w:t>
            </w:r>
          </w:p>
        </w:tc>
        <w:tc>
          <w:tcPr>
            <w:tcW w:w="1276" w:type="dxa"/>
            <w:vAlign w:val="center"/>
          </w:tcPr>
          <w:p w:rsidR="00D24EA0" w:rsidRDefault="00713D87">
            <w:pPr>
              <w:jc w:val="center"/>
            </w:pPr>
            <w:r>
              <w:rPr>
                <w:rFonts w:eastAsiaTheme="minorEastAsia"/>
                <w:color w:val="000000" w:themeColor="text1"/>
                <w:szCs w:val="21"/>
              </w:rPr>
              <w:t>300274</w:t>
            </w:r>
          </w:p>
        </w:tc>
        <w:tc>
          <w:tcPr>
            <w:tcW w:w="1701" w:type="dxa"/>
            <w:vAlign w:val="center"/>
          </w:tcPr>
          <w:p w:rsidR="00D24EA0" w:rsidRDefault="00713D87">
            <w:pPr>
              <w:jc w:val="center"/>
            </w:pPr>
            <w:r>
              <w:rPr>
                <w:rFonts w:eastAsiaTheme="minorEastAsia"/>
                <w:color w:val="000000" w:themeColor="text1"/>
                <w:szCs w:val="21"/>
              </w:rPr>
              <w:t>阳光电源</w:t>
            </w:r>
          </w:p>
        </w:tc>
        <w:tc>
          <w:tcPr>
            <w:tcW w:w="1276" w:type="dxa"/>
            <w:vAlign w:val="center"/>
          </w:tcPr>
          <w:p w:rsidR="00D24EA0" w:rsidRDefault="00713D87">
            <w:pPr>
              <w:jc w:val="right"/>
            </w:pPr>
            <w:r>
              <w:rPr>
                <w:rFonts w:eastAsiaTheme="minorEastAsia"/>
                <w:color w:val="000000" w:themeColor="text1"/>
                <w:szCs w:val="21"/>
              </w:rPr>
              <w:t>21,200.00</w:t>
            </w:r>
          </w:p>
        </w:tc>
        <w:tc>
          <w:tcPr>
            <w:tcW w:w="1842" w:type="dxa"/>
            <w:vAlign w:val="center"/>
          </w:tcPr>
          <w:p w:rsidR="00D24EA0" w:rsidRDefault="00713D87">
            <w:pPr>
              <w:jc w:val="right"/>
            </w:pPr>
            <w:r>
              <w:rPr>
                <w:rFonts w:eastAsiaTheme="minorEastAsia"/>
                <w:color w:val="000000" w:themeColor="text1"/>
                <w:szCs w:val="21"/>
              </w:rPr>
              <w:t>2,200,560.00</w:t>
            </w:r>
          </w:p>
        </w:tc>
        <w:tc>
          <w:tcPr>
            <w:tcW w:w="1616" w:type="dxa"/>
            <w:vAlign w:val="center"/>
          </w:tcPr>
          <w:p w:rsidR="00D24EA0" w:rsidRDefault="00713D87">
            <w:pPr>
              <w:jc w:val="right"/>
            </w:pPr>
            <w:r>
              <w:rPr>
                <w:rFonts w:eastAsiaTheme="minorEastAsia"/>
                <w:color w:val="000000" w:themeColor="text1"/>
                <w:szCs w:val="21"/>
              </w:rPr>
              <w:t>4.01</w:t>
            </w:r>
          </w:p>
        </w:tc>
      </w:tr>
      <w:tr w:rsidR="00D24EA0">
        <w:tc>
          <w:tcPr>
            <w:tcW w:w="817" w:type="dxa"/>
            <w:vAlign w:val="center"/>
          </w:tcPr>
          <w:p w:rsidR="00D24EA0" w:rsidRDefault="00713D87">
            <w:pPr>
              <w:jc w:val="center"/>
            </w:pPr>
            <w:r>
              <w:rPr>
                <w:rFonts w:eastAsiaTheme="minorEastAsia"/>
                <w:color w:val="000000" w:themeColor="text1"/>
                <w:szCs w:val="21"/>
              </w:rPr>
              <w:t>7</w:t>
            </w:r>
          </w:p>
        </w:tc>
        <w:tc>
          <w:tcPr>
            <w:tcW w:w="1276" w:type="dxa"/>
            <w:vAlign w:val="center"/>
          </w:tcPr>
          <w:p w:rsidR="00D24EA0" w:rsidRDefault="00713D87">
            <w:pPr>
              <w:jc w:val="center"/>
            </w:pPr>
            <w:r>
              <w:rPr>
                <w:rFonts w:eastAsiaTheme="minorEastAsia"/>
                <w:color w:val="000000" w:themeColor="text1"/>
                <w:szCs w:val="21"/>
              </w:rPr>
              <w:t>000100</w:t>
            </w:r>
          </w:p>
        </w:tc>
        <w:tc>
          <w:tcPr>
            <w:tcW w:w="1701" w:type="dxa"/>
            <w:vAlign w:val="center"/>
          </w:tcPr>
          <w:p w:rsidR="00D24EA0" w:rsidRDefault="00713D87">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rsidR="00D24EA0" w:rsidRDefault="00713D87">
            <w:pPr>
              <w:jc w:val="right"/>
            </w:pPr>
            <w:r>
              <w:rPr>
                <w:rFonts w:eastAsiaTheme="minorEastAsia"/>
                <w:color w:val="000000" w:themeColor="text1"/>
                <w:szCs w:val="21"/>
              </w:rPr>
              <w:t>383,500.00</w:t>
            </w:r>
          </w:p>
        </w:tc>
        <w:tc>
          <w:tcPr>
            <w:tcW w:w="1842" w:type="dxa"/>
            <w:vAlign w:val="center"/>
          </w:tcPr>
          <w:p w:rsidR="00D24EA0" w:rsidRDefault="00713D87">
            <w:pPr>
              <w:jc w:val="right"/>
            </w:pPr>
            <w:r>
              <w:rPr>
                <w:rFonts w:eastAsiaTheme="minorEastAsia"/>
                <w:color w:val="000000" w:themeColor="text1"/>
                <w:szCs w:val="21"/>
              </w:rPr>
              <w:t>1,790,945.00</w:t>
            </w:r>
          </w:p>
        </w:tc>
        <w:tc>
          <w:tcPr>
            <w:tcW w:w="1616" w:type="dxa"/>
            <w:vAlign w:val="center"/>
          </w:tcPr>
          <w:p w:rsidR="00D24EA0" w:rsidRDefault="00713D87">
            <w:pPr>
              <w:jc w:val="right"/>
            </w:pPr>
            <w:r>
              <w:rPr>
                <w:rFonts w:eastAsiaTheme="minorEastAsia"/>
                <w:color w:val="000000" w:themeColor="text1"/>
                <w:szCs w:val="21"/>
              </w:rPr>
              <w:t>3.26</w:t>
            </w:r>
          </w:p>
        </w:tc>
      </w:tr>
      <w:tr w:rsidR="00D24EA0">
        <w:tc>
          <w:tcPr>
            <w:tcW w:w="817" w:type="dxa"/>
            <w:vAlign w:val="center"/>
          </w:tcPr>
          <w:p w:rsidR="00D24EA0" w:rsidRDefault="00713D87">
            <w:pPr>
              <w:jc w:val="center"/>
            </w:pPr>
            <w:r>
              <w:rPr>
                <w:rFonts w:eastAsiaTheme="minorEastAsia"/>
                <w:color w:val="000000" w:themeColor="text1"/>
                <w:szCs w:val="21"/>
              </w:rPr>
              <w:t>8</w:t>
            </w:r>
          </w:p>
        </w:tc>
        <w:tc>
          <w:tcPr>
            <w:tcW w:w="1276" w:type="dxa"/>
            <w:vAlign w:val="center"/>
          </w:tcPr>
          <w:p w:rsidR="00D24EA0" w:rsidRDefault="00713D87">
            <w:pPr>
              <w:jc w:val="center"/>
            </w:pPr>
            <w:r>
              <w:rPr>
                <w:rFonts w:eastAsiaTheme="minorEastAsia"/>
                <w:color w:val="000000" w:themeColor="text1"/>
                <w:szCs w:val="21"/>
              </w:rPr>
              <w:t>601985</w:t>
            </w:r>
          </w:p>
        </w:tc>
        <w:tc>
          <w:tcPr>
            <w:tcW w:w="1701" w:type="dxa"/>
            <w:vAlign w:val="center"/>
          </w:tcPr>
          <w:p w:rsidR="00D24EA0" w:rsidRDefault="00713D87">
            <w:pPr>
              <w:jc w:val="center"/>
            </w:pPr>
            <w:r>
              <w:rPr>
                <w:rFonts w:eastAsiaTheme="minorEastAsia"/>
                <w:color w:val="000000" w:themeColor="text1"/>
                <w:szCs w:val="21"/>
              </w:rPr>
              <w:t>中国核电</w:t>
            </w:r>
          </w:p>
        </w:tc>
        <w:tc>
          <w:tcPr>
            <w:tcW w:w="1276" w:type="dxa"/>
            <w:vAlign w:val="center"/>
          </w:tcPr>
          <w:p w:rsidR="00D24EA0" w:rsidRDefault="00713D87">
            <w:pPr>
              <w:jc w:val="right"/>
            </w:pPr>
            <w:r>
              <w:rPr>
                <w:rFonts w:eastAsiaTheme="minorEastAsia"/>
                <w:color w:val="000000" w:themeColor="text1"/>
                <w:szCs w:val="21"/>
              </w:rPr>
              <w:t>192,800.00</w:t>
            </w:r>
          </w:p>
        </w:tc>
        <w:tc>
          <w:tcPr>
            <w:tcW w:w="1842" w:type="dxa"/>
            <w:vAlign w:val="center"/>
          </w:tcPr>
          <w:p w:rsidR="00D24EA0" w:rsidRDefault="00713D87">
            <w:pPr>
              <w:jc w:val="right"/>
            </w:pPr>
            <w:r>
              <w:rPr>
                <w:rFonts w:eastAsiaTheme="minorEastAsia"/>
                <w:color w:val="000000" w:themeColor="text1"/>
                <w:szCs w:val="21"/>
              </w:rPr>
              <w:t>1,771,832.00</w:t>
            </w:r>
          </w:p>
        </w:tc>
        <w:tc>
          <w:tcPr>
            <w:tcW w:w="1616" w:type="dxa"/>
            <w:vAlign w:val="center"/>
          </w:tcPr>
          <w:p w:rsidR="00D24EA0" w:rsidRDefault="00713D87">
            <w:pPr>
              <w:jc w:val="right"/>
            </w:pPr>
            <w:r>
              <w:rPr>
                <w:rFonts w:eastAsiaTheme="minorEastAsia"/>
                <w:color w:val="000000" w:themeColor="text1"/>
                <w:szCs w:val="21"/>
              </w:rPr>
              <w:t>3.23</w:t>
            </w:r>
          </w:p>
        </w:tc>
      </w:tr>
      <w:tr w:rsidR="00D24EA0">
        <w:tc>
          <w:tcPr>
            <w:tcW w:w="817" w:type="dxa"/>
            <w:vAlign w:val="center"/>
          </w:tcPr>
          <w:p w:rsidR="00D24EA0" w:rsidRDefault="00713D87">
            <w:pPr>
              <w:jc w:val="center"/>
            </w:pPr>
            <w:r>
              <w:rPr>
                <w:rFonts w:eastAsiaTheme="minorEastAsia"/>
                <w:color w:val="000000" w:themeColor="text1"/>
                <w:szCs w:val="21"/>
              </w:rPr>
              <w:t>9</w:t>
            </w:r>
          </w:p>
        </w:tc>
        <w:tc>
          <w:tcPr>
            <w:tcW w:w="1276" w:type="dxa"/>
            <w:vAlign w:val="center"/>
          </w:tcPr>
          <w:p w:rsidR="00D24EA0" w:rsidRDefault="00713D87">
            <w:pPr>
              <w:jc w:val="center"/>
            </w:pPr>
            <w:r>
              <w:rPr>
                <w:rFonts w:eastAsiaTheme="minorEastAsia"/>
                <w:color w:val="000000" w:themeColor="text1"/>
                <w:szCs w:val="21"/>
              </w:rPr>
              <w:t>600089</w:t>
            </w:r>
          </w:p>
        </w:tc>
        <w:tc>
          <w:tcPr>
            <w:tcW w:w="1701" w:type="dxa"/>
            <w:vAlign w:val="center"/>
          </w:tcPr>
          <w:p w:rsidR="00D24EA0" w:rsidRDefault="00713D87">
            <w:pPr>
              <w:jc w:val="center"/>
            </w:pPr>
            <w:r>
              <w:rPr>
                <w:rFonts w:eastAsiaTheme="minorEastAsia"/>
                <w:color w:val="000000" w:themeColor="text1"/>
                <w:szCs w:val="21"/>
              </w:rPr>
              <w:t>特变电工</w:t>
            </w:r>
          </w:p>
        </w:tc>
        <w:tc>
          <w:tcPr>
            <w:tcW w:w="1276" w:type="dxa"/>
            <w:vAlign w:val="center"/>
          </w:tcPr>
          <w:p w:rsidR="00D24EA0" w:rsidRDefault="00713D87">
            <w:pPr>
              <w:jc w:val="right"/>
            </w:pPr>
            <w:r>
              <w:rPr>
                <w:rFonts w:eastAsiaTheme="minorEastAsia"/>
                <w:color w:val="000000" w:themeColor="text1"/>
                <w:szCs w:val="21"/>
              </w:rPr>
              <w:t>103,180.00</w:t>
            </w:r>
          </w:p>
        </w:tc>
        <w:tc>
          <w:tcPr>
            <w:tcW w:w="1842" w:type="dxa"/>
            <w:vAlign w:val="center"/>
          </w:tcPr>
          <w:p w:rsidR="00D24EA0" w:rsidRDefault="00713D87">
            <w:pPr>
              <w:jc w:val="right"/>
            </w:pPr>
            <w:r>
              <w:rPr>
                <w:rFonts w:eastAsiaTheme="minorEastAsia"/>
                <w:color w:val="000000" w:themeColor="text1"/>
                <w:szCs w:val="21"/>
              </w:rPr>
              <w:t>1,580,717.60</w:t>
            </w:r>
          </w:p>
        </w:tc>
        <w:tc>
          <w:tcPr>
            <w:tcW w:w="1616" w:type="dxa"/>
            <w:vAlign w:val="center"/>
          </w:tcPr>
          <w:p w:rsidR="00D24EA0" w:rsidRDefault="00713D87">
            <w:pPr>
              <w:jc w:val="right"/>
            </w:pPr>
            <w:r>
              <w:rPr>
                <w:rFonts w:eastAsiaTheme="minorEastAsia"/>
                <w:color w:val="000000" w:themeColor="text1"/>
                <w:szCs w:val="21"/>
              </w:rPr>
              <w:t>2.88</w:t>
            </w:r>
          </w:p>
        </w:tc>
      </w:tr>
      <w:tr w:rsidR="00D24EA0">
        <w:tc>
          <w:tcPr>
            <w:tcW w:w="817" w:type="dxa"/>
            <w:vAlign w:val="center"/>
          </w:tcPr>
          <w:p w:rsidR="00D24EA0" w:rsidRDefault="00713D87">
            <w:pPr>
              <w:jc w:val="center"/>
            </w:pPr>
            <w:r>
              <w:rPr>
                <w:rFonts w:eastAsiaTheme="minorEastAsia"/>
                <w:color w:val="000000" w:themeColor="text1"/>
                <w:szCs w:val="21"/>
              </w:rPr>
              <w:t>10</w:t>
            </w:r>
          </w:p>
        </w:tc>
        <w:tc>
          <w:tcPr>
            <w:tcW w:w="1276" w:type="dxa"/>
            <w:vAlign w:val="center"/>
          </w:tcPr>
          <w:p w:rsidR="00D24EA0" w:rsidRDefault="00713D87">
            <w:pPr>
              <w:jc w:val="center"/>
            </w:pPr>
            <w:r>
              <w:rPr>
                <w:rFonts w:eastAsiaTheme="minorEastAsia"/>
                <w:color w:val="000000" w:themeColor="text1"/>
                <w:szCs w:val="21"/>
              </w:rPr>
              <w:t>600438</w:t>
            </w:r>
          </w:p>
        </w:tc>
        <w:tc>
          <w:tcPr>
            <w:tcW w:w="1701" w:type="dxa"/>
            <w:vAlign w:val="center"/>
          </w:tcPr>
          <w:p w:rsidR="00D24EA0" w:rsidRDefault="00713D87">
            <w:pPr>
              <w:jc w:val="center"/>
            </w:pPr>
            <w:r>
              <w:rPr>
                <w:rFonts w:eastAsiaTheme="minorEastAsia"/>
                <w:color w:val="000000" w:themeColor="text1"/>
                <w:szCs w:val="21"/>
              </w:rPr>
              <w:t>通威股份</w:t>
            </w:r>
          </w:p>
        </w:tc>
        <w:tc>
          <w:tcPr>
            <w:tcW w:w="1276" w:type="dxa"/>
            <w:vAlign w:val="center"/>
          </w:tcPr>
          <w:p w:rsidR="00D24EA0" w:rsidRDefault="00713D87">
            <w:pPr>
              <w:jc w:val="right"/>
            </w:pPr>
            <w:r>
              <w:rPr>
                <w:rFonts w:eastAsiaTheme="minorEastAsia"/>
                <w:color w:val="000000" w:themeColor="text1"/>
                <w:szCs w:val="21"/>
              </w:rPr>
              <w:t>55,200.00</w:t>
            </w:r>
          </w:p>
        </w:tc>
        <w:tc>
          <w:tcPr>
            <w:tcW w:w="1842" w:type="dxa"/>
            <w:vAlign w:val="center"/>
          </w:tcPr>
          <w:p w:rsidR="00D24EA0" w:rsidRDefault="00713D87">
            <w:pPr>
              <w:jc w:val="right"/>
            </w:pPr>
            <w:r>
              <w:rPr>
                <w:rFonts w:eastAsiaTheme="minorEastAsia"/>
                <w:color w:val="000000" w:themeColor="text1"/>
                <w:szCs w:val="21"/>
              </w:rPr>
              <w:t>1,372,824.00</w:t>
            </w:r>
          </w:p>
        </w:tc>
        <w:tc>
          <w:tcPr>
            <w:tcW w:w="1616" w:type="dxa"/>
            <w:vAlign w:val="center"/>
          </w:tcPr>
          <w:p w:rsidR="00D24EA0" w:rsidRDefault="00713D87">
            <w:pPr>
              <w:jc w:val="right"/>
            </w:pPr>
            <w:r>
              <w:rPr>
                <w:rFonts w:eastAsiaTheme="minorEastAsia"/>
                <w:color w:val="000000" w:themeColor="text1"/>
                <w:szCs w:val="21"/>
              </w:rPr>
              <w:t>2.50</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0A0010"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19,298.80</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19,298.80</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43,598,943.00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41,000,000.00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74,598,943.00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D24EA0">
        <w:tc>
          <w:tcPr>
            <w:tcW w:w="993" w:type="dxa"/>
            <w:vMerge w:val="restart"/>
            <w:vAlign w:val="center"/>
          </w:tcPr>
          <w:p w:rsidR="00D24EA0" w:rsidRDefault="00713D87">
            <w:r>
              <w:rPr>
                <w:bCs/>
                <w:color w:val="000000"/>
                <w:kern w:val="0"/>
                <w:szCs w:val="21"/>
              </w:rPr>
              <w:t>机构</w:t>
            </w:r>
          </w:p>
        </w:tc>
        <w:tc>
          <w:tcPr>
            <w:tcW w:w="992" w:type="dxa"/>
            <w:vAlign w:val="center"/>
          </w:tcPr>
          <w:p w:rsidR="00D24EA0" w:rsidRDefault="00713D87">
            <w:pPr>
              <w:jc w:val="center"/>
            </w:pPr>
            <w:r>
              <w:rPr>
                <w:color w:val="000000"/>
                <w:kern w:val="0"/>
                <w:szCs w:val="21"/>
              </w:rPr>
              <w:t>1</w:t>
            </w:r>
          </w:p>
        </w:tc>
        <w:tc>
          <w:tcPr>
            <w:tcW w:w="1843" w:type="dxa"/>
            <w:vAlign w:val="center"/>
          </w:tcPr>
          <w:p w:rsidR="00D24EA0" w:rsidRDefault="00713D87">
            <w:pPr>
              <w:jc w:val="center"/>
            </w:pPr>
            <w:r>
              <w:rPr>
                <w:color w:val="000000"/>
                <w:kern w:val="0"/>
                <w:szCs w:val="21"/>
              </w:rPr>
              <w:t>20240311-20240331</w:t>
            </w:r>
          </w:p>
        </w:tc>
        <w:tc>
          <w:tcPr>
            <w:tcW w:w="851" w:type="dxa"/>
            <w:vAlign w:val="center"/>
          </w:tcPr>
          <w:p w:rsidR="00D24EA0" w:rsidRDefault="00713D87">
            <w:pPr>
              <w:jc w:val="center"/>
            </w:pPr>
            <w:r>
              <w:rPr>
                <w:color w:val="000000"/>
                <w:kern w:val="0"/>
                <w:szCs w:val="21"/>
              </w:rPr>
              <w:t>0.00</w:t>
            </w:r>
          </w:p>
        </w:tc>
        <w:tc>
          <w:tcPr>
            <w:tcW w:w="850" w:type="dxa"/>
            <w:vAlign w:val="center"/>
          </w:tcPr>
          <w:p w:rsidR="00D24EA0" w:rsidRDefault="00713D87">
            <w:pPr>
              <w:jc w:val="center"/>
            </w:pPr>
            <w:r>
              <w:rPr>
                <w:color w:val="000000"/>
                <w:kern w:val="0"/>
                <w:szCs w:val="21"/>
              </w:rPr>
              <w:t>27,000,000.00</w:t>
            </w:r>
          </w:p>
        </w:tc>
        <w:tc>
          <w:tcPr>
            <w:tcW w:w="1134" w:type="dxa"/>
            <w:vAlign w:val="center"/>
          </w:tcPr>
          <w:p w:rsidR="00D24EA0" w:rsidRDefault="00713D87">
            <w:pPr>
              <w:jc w:val="center"/>
            </w:pPr>
            <w:r>
              <w:rPr>
                <w:color w:val="000000"/>
                <w:kern w:val="0"/>
                <w:szCs w:val="21"/>
              </w:rPr>
              <w:t>0.00</w:t>
            </w:r>
          </w:p>
        </w:tc>
        <w:tc>
          <w:tcPr>
            <w:tcW w:w="1419" w:type="dxa"/>
            <w:vAlign w:val="center"/>
          </w:tcPr>
          <w:p w:rsidR="00D24EA0" w:rsidRDefault="00713D87">
            <w:pPr>
              <w:jc w:val="center"/>
            </w:pPr>
            <w:r>
              <w:rPr>
                <w:color w:val="000000"/>
                <w:kern w:val="0"/>
                <w:szCs w:val="21"/>
              </w:rPr>
              <w:t>27,000,000.00</w:t>
            </w:r>
          </w:p>
        </w:tc>
        <w:tc>
          <w:tcPr>
            <w:tcW w:w="1130" w:type="dxa"/>
            <w:vAlign w:val="center"/>
          </w:tcPr>
          <w:p w:rsidR="00D24EA0" w:rsidRDefault="00713D87">
            <w:pPr>
              <w:jc w:val="center"/>
            </w:pPr>
            <w:r>
              <w:rPr>
                <w:color w:val="000000"/>
                <w:kern w:val="0"/>
                <w:szCs w:val="21"/>
              </w:rPr>
              <w:t>36.19%</w:t>
            </w:r>
          </w:p>
        </w:tc>
      </w:tr>
      <w:tr w:rsidR="00D24EA0">
        <w:tc>
          <w:tcPr>
            <w:tcW w:w="993" w:type="dxa"/>
            <w:vMerge/>
          </w:tcPr>
          <w:p w:rsidR="00D24EA0" w:rsidRDefault="00D24EA0"/>
        </w:tc>
        <w:tc>
          <w:tcPr>
            <w:tcW w:w="992" w:type="dxa"/>
            <w:vAlign w:val="center"/>
          </w:tcPr>
          <w:p w:rsidR="00D24EA0" w:rsidRDefault="00713D87">
            <w:pPr>
              <w:jc w:val="center"/>
            </w:pPr>
            <w:r>
              <w:rPr>
                <w:color w:val="000000"/>
                <w:kern w:val="0"/>
                <w:szCs w:val="21"/>
              </w:rPr>
              <w:t>2</w:t>
            </w:r>
          </w:p>
        </w:tc>
        <w:tc>
          <w:tcPr>
            <w:tcW w:w="1843" w:type="dxa"/>
            <w:vAlign w:val="center"/>
          </w:tcPr>
          <w:p w:rsidR="00D24EA0" w:rsidRDefault="00713D87">
            <w:pPr>
              <w:jc w:val="center"/>
            </w:pPr>
            <w:r>
              <w:rPr>
                <w:color w:val="000000"/>
                <w:kern w:val="0"/>
                <w:szCs w:val="21"/>
              </w:rPr>
              <w:t>20240101-20240311</w:t>
            </w:r>
          </w:p>
        </w:tc>
        <w:tc>
          <w:tcPr>
            <w:tcW w:w="851" w:type="dxa"/>
            <w:vAlign w:val="center"/>
          </w:tcPr>
          <w:p w:rsidR="00D24EA0" w:rsidRDefault="00713D87">
            <w:pPr>
              <w:jc w:val="center"/>
            </w:pPr>
            <w:r>
              <w:rPr>
                <w:color w:val="000000"/>
                <w:kern w:val="0"/>
                <w:szCs w:val="21"/>
              </w:rPr>
              <w:t>9,843,387.00</w:t>
            </w:r>
          </w:p>
        </w:tc>
        <w:tc>
          <w:tcPr>
            <w:tcW w:w="850" w:type="dxa"/>
            <w:vAlign w:val="center"/>
          </w:tcPr>
          <w:p w:rsidR="00D24EA0" w:rsidRDefault="00713D87">
            <w:pPr>
              <w:jc w:val="center"/>
            </w:pPr>
            <w:r>
              <w:rPr>
                <w:color w:val="000000"/>
                <w:kern w:val="0"/>
                <w:szCs w:val="21"/>
              </w:rPr>
              <w:t>13,842,000.00</w:t>
            </w:r>
          </w:p>
        </w:tc>
        <w:tc>
          <w:tcPr>
            <w:tcW w:w="1134" w:type="dxa"/>
            <w:vAlign w:val="center"/>
          </w:tcPr>
          <w:p w:rsidR="00D24EA0" w:rsidRDefault="00713D87">
            <w:pPr>
              <w:jc w:val="center"/>
            </w:pPr>
            <w:r>
              <w:rPr>
                <w:color w:val="000000"/>
                <w:kern w:val="0"/>
                <w:szCs w:val="21"/>
              </w:rPr>
              <w:t>11,165,900.00</w:t>
            </w:r>
          </w:p>
        </w:tc>
        <w:tc>
          <w:tcPr>
            <w:tcW w:w="1419" w:type="dxa"/>
            <w:vAlign w:val="center"/>
          </w:tcPr>
          <w:p w:rsidR="00D24EA0" w:rsidRDefault="00713D87">
            <w:pPr>
              <w:jc w:val="center"/>
            </w:pPr>
            <w:r>
              <w:rPr>
                <w:color w:val="000000"/>
                <w:kern w:val="0"/>
                <w:szCs w:val="21"/>
              </w:rPr>
              <w:t>12,519,487.00</w:t>
            </w:r>
          </w:p>
        </w:tc>
        <w:tc>
          <w:tcPr>
            <w:tcW w:w="1130" w:type="dxa"/>
            <w:vAlign w:val="center"/>
          </w:tcPr>
          <w:p w:rsidR="00D24EA0" w:rsidRDefault="00713D87">
            <w:pPr>
              <w:jc w:val="center"/>
            </w:pPr>
            <w:r>
              <w:rPr>
                <w:color w:val="000000"/>
                <w:kern w:val="0"/>
                <w:szCs w:val="21"/>
              </w:rPr>
              <w:t>16.78%</w:t>
            </w:r>
          </w:p>
        </w:tc>
      </w:tr>
      <w:tr w:rsidR="00D24EA0">
        <w:tc>
          <w:tcPr>
            <w:tcW w:w="993" w:type="dxa"/>
            <w:vMerge/>
          </w:tcPr>
          <w:p w:rsidR="00D24EA0" w:rsidRDefault="00D24EA0"/>
        </w:tc>
        <w:tc>
          <w:tcPr>
            <w:tcW w:w="992" w:type="dxa"/>
            <w:vAlign w:val="center"/>
          </w:tcPr>
          <w:p w:rsidR="00D24EA0" w:rsidRDefault="00713D87">
            <w:pPr>
              <w:jc w:val="center"/>
            </w:pPr>
            <w:r>
              <w:rPr>
                <w:color w:val="000000"/>
                <w:kern w:val="0"/>
                <w:szCs w:val="21"/>
              </w:rPr>
              <w:t>3</w:t>
            </w:r>
          </w:p>
        </w:tc>
        <w:tc>
          <w:tcPr>
            <w:tcW w:w="1843" w:type="dxa"/>
            <w:vAlign w:val="center"/>
          </w:tcPr>
          <w:p w:rsidR="00D24EA0" w:rsidRDefault="00713D87">
            <w:pPr>
              <w:jc w:val="center"/>
            </w:pPr>
            <w:r>
              <w:rPr>
                <w:color w:val="000000"/>
                <w:kern w:val="0"/>
                <w:szCs w:val="21"/>
              </w:rPr>
              <w:t>20240122-20240204</w:t>
            </w:r>
          </w:p>
        </w:tc>
        <w:tc>
          <w:tcPr>
            <w:tcW w:w="851" w:type="dxa"/>
            <w:vAlign w:val="center"/>
          </w:tcPr>
          <w:p w:rsidR="00D24EA0" w:rsidRDefault="00713D87">
            <w:pPr>
              <w:jc w:val="center"/>
            </w:pPr>
            <w:r>
              <w:rPr>
                <w:color w:val="000000"/>
                <w:kern w:val="0"/>
                <w:szCs w:val="21"/>
              </w:rPr>
              <w:t>9,671,031.00</w:t>
            </w:r>
          </w:p>
        </w:tc>
        <w:tc>
          <w:tcPr>
            <w:tcW w:w="850" w:type="dxa"/>
            <w:vAlign w:val="center"/>
          </w:tcPr>
          <w:p w:rsidR="00D24EA0" w:rsidRDefault="00713D87">
            <w:pPr>
              <w:jc w:val="center"/>
            </w:pPr>
            <w:r>
              <w:rPr>
                <w:color w:val="000000"/>
                <w:kern w:val="0"/>
                <w:szCs w:val="21"/>
              </w:rPr>
              <w:t>9,591,100.00</w:t>
            </w:r>
          </w:p>
        </w:tc>
        <w:tc>
          <w:tcPr>
            <w:tcW w:w="1134" w:type="dxa"/>
            <w:vAlign w:val="center"/>
          </w:tcPr>
          <w:p w:rsidR="00D24EA0" w:rsidRDefault="00713D87">
            <w:pPr>
              <w:jc w:val="center"/>
            </w:pPr>
            <w:r>
              <w:rPr>
                <w:color w:val="000000"/>
                <w:kern w:val="0"/>
                <w:szCs w:val="21"/>
              </w:rPr>
              <w:t>9,612,100.00</w:t>
            </w:r>
          </w:p>
        </w:tc>
        <w:tc>
          <w:tcPr>
            <w:tcW w:w="1419" w:type="dxa"/>
            <w:vAlign w:val="center"/>
          </w:tcPr>
          <w:p w:rsidR="00D24EA0" w:rsidRDefault="00713D87">
            <w:pPr>
              <w:jc w:val="center"/>
            </w:pPr>
            <w:r>
              <w:rPr>
                <w:color w:val="000000"/>
                <w:kern w:val="0"/>
                <w:szCs w:val="21"/>
              </w:rPr>
              <w:t>9,650,031.00</w:t>
            </w:r>
          </w:p>
        </w:tc>
        <w:tc>
          <w:tcPr>
            <w:tcW w:w="1130" w:type="dxa"/>
            <w:vAlign w:val="center"/>
          </w:tcPr>
          <w:p w:rsidR="00D24EA0" w:rsidRDefault="00713D87">
            <w:pPr>
              <w:jc w:val="center"/>
            </w:pPr>
            <w:r>
              <w:rPr>
                <w:color w:val="000000"/>
                <w:kern w:val="0"/>
                <w:szCs w:val="21"/>
              </w:rPr>
              <w:t>12.94%</w:t>
            </w:r>
          </w:p>
        </w:tc>
      </w:tr>
      <w:tr w:rsidR="00D24EA0">
        <w:tc>
          <w:tcPr>
            <w:tcW w:w="993" w:type="dxa"/>
            <w:vMerge/>
          </w:tcPr>
          <w:p w:rsidR="00D24EA0" w:rsidRDefault="00D24EA0"/>
        </w:tc>
        <w:tc>
          <w:tcPr>
            <w:tcW w:w="992" w:type="dxa"/>
            <w:vAlign w:val="center"/>
          </w:tcPr>
          <w:p w:rsidR="00D24EA0" w:rsidRDefault="00713D87">
            <w:pPr>
              <w:jc w:val="center"/>
            </w:pPr>
            <w:r>
              <w:rPr>
                <w:color w:val="000000"/>
                <w:kern w:val="0"/>
                <w:szCs w:val="21"/>
              </w:rPr>
              <w:t>4</w:t>
            </w:r>
          </w:p>
        </w:tc>
        <w:tc>
          <w:tcPr>
            <w:tcW w:w="1843" w:type="dxa"/>
            <w:vAlign w:val="center"/>
          </w:tcPr>
          <w:p w:rsidR="00D24EA0" w:rsidRDefault="00713D87">
            <w:pPr>
              <w:jc w:val="center"/>
            </w:pPr>
            <w:r>
              <w:rPr>
                <w:color w:val="000000"/>
                <w:kern w:val="0"/>
                <w:szCs w:val="21"/>
              </w:rPr>
              <w:t>20240101-20240118</w:t>
            </w:r>
          </w:p>
        </w:tc>
        <w:tc>
          <w:tcPr>
            <w:tcW w:w="851" w:type="dxa"/>
            <w:vAlign w:val="center"/>
          </w:tcPr>
          <w:p w:rsidR="00D24EA0" w:rsidRDefault="00713D87">
            <w:pPr>
              <w:jc w:val="center"/>
            </w:pPr>
            <w:r>
              <w:rPr>
                <w:color w:val="000000"/>
                <w:kern w:val="0"/>
                <w:szCs w:val="21"/>
              </w:rPr>
              <w:t>9,671,031.00</w:t>
            </w:r>
          </w:p>
        </w:tc>
        <w:tc>
          <w:tcPr>
            <w:tcW w:w="850" w:type="dxa"/>
            <w:vAlign w:val="center"/>
          </w:tcPr>
          <w:p w:rsidR="00D24EA0" w:rsidRDefault="00713D87">
            <w:pPr>
              <w:jc w:val="center"/>
            </w:pPr>
            <w:r>
              <w:rPr>
                <w:color w:val="000000"/>
                <w:kern w:val="0"/>
                <w:szCs w:val="21"/>
              </w:rPr>
              <w:t>9,591,100.00</w:t>
            </w:r>
          </w:p>
        </w:tc>
        <w:tc>
          <w:tcPr>
            <w:tcW w:w="1134" w:type="dxa"/>
            <w:vAlign w:val="center"/>
          </w:tcPr>
          <w:p w:rsidR="00D24EA0" w:rsidRDefault="00713D87">
            <w:pPr>
              <w:jc w:val="center"/>
            </w:pPr>
            <w:r>
              <w:rPr>
                <w:color w:val="000000"/>
                <w:kern w:val="0"/>
                <w:szCs w:val="21"/>
              </w:rPr>
              <w:t>9,612,100.00</w:t>
            </w:r>
          </w:p>
        </w:tc>
        <w:tc>
          <w:tcPr>
            <w:tcW w:w="1419" w:type="dxa"/>
            <w:vAlign w:val="center"/>
          </w:tcPr>
          <w:p w:rsidR="00D24EA0" w:rsidRDefault="00713D87">
            <w:pPr>
              <w:jc w:val="center"/>
            </w:pPr>
            <w:r>
              <w:rPr>
                <w:color w:val="000000"/>
                <w:kern w:val="0"/>
                <w:szCs w:val="21"/>
              </w:rPr>
              <w:t>9,650,031.00</w:t>
            </w:r>
          </w:p>
        </w:tc>
        <w:tc>
          <w:tcPr>
            <w:tcW w:w="1130" w:type="dxa"/>
            <w:vAlign w:val="center"/>
          </w:tcPr>
          <w:p w:rsidR="00D24EA0" w:rsidRDefault="00713D87">
            <w:pPr>
              <w:jc w:val="center"/>
            </w:pPr>
            <w:r>
              <w:rPr>
                <w:color w:val="000000"/>
                <w:kern w:val="0"/>
                <w:szCs w:val="21"/>
              </w:rPr>
              <w:t>12.94%</w:t>
            </w:r>
          </w:p>
        </w:tc>
      </w:tr>
      <w:tr w:rsidR="00D24EA0">
        <w:tc>
          <w:tcPr>
            <w:tcW w:w="993" w:type="dxa"/>
            <w:vMerge/>
          </w:tcPr>
          <w:p w:rsidR="00D24EA0" w:rsidRDefault="00D24EA0"/>
        </w:tc>
        <w:tc>
          <w:tcPr>
            <w:tcW w:w="992" w:type="dxa"/>
            <w:vAlign w:val="center"/>
          </w:tcPr>
          <w:p w:rsidR="00D24EA0" w:rsidRDefault="00713D87">
            <w:pPr>
              <w:jc w:val="center"/>
            </w:pPr>
            <w:r>
              <w:rPr>
                <w:color w:val="000000"/>
                <w:kern w:val="0"/>
                <w:szCs w:val="21"/>
              </w:rPr>
              <w:t>5</w:t>
            </w:r>
          </w:p>
        </w:tc>
        <w:tc>
          <w:tcPr>
            <w:tcW w:w="1843" w:type="dxa"/>
            <w:vAlign w:val="center"/>
          </w:tcPr>
          <w:p w:rsidR="00D24EA0" w:rsidRDefault="00713D87">
            <w:pPr>
              <w:jc w:val="center"/>
            </w:pPr>
            <w:r>
              <w:rPr>
                <w:color w:val="000000"/>
                <w:kern w:val="0"/>
                <w:szCs w:val="21"/>
              </w:rPr>
              <w:t>20240207-20240311</w:t>
            </w:r>
          </w:p>
        </w:tc>
        <w:tc>
          <w:tcPr>
            <w:tcW w:w="851" w:type="dxa"/>
            <w:vAlign w:val="center"/>
          </w:tcPr>
          <w:p w:rsidR="00D24EA0" w:rsidRDefault="00713D87">
            <w:pPr>
              <w:jc w:val="center"/>
            </w:pPr>
            <w:r>
              <w:rPr>
                <w:color w:val="000000"/>
                <w:kern w:val="0"/>
                <w:szCs w:val="21"/>
              </w:rPr>
              <w:t>9,671,031.00</w:t>
            </w:r>
          </w:p>
        </w:tc>
        <w:tc>
          <w:tcPr>
            <w:tcW w:w="850" w:type="dxa"/>
            <w:vAlign w:val="center"/>
          </w:tcPr>
          <w:p w:rsidR="00D24EA0" w:rsidRDefault="00713D87">
            <w:pPr>
              <w:jc w:val="center"/>
            </w:pPr>
            <w:r>
              <w:rPr>
                <w:color w:val="000000"/>
                <w:kern w:val="0"/>
                <w:szCs w:val="21"/>
              </w:rPr>
              <w:t>9,591,100.00</w:t>
            </w:r>
          </w:p>
        </w:tc>
        <w:tc>
          <w:tcPr>
            <w:tcW w:w="1134" w:type="dxa"/>
            <w:vAlign w:val="center"/>
          </w:tcPr>
          <w:p w:rsidR="00D24EA0" w:rsidRDefault="00713D87">
            <w:pPr>
              <w:jc w:val="center"/>
            </w:pPr>
            <w:r>
              <w:rPr>
                <w:color w:val="000000"/>
                <w:kern w:val="0"/>
                <w:szCs w:val="21"/>
              </w:rPr>
              <w:t>9,612,100.00</w:t>
            </w:r>
          </w:p>
        </w:tc>
        <w:tc>
          <w:tcPr>
            <w:tcW w:w="1419" w:type="dxa"/>
            <w:vAlign w:val="center"/>
          </w:tcPr>
          <w:p w:rsidR="00D24EA0" w:rsidRDefault="00713D87">
            <w:pPr>
              <w:jc w:val="center"/>
            </w:pPr>
            <w:r>
              <w:rPr>
                <w:color w:val="000000"/>
                <w:kern w:val="0"/>
                <w:szCs w:val="21"/>
              </w:rPr>
              <w:t>9,650,031.00</w:t>
            </w:r>
          </w:p>
        </w:tc>
        <w:tc>
          <w:tcPr>
            <w:tcW w:w="1130" w:type="dxa"/>
            <w:vAlign w:val="center"/>
          </w:tcPr>
          <w:p w:rsidR="00D24EA0" w:rsidRDefault="00713D87">
            <w:pPr>
              <w:jc w:val="center"/>
            </w:pPr>
            <w:r>
              <w:rPr>
                <w:color w:val="000000"/>
                <w:kern w:val="0"/>
                <w:szCs w:val="21"/>
              </w:rPr>
              <w:t>12.94%</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交易型开放式指数证券投资基金托管协议</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D24EA0" w:rsidRDefault="00713D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lastRenderedPageBreak/>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二〇二四年四月二十二日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DF" w:rsidRDefault="007F3EDF">
      <w:r>
        <w:separator/>
      </w:r>
    </w:p>
  </w:endnote>
  <w:endnote w:type="continuationSeparator" w:id="0">
    <w:p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13D8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13D87">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713D87">
      <w:rPr>
        <w:rStyle w:val="af5"/>
        <w:noProof/>
      </w:rPr>
      <w:t>7</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DF" w:rsidRDefault="007F3EDF">
      <w:r>
        <w:separator/>
      </w:r>
    </w:p>
  </w:footnote>
  <w:footnote w:type="continuationSeparator" w:id="0">
    <w:p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摩根中证碳中和</w:t>
    </w:r>
    <w:r>
      <w:t>60</w:t>
    </w:r>
    <w:r>
      <w:t>交易型开放式指数证券投资基金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3D87"/>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4EA0"/>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1165</Words>
  <Characters>6645</Characters>
  <Application>Microsoft Office Word</Application>
  <DocSecurity>0</DocSecurity>
  <Lines>55</Lines>
  <Paragraphs>15</Paragraphs>
  <ScaleCrop>false</ScaleCrop>
  <Company>TRT. Ltd. Co.</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158</cp:revision>
  <cp:lastPrinted>2007-07-19T00:46:00Z</cp:lastPrinted>
  <dcterms:created xsi:type="dcterms:W3CDTF">2012-11-21T04:46:00Z</dcterms:created>
  <dcterms:modified xsi:type="dcterms:W3CDTF">2024-04-19T02:58:00Z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