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摩根中证碳中和</w:t>
      </w:r>
      <w:r w:rsidRPr="00473486">
        <w:rPr>
          <w:rFonts w:eastAsiaTheme="minorEastAsia"/>
          <w:b/>
          <w:color w:val="000000" w:themeColor="text1"/>
          <w:sz w:val="36"/>
          <w:szCs w:val="36"/>
        </w:rPr>
        <w:t>60</w:t>
      </w:r>
      <w:r w:rsidRPr="00473486">
        <w:rPr>
          <w:rFonts w:eastAsiaTheme="minorEastAsia"/>
          <w:b/>
          <w:color w:val="000000" w:themeColor="text1"/>
          <w:sz w:val="36"/>
          <w:szCs w:val="36"/>
        </w:rPr>
        <w:t>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报告送出日期：二〇二四年一月二十二日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摩根中证碳中和</w:t>
            </w:r>
            <w:r w:rsidRPr="00473486">
              <w:rPr>
                <w:rFonts w:eastAsiaTheme="minorEastAsia"/>
                <w:color w:val="000000" w:themeColor="text1"/>
                <w:kern w:val="0"/>
                <w:szCs w:val="21"/>
              </w:rPr>
              <w:t>60ETF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43,598,943.00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w:t>
            </w:r>
            <w:r>
              <w:rPr>
                <w:rFonts w:eastAsiaTheme="minorEastAsia"/>
                <w:color w:val="000000" w:themeColor="text1"/>
                <w:kern w:val="0"/>
                <w:szCs w:val="21"/>
              </w:rPr>
              <w:lastRenderedPageBreak/>
              <w:t>整，保证基金正常运行，从而有效跟踪标的指数。</w:t>
            </w:r>
          </w:p>
          <w:p w:rsidR="00BF0CFE" w:rsidRDefault="00DE6AA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本基金的业绩比较基准为标的指数，即中证碳中和</w:t>
            </w:r>
            <w:r w:rsidRPr="00473486">
              <w:rPr>
                <w:rFonts w:eastAsiaTheme="minorEastAsia"/>
                <w:color w:val="000000" w:themeColor="text1"/>
                <w:kern w:val="0"/>
                <w:szCs w:val="21"/>
              </w:rPr>
              <w:t>60</w:t>
            </w:r>
            <w:r w:rsidRPr="00473486">
              <w:rPr>
                <w:rFonts w:eastAsiaTheme="minorEastAsia"/>
                <w:color w:val="000000" w:themeColor="text1"/>
                <w:kern w:val="0"/>
                <w:szCs w:val="21"/>
              </w:rPr>
              <w:t>指数收益率。本基金标的指数变更的，相应更换基金名称和业绩比较基准，并在履行适当程序后及时公告。</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DE6AA7" w:rsidRPr="00473486" w:rsidTr="00DE6AA7">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DE6AA7" w:rsidRPr="00473486" w:rsidTr="00DE6AA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-5,839,310.95</w:t>
            </w:r>
          </w:p>
        </w:tc>
      </w:tr>
      <w:tr w:rsidR="00DE6AA7" w:rsidRPr="00473486" w:rsidTr="00DE6AA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-2,723,166.08</w:t>
            </w:r>
          </w:p>
        </w:tc>
      </w:tr>
      <w:tr w:rsidR="00DE6AA7" w:rsidRPr="00473486" w:rsidTr="00DE6AA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-0.0636</w:t>
            </w:r>
          </w:p>
        </w:tc>
      </w:tr>
      <w:tr w:rsidR="00DE6AA7" w:rsidRPr="00473486" w:rsidTr="00DE6AA7">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31,550,353.52</w:t>
            </w:r>
          </w:p>
        </w:tc>
      </w:tr>
      <w:tr w:rsidR="00DE6AA7" w:rsidRPr="00473486" w:rsidTr="00DE6AA7">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0.7236</w:t>
            </w:r>
          </w:p>
        </w:tc>
      </w:tr>
    </w:tbl>
    <w:p w:rsidR="00BF0CFE" w:rsidRDefault="00DE6AA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BF0CFE">
        <w:tc>
          <w:tcPr>
            <w:tcW w:w="1395" w:type="dxa"/>
            <w:vAlign w:val="center"/>
          </w:tcPr>
          <w:p w:rsidR="00BF0CFE" w:rsidRDefault="00DE6AA7">
            <w:pPr>
              <w:jc w:val="left"/>
            </w:pPr>
            <w:r>
              <w:rPr>
                <w:rFonts w:eastAsiaTheme="minorEastAsia"/>
                <w:color w:val="000000" w:themeColor="text1"/>
                <w:szCs w:val="21"/>
              </w:rPr>
              <w:t>过去三个月</w:t>
            </w:r>
          </w:p>
        </w:tc>
        <w:tc>
          <w:tcPr>
            <w:tcW w:w="1092" w:type="dxa"/>
            <w:vAlign w:val="center"/>
          </w:tcPr>
          <w:p w:rsidR="00BF0CFE" w:rsidRDefault="00DE6AA7">
            <w:pPr>
              <w:jc w:val="center"/>
            </w:pPr>
            <w:r>
              <w:rPr>
                <w:rFonts w:eastAsiaTheme="minorEastAsia"/>
                <w:color w:val="000000" w:themeColor="text1"/>
                <w:szCs w:val="21"/>
              </w:rPr>
              <w:t>-9.41%</w:t>
            </w:r>
          </w:p>
        </w:tc>
        <w:tc>
          <w:tcPr>
            <w:tcW w:w="1161" w:type="dxa"/>
            <w:vAlign w:val="center"/>
          </w:tcPr>
          <w:p w:rsidR="00BF0CFE" w:rsidRDefault="00DE6AA7">
            <w:pPr>
              <w:jc w:val="center"/>
            </w:pPr>
            <w:r>
              <w:rPr>
                <w:rFonts w:eastAsiaTheme="minorEastAsia"/>
                <w:color w:val="000000" w:themeColor="text1"/>
                <w:szCs w:val="21"/>
              </w:rPr>
              <w:t>1.14%</w:t>
            </w:r>
          </w:p>
        </w:tc>
        <w:tc>
          <w:tcPr>
            <w:tcW w:w="1181" w:type="dxa"/>
            <w:vAlign w:val="center"/>
          </w:tcPr>
          <w:p w:rsidR="00BF0CFE" w:rsidRDefault="00DE6AA7">
            <w:pPr>
              <w:jc w:val="center"/>
            </w:pPr>
            <w:r>
              <w:rPr>
                <w:rFonts w:eastAsiaTheme="minorEastAsia"/>
                <w:color w:val="000000" w:themeColor="text1"/>
                <w:szCs w:val="21"/>
              </w:rPr>
              <w:t>-9.21%</w:t>
            </w:r>
          </w:p>
        </w:tc>
        <w:tc>
          <w:tcPr>
            <w:tcW w:w="1188" w:type="dxa"/>
            <w:vAlign w:val="center"/>
          </w:tcPr>
          <w:p w:rsidR="00BF0CFE" w:rsidRDefault="00DE6AA7">
            <w:pPr>
              <w:jc w:val="center"/>
            </w:pPr>
            <w:r>
              <w:rPr>
                <w:rFonts w:eastAsiaTheme="minorEastAsia"/>
                <w:color w:val="000000" w:themeColor="text1"/>
                <w:szCs w:val="21"/>
              </w:rPr>
              <w:t>1.15%</w:t>
            </w:r>
          </w:p>
        </w:tc>
        <w:tc>
          <w:tcPr>
            <w:tcW w:w="1199" w:type="dxa"/>
            <w:vAlign w:val="center"/>
          </w:tcPr>
          <w:p w:rsidR="00BF0CFE" w:rsidRDefault="00DE6AA7">
            <w:pPr>
              <w:jc w:val="center"/>
            </w:pPr>
            <w:r>
              <w:rPr>
                <w:rFonts w:eastAsiaTheme="minorEastAsia"/>
                <w:color w:val="000000" w:themeColor="text1"/>
                <w:szCs w:val="21"/>
              </w:rPr>
              <w:t>-0.20%</w:t>
            </w:r>
          </w:p>
        </w:tc>
        <w:tc>
          <w:tcPr>
            <w:tcW w:w="1204" w:type="dxa"/>
            <w:vAlign w:val="center"/>
          </w:tcPr>
          <w:p w:rsidR="00BF0CFE" w:rsidRDefault="00DE6AA7">
            <w:pPr>
              <w:jc w:val="center"/>
            </w:pPr>
            <w:r>
              <w:rPr>
                <w:rFonts w:eastAsiaTheme="minorEastAsia"/>
                <w:color w:val="000000" w:themeColor="text1"/>
                <w:szCs w:val="21"/>
              </w:rPr>
              <w:t>-0.01%</w:t>
            </w:r>
          </w:p>
        </w:tc>
      </w:tr>
      <w:tr w:rsidR="00BF0CFE">
        <w:tc>
          <w:tcPr>
            <w:tcW w:w="1395" w:type="dxa"/>
            <w:vAlign w:val="center"/>
          </w:tcPr>
          <w:p w:rsidR="00BF0CFE" w:rsidRDefault="00DE6AA7">
            <w:pPr>
              <w:jc w:val="left"/>
            </w:pPr>
            <w:r>
              <w:rPr>
                <w:rFonts w:eastAsiaTheme="minorEastAsia"/>
                <w:color w:val="000000" w:themeColor="text1"/>
                <w:szCs w:val="21"/>
              </w:rPr>
              <w:t>过去六个月</w:t>
            </w:r>
          </w:p>
        </w:tc>
        <w:tc>
          <w:tcPr>
            <w:tcW w:w="1092" w:type="dxa"/>
            <w:vAlign w:val="center"/>
          </w:tcPr>
          <w:p w:rsidR="00BF0CFE" w:rsidRDefault="00DE6AA7">
            <w:pPr>
              <w:jc w:val="center"/>
            </w:pPr>
            <w:r>
              <w:rPr>
                <w:rFonts w:eastAsiaTheme="minorEastAsia"/>
                <w:color w:val="000000" w:themeColor="text1"/>
                <w:szCs w:val="21"/>
              </w:rPr>
              <w:t>-19.98%</w:t>
            </w:r>
          </w:p>
        </w:tc>
        <w:tc>
          <w:tcPr>
            <w:tcW w:w="1161" w:type="dxa"/>
            <w:vAlign w:val="center"/>
          </w:tcPr>
          <w:p w:rsidR="00BF0CFE" w:rsidRDefault="00DE6AA7">
            <w:pPr>
              <w:jc w:val="center"/>
            </w:pPr>
            <w:r>
              <w:rPr>
                <w:rFonts w:eastAsiaTheme="minorEastAsia"/>
                <w:color w:val="000000" w:themeColor="text1"/>
                <w:szCs w:val="21"/>
              </w:rPr>
              <w:t>1.04%</w:t>
            </w:r>
          </w:p>
        </w:tc>
        <w:tc>
          <w:tcPr>
            <w:tcW w:w="1181" w:type="dxa"/>
            <w:vAlign w:val="center"/>
          </w:tcPr>
          <w:p w:rsidR="00BF0CFE" w:rsidRDefault="00DE6AA7">
            <w:pPr>
              <w:jc w:val="center"/>
            </w:pPr>
            <w:r>
              <w:rPr>
                <w:rFonts w:eastAsiaTheme="minorEastAsia"/>
                <w:color w:val="000000" w:themeColor="text1"/>
                <w:szCs w:val="21"/>
              </w:rPr>
              <w:t>-20.27%</w:t>
            </w:r>
          </w:p>
        </w:tc>
        <w:tc>
          <w:tcPr>
            <w:tcW w:w="1188" w:type="dxa"/>
            <w:vAlign w:val="center"/>
          </w:tcPr>
          <w:p w:rsidR="00BF0CFE" w:rsidRDefault="00DE6AA7">
            <w:pPr>
              <w:jc w:val="center"/>
            </w:pPr>
            <w:r>
              <w:rPr>
                <w:rFonts w:eastAsiaTheme="minorEastAsia"/>
                <w:color w:val="000000" w:themeColor="text1"/>
                <w:szCs w:val="21"/>
              </w:rPr>
              <w:t>1.05%</w:t>
            </w:r>
          </w:p>
        </w:tc>
        <w:tc>
          <w:tcPr>
            <w:tcW w:w="1199" w:type="dxa"/>
            <w:vAlign w:val="center"/>
          </w:tcPr>
          <w:p w:rsidR="00BF0CFE" w:rsidRDefault="00DE6AA7">
            <w:pPr>
              <w:jc w:val="center"/>
            </w:pPr>
            <w:r>
              <w:rPr>
                <w:rFonts w:eastAsiaTheme="minorEastAsia"/>
                <w:color w:val="000000" w:themeColor="text1"/>
                <w:szCs w:val="21"/>
              </w:rPr>
              <w:t>0.29%</w:t>
            </w:r>
          </w:p>
        </w:tc>
        <w:tc>
          <w:tcPr>
            <w:tcW w:w="1204" w:type="dxa"/>
            <w:vAlign w:val="center"/>
          </w:tcPr>
          <w:p w:rsidR="00BF0CFE" w:rsidRDefault="00DE6AA7">
            <w:pPr>
              <w:jc w:val="center"/>
            </w:pPr>
            <w:r>
              <w:rPr>
                <w:rFonts w:eastAsiaTheme="minorEastAsia"/>
                <w:color w:val="000000" w:themeColor="text1"/>
                <w:szCs w:val="21"/>
              </w:rPr>
              <w:t>-0.01%</w:t>
            </w:r>
          </w:p>
        </w:tc>
      </w:tr>
      <w:tr w:rsidR="00BF0CFE">
        <w:tc>
          <w:tcPr>
            <w:tcW w:w="1395" w:type="dxa"/>
            <w:vAlign w:val="center"/>
          </w:tcPr>
          <w:p w:rsidR="00BF0CFE" w:rsidRDefault="00DE6AA7">
            <w:pPr>
              <w:jc w:val="left"/>
            </w:pPr>
            <w:r>
              <w:rPr>
                <w:rFonts w:eastAsiaTheme="minorEastAsia"/>
                <w:color w:val="000000" w:themeColor="text1"/>
                <w:szCs w:val="21"/>
              </w:rPr>
              <w:t>过去一年</w:t>
            </w:r>
          </w:p>
        </w:tc>
        <w:tc>
          <w:tcPr>
            <w:tcW w:w="1092" w:type="dxa"/>
            <w:vAlign w:val="center"/>
          </w:tcPr>
          <w:p w:rsidR="00BF0CFE" w:rsidRDefault="00DE6AA7">
            <w:pPr>
              <w:jc w:val="center"/>
            </w:pPr>
            <w:r>
              <w:rPr>
                <w:rFonts w:eastAsiaTheme="minorEastAsia"/>
                <w:color w:val="000000" w:themeColor="text1"/>
                <w:szCs w:val="21"/>
              </w:rPr>
              <w:t>-27.65%</w:t>
            </w:r>
          </w:p>
        </w:tc>
        <w:tc>
          <w:tcPr>
            <w:tcW w:w="1161" w:type="dxa"/>
            <w:vAlign w:val="center"/>
          </w:tcPr>
          <w:p w:rsidR="00BF0CFE" w:rsidRDefault="00DE6AA7">
            <w:pPr>
              <w:jc w:val="center"/>
            </w:pPr>
            <w:r>
              <w:rPr>
                <w:rFonts w:eastAsiaTheme="minorEastAsia"/>
                <w:color w:val="000000" w:themeColor="text1"/>
                <w:szCs w:val="21"/>
              </w:rPr>
              <w:t>1.06%</w:t>
            </w:r>
          </w:p>
        </w:tc>
        <w:tc>
          <w:tcPr>
            <w:tcW w:w="1181" w:type="dxa"/>
            <w:vAlign w:val="center"/>
          </w:tcPr>
          <w:p w:rsidR="00BF0CFE" w:rsidRDefault="00DE6AA7">
            <w:pPr>
              <w:jc w:val="center"/>
            </w:pPr>
            <w:r>
              <w:rPr>
                <w:rFonts w:eastAsiaTheme="minorEastAsia"/>
                <w:color w:val="000000" w:themeColor="text1"/>
                <w:szCs w:val="21"/>
              </w:rPr>
              <w:t>-25.27%</w:t>
            </w:r>
          </w:p>
        </w:tc>
        <w:tc>
          <w:tcPr>
            <w:tcW w:w="1188" w:type="dxa"/>
            <w:vAlign w:val="center"/>
          </w:tcPr>
          <w:p w:rsidR="00BF0CFE" w:rsidRDefault="00DE6AA7">
            <w:pPr>
              <w:jc w:val="center"/>
            </w:pPr>
            <w:r>
              <w:rPr>
                <w:rFonts w:eastAsiaTheme="minorEastAsia"/>
                <w:color w:val="000000" w:themeColor="text1"/>
                <w:szCs w:val="21"/>
              </w:rPr>
              <w:t>1.10%</w:t>
            </w:r>
          </w:p>
        </w:tc>
        <w:tc>
          <w:tcPr>
            <w:tcW w:w="1199" w:type="dxa"/>
            <w:vAlign w:val="center"/>
          </w:tcPr>
          <w:p w:rsidR="00BF0CFE" w:rsidRDefault="00DE6AA7">
            <w:pPr>
              <w:jc w:val="center"/>
            </w:pPr>
            <w:r>
              <w:rPr>
                <w:rFonts w:eastAsiaTheme="minorEastAsia"/>
                <w:color w:val="000000" w:themeColor="text1"/>
                <w:szCs w:val="21"/>
              </w:rPr>
              <w:t>-2.38%</w:t>
            </w:r>
          </w:p>
        </w:tc>
        <w:tc>
          <w:tcPr>
            <w:tcW w:w="1204" w:type="dxa"/>
            <w:vAlign w:val="center"/>
          </w:tcPr>
          <w:p w:rsidR="00BF0CFE" w:rsidRDefault="00DE6AA7">
            <w:pPr>
              <w:jc w:val="center"/>
            </w:pPr>
            <w:r>
              <w:rPr>
                <w:rFonts w:eastAsiaTheme="minorEastAsia"/>
                <w:color w:val="000000" w:themeColor="text1"/>
                <w:szCs w:val="21"/>
              </w:rPr>
              <w:t>-0.04%</w:t>
            </w:r>
          </w:p>
        </w:tc>
      </w:tr>
      <w:tr w:rsidR="00BF0CFE">
        <w:tc>
          <w:tcPr>
            <w:tcW w:w="1395" w:type="dxa"/>
            <w:vAlign w:val="center"/>
          </w:tcPr>
          <w:p w:rsidR="00BF0CFE" w:rsidRDefault="00DE6AA7">
            <w:pPr>
              <w:jc w:val="left"/>
            </w:pPr>
            <w:r>
              <w:rPr>
                <w:rFonts w:eastAsiaTheme="minorEastAsia"/>
                <w:color w:val="000000" w:themeColor="text1"/>
                <w:szCs w:val="21"/>
              </w:rPr>
              <w:t>过去三年</w:t>
            </w:r>
          </w:p>
        </w:tc>
        <w:tc>
          <w:tcPr>
            <w:tcW w:w="1092" w:type="dxa"/>
            <w:vAlign w:val="center"/>
          </w:tcPr>
          <w:p w:rsidR="00BF0CFE" w:rsidRDefault="00DE6AA7">
            <w:pPr>
              <w:jc w:val="center"/>
            </w:pPr>
            <w:r>
              <w:rPr>
                <w:rFonts w:eastAsiaTheme="minorEastAsia"/>
                <w:color w:val="000000" w:themeColor="text1"/>
                <w:szCs w:val="21"/>
              </w:rPr>
              <w:t>-</w:t>
            </w:r>
          </w:p>
        </w:tc>
        <w:tc>
          <w:tcPr>
            <w:tcW w:w="1161" w:type="dxa"/>
            <w:vAlign w:val="center"/>
          </w:tcPr>
          <w:p w:rsidR="00BF0CFE" w:rsidRDefault="00DE6AA7">
            <w:pPr>
              <w:jc w:val="center"/>
            </w:pPr>
            <w:r>
              <w:rPr>
                <w:rFonts w:eastAsiaTheme="minorEastAsia"/>
                <w:color w:val="000000" w:themeColor="text1"/>
                <w:szCs w:val="21"/>
              </w:rPr>
              <w:t>-</w:t>
            </w:r>
          </w:p>
        </w:tc>
        <w:tc>
          <w:tcPr>
            <w:tcW w:w="1181" w:type="dxa"/>
            <w:vAlign w:val="center"/>
          </w:tcPr>
          <w:p w:rsidR="00BF0CFE" w:rsidRDefault="00DE6AA7">
            <w:pPr>
              <w:jc w:val="center"/>
            </w:pPr>
            <w:r>
              <w:rPr>
                <w:rFonts w:eastAsiaTheme="minorEastAsia"/>
                <w:color w:val="000000" w:themeColor="text1"/>
                <w:szCs w:val="21"/>
              </w:rPr>
              <w:t>-</w:t>
            </w:r>
          </w:p>
        </w:tc>
        <w:tc>
          <w:tcPr>
            <w:tcW w:w="1188" w:type="dxa"/>
            <w:vAlign w:val="center"/>
          </w:tcPr>
          <w:p w:rsidR="00BF0CFE" w:rsidRDefault="00DE6AA7">
            <w:pPr>
              <w:jc w:val="center"/>
            </w:pPr>
            <w:r>
              <w:rPr>
                <w:rFonts w:eastAsiaTheme="minorEastAsia"/>
                <w:color w:val="000000" w:themeColor="text1"/>
                <w:szCs w:val="21"/>
              </w:rPr>
              <w:t>-</w:t>
            </w:r>
          </w:p>
        </w:tc>
        <w:tc>
          <w:tcPr>
            <w:tcW w:w="1199" w:type="dxa"/>
            <w:vAlign w:val="center"/>
          </w:tcPr>
          <w:p w:rsidR="00BF0CFE" w:rsidRDefault="00DE6AA7">
            <w:pPr>
              <w:jc w:val="center"/>
            </w:pPr>
            <w:r>
              <w:rPr>
                <w:rFonts w:eastAsiaTheme="minorEastAsia"/>
                <w:color w:val="000000" w:themeColor="text1"/>
                <w:szCs w:val="21"/>
              </w:rPr>
              <w:t>-</w:t>
            </w:r>
          </w:p>
        </w:tc>
        <w:tc>
          <w:tcPr>
            <w:tcW w:w="1204" w:type="dxa"/>
            <w:vAlign w:val="center"/>
          </w:tcPr>
          <w:p w:rsidR="00BF0CFE" w:rsidRDefault="00DE6AA7">
            <w:pPr>
              <w:jc w:val="center"/>
            </w:pPr>
            <w:r>
              <w:rPr>
                <w:rFonts w:eastAsiaTheme="minorEastAsia"/>
                <w:color w:val="000000" w:themeColor="text1"/>
                <w:szCs w:val="21"/>
              </w:rPr>
              <w:t>-</w:t>
            </w:r>
          </w:p>
        </w:tc>
      </w:tr>
      <w:tr w:rsidR="00BF0CFE">
        <w:tc>
          <w:tcPr>
            <w:tcW w:w="1395" w:type="dxa"/>
            <w:vAlign w:val="center"/>
          </w:tcPr>
          <w:p w:rsidR="00BF0CFE" w:rsidRDefault="00DE6AA7">
            <w:pPr>
              <w:jc w:val="left"/>
            </w:pPr>
            <w:r>
              <w:rPr>
                <w:rFonts w:eastAsiaTheme="minorEastAsia"/>
                <w:color w:val="000000" w:themeColor="text1"/>
                <w:szCs w:val="21"/>
              </w:rPr>
              <w:t>过去五年</w:t>
            </w:r>
          </w:p>
        </w:tc>
        <w:tc>
          <w:tcPr>
            <w:tcW w:w="1092" w:type="dxa"/>
            <w:vAlign w:val="center"/>
          </w:tcPr>
          <w:p w:rsidR="00BF0CFE" w:rsidRDefault="00DE6AA7">
            <w:pPr>
              <w:jc w:val="center"/>
            </w:pPr>
            <w:r>
              <w:rPr>
                <w:rFonts w:eastAsiaTheme="minorEastAsia"/>
                <w:color w:val="000000" w:themeColor="text1"/>
                <w:szCs w:val="21"/>
              </w:rPr>
              <w:t>-</w:t>
            </w:r>
          </w:p>
        </w:tc>
        <w:tc>
          <w:tcPr>
            <w:tcW w:w="1161" w:type="dxa"/>
            <w:vAlign w:val="center"/>
          </w:tcPr>
          <w:p w:rsidR="00BF0CFE" w:rsidRDefault="00DE6AA7">
            <w:pPr>
              <w:jc w:val="center"/>
            </w:pPr>
            <w:r>
              <w:rPr>
                <w:rFonts w:eastAsiaTheme="minorEastAsia"/>
                <w:color w:val="000000" w:themeColor="text1"/>
                <w:szCs w:val="21"/>
              </w:rPr>
              <w:t>-</w:t>
            </w:r>
          </w:p>
        </w:tc>
        <w:tc>
          <w:tcPr>
            <w:tcW w:w="1181" w:type="dxa"/>
            <w:vAlign w:val="center"/>
          </w:tcPr>
          <w:p w:rsidR="00BF0CFE" w:rsidRDefault="00DE6AA7">
            <w:pPr>
              <w:jc w:val="center"/>
            </w:pPr>
            <w:r>
              <w:rPr>
                <w:rFonts w:eastAsiaTheme="minorEastAsia"/>
                <w:color w:val="000000" w:themeColor="text1"/>
                <w:szCs w:val="21"/>
              </w:rPr>
              <w:t>-</w:t>
            </w:r>
          </w:p>
        </w:tc>
        <w:tc>
          <w:tcPr>
            <w:tcW w:w="1188" w:type="dxa"/>
            <w:vAlign w:val="center"/>
          </w:tcPr>
          <w:p w:rsidR="00BF0CFE" w:rsidRDefault="00DE6AA7">
            <w:pPr>
              <w:jc w:val="center"/>
            </w:pPr>
            <w:r>
              <w:rPr>
                <w:rFonts w:eastAsiaTheme="minorEastAsia"/>
                <w:color w:val="000000" w:themeColor="text1"/>
                <w:szCs w:val="21"/>
              </w:rPr>
              <w:t>-</w:t>
            </w:r>
          </w:p>
        </w:tc>
        <w:tc>
          <w:tcPr>
            <w:tcW w:w="1199" w:type="dxa"/>
            <w:vAlign w:val="center"/>
          </w:tcPr>
          <w:p w:rsidR="00BF0CFE" w:rsidRDefault="00DE6AA7">
            <w:pPr>
              <w:jc w:val="center"/>
            </w:pPr>
            <w:r>
              <w:rPr>
                <w:rFonts w:eastAsiaTheme="minorEastAsia"/>
                <w:color w:val="000000" w:themeColor="text1"/>
                <w:szCs w:val="21"/>
              </w:rPr>
              <w:t>-</w:t>
            </w:r>
          </w:p>
        </w:tc>
        <w:tc>
          <w:tcPr>
            <w:tcW w:w="1204" w:type="dxa"/>
            <w:vAlign w:val="center"/>
          </w:tcPr>
          <w:p w:rsidR="00BF0CFE" w:rsidRDefault="00DE6AA7">
            <w:pPr>
              <w:jc w:val="center"/>
            </w:pPr>
            <w:r>
              <w:rPr>
                <w:rFonts w:eastAsiaTheme="minorEastAsia"/>
                <w:color w:val="000000" w:themeColor="text1"/>
                <w:szCs w:val="21"/>
              </w:rPr>
              <w:t>-</w:t>
            </w:r>
          </w:p>
        </w:tc>
      </w:tr>
      <w:tr w:rsidR="00BF0CFE">
        <w:tc>
          <w:tcPr>
            <w:tcW w:w="1395" w:type="dxa"/>
            <w:vAlign w:val="center"/>
          </w:tcPr>
          <w:p w:rsidR="00BF0CFE" w:rsidRDefault="00DE6AA7">
            <w:pPr>
              <w:jc w:val="left"/>
            </w:pPr>
            <w:r>
              <w:rPr>
                <w:rFonts w:eastAsiaTheme="minorEastAsia"/>
                <w:color w:val="000000" w:themeColor="text1"/>
                <w:szCs w:val="21"/>
              </w:rPr>
              <w:t>自基金合同生效起至今</w:t>
            </w:r>
          </w:p>
        </w:tc>
        <w:tc>
          <w:tcPr>
            <w:tcW w:w="1092" w:type="dxa"/>
            <w:vAlign w:val="center"/>
          </w:tcPr>
          <w:p w:rsidR="00BF0CFE" w:rsidRDefault="00DE6AA7">
            <w:pPr>
              <w:jc w:val="center"/>
            </w:pPr>
            <w:r>
              <w:rPr>
                <w:rFonts w:eastAsiaTheme="minorEastAsia"/>
                <w:color w:val="000000" w:themeColor="text1"/>
                <w:szCs w:val="21"/>
              </w:rPr>
              <w:t>-27.64%</w:t>
            </w:r>
          </w:p>
        </w:tc>
        <w:tc>
          <w:tcPr>
            <w:tcW w:w="1161" w:type="dxa"/>
            <w:vAlign w:val="center"/>
          </w:tcPr>
          <w:p w:rsidR="00BF0CFE" w:rsidRDefault="00DE6AA7">
            <w:pPr>
              <w:jc w:val="center"/>
            </w:pPr>
            <w:r>
              <w:rPr>
                <w:rFonts w:eastAsiaTheme="minorEastAsia"/>
                <w:color w:val="000000" w:themeColor="text1"/>
                <w:szCs w:val="21"/>
              </w:rPr>
              <w:t>1.05%</w:t>
            </w:r>
          </w:p>
        </w:tc>
        <w:tc>
          <w:tcPr>
            <w:tcW w:w="1181" w:type="dxa"/>
            <w:vAlign w:val="center"/>
          </w:tcPr>
          <w:p w:rsidR="00BF0CFE" w:rsidRDefault="00DE6AA7">
            <w:pPr>
              <w:jc w:val="center"/>
            </w:pPr>
            <w:r>
              <w:rPr>
                <w:rFonts w:eastAsiaTheme="minorEastAsia"/>
                <w:color w:val="000000" w:themeColor="text1"/>
                <w:szCs w:val="21"/>
              </w:rPr>
              <w:t>-25.49%</w:t>
            </w:r>
          </w:p>
        </w:tc>
        <w:tc>
          <w:tcPr>
            <w:tcW w:w="1188" w:type="dxa"/>
            <w:vAlign w:val="center"/>
          </w:tcPr>
          <w:p w:rsidR="00BF0CFE" w:rsidRDefault="00DE6AA7">
            <w:pPr>
              <w:jc w:val="center"/>
            </w:pPr>
            <w:r>
              <w:rPr>
                <w:rFonts w:eastAsiaTheme="minorEastAsia"/>
                <w:color w:val="000000" w:themeColor="text1"/>
                <w:szCs w:val="21"/>
              </w:rPr>
              <w:t>1.10%</w:t>
            </w:r>
          </w:p>
        </w:tc>
        <w:tc>
          <w:tcPr>
            <w:tcW w:w="1199" w:type="dxa"/>
            <w:vAlign w:val="center"/>
          </w:tcPr>
          <w:p w:rsidR="00BF0CFE" w:rsidRDefault="00DE6AA7">
            <w:pPr>
              <w:jc w:val="center"/>
            </w:pPr>
            <w:r>
              <w:rPr>
                <w:rFonts w:eastAsiaTheme="minorEastAsia"/>
                <w:color w:val="000000" w:themeColor="text1"/>
                <w:szCs w:val="21"/>
              </w:rPr>
              <w:t>-2.15%</w:t>
            </w:r>
          </w:p>
        </w:tc>
        <w:tc>
          <w:tcPr>
            <w:tcW w:w="1204" w:type="dxa"/>
            <w:vAlign w:val="center"/>
          </w:tcPr>
          <w:p w:rsidR="00BF0CFE" w:rsidRDefault="00DE6AA7">
            <w:pPr>
              <w:jc w:val="center"/>
            </w:pPr>
            <w:r>
              <w:rPr>
                <w:rFonts w:eastAsiaTheme="minorEastAsia"/>
                <w:color w:val="000000" w:themeColor="text1"/>
                <w:szCs w:val="21"/>
              </w:rPr>
              <w:t>-0.05%</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摩根中证碳中和</w:t>
      </w:r>
      <w:r w:rsidRPr="00473486">
        <w:rPr>
          <w:rFonts w:eastAsiaTheme="minorEastAsia"/>
          <w:color w:val="000000" w:themeColor="text1"/>
          <w:szCs w:val="21"/>
        </w:rPr>
        <w:t>60</w:t>
      </w:r>
      <w:r w:rsidRPr="00473486">
        <w:rPr>
          <w:rFonts w:eastAsiaTheme="minorEastAsia"/>
          <w:color w:val="000000" w:themeColor="text1"/>
          <w:szCs w:val="21"/>
        </w:rPr>
        <w:t>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日至</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F0CFE" w:rsidRDefault="00DE6AA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BF0CFE">
        <w:tc>
          <w:tcPr>
            <w:tcW w:w="851" w:type="dxa"/>
            <w:vAlign w:val="center"/>
          </w:tcPr>
          <w:p w:rsidR="00BF0CFE" w:rsidRDefault="00DE6AA7">
            <w:pPr>
              <w:jc w:val="center"/>
            </w:pPr>
            <w:r>
              <w:rPr>
                <w:rFonts w:eastAsiaTheme="minorEastAsia"/>
                <w:color w:val="000000" w:themeColor="text1"/>
                <w:szCs w:val="21"/>
              </w:rPr>
              <w:t>毛时超</w:t>
            </w:r>
          </w:p>
        </w:tc>
        <w:tc>
          <w:tcPr>
            <w:tcW w:w="850" w:type="dxa"/>
            <w:vAlign w:val="center"/>
          </w:tcPr>
          <w:p w:rsidR="00BF0CFE" w:rsidRDefault="00DE6AA7">
            <w:pPr>
              <w:jc w:val="center"/>
            </w:pPr>
            <w:r>
              <w:rPr>
                <w:rFonts w:eastAsiaTheme="minorEastAsia"/>
                <w:color w:val="000000" w:themeColor="text1"/>
                <w:szCs w:val="21"/>
              </w:rPr>
              <w:t>本基金基金经理</w:t>
            </w:r>
          </w:p>
        </w:tc>
        <w:tc>
          <w:tcPr>
            <w:tcW w:w="1560" w:type="dxa"/>
            <w:vAlign w:val="center"/>
          </w:tcPr>
          <w:p w:rsidR="00BF0CFE" w:rsidRDefault="00DE6AA7">
            <w:pPr>
              <w:jc w:val="center"/>
            </w:pPr>
            <w:r>
              <w:rPr>
                <w:rFonts w:eastAsiaTheme="minorEastAsia"/>
                <w:color w:val="000000" w:themeColor="text1"/>
                <w:szCs w:val="21"/>
              </w:rPr>
              <w:t>2022-12-29</w:t>
            </w:r>
          </w:p>
        </w:tc>
        <w:tc>
          <w:tcPr>
            <w:tcW w:w="1559" w:type="dxa"/>
            <w:vAlign w:val="center"/>
          </w:tcPr>
          <w:p w:rsidR="00BF0CFE" w:rsidRDefault="00DE6AA7">
            <w:pPr>
              <w:jc w:val="center"/>
            </w:pPr>
            <w:r>
              <w:rPr>
                <w:rFonts w:eastAsiaTheme="minorEastAsia"/>
                <w:color w:val="000000" w:themeColor="text1"/>
                <w:szCs w:val="21"/>
              </w:rPr>
              <w:t>-</w:t>
            </w:r>
          </w:p>
        </w:tc>
        <w:tc>
          <w:tcPr>
            <w:tcW w:w="1417" w:type="dxa"/>
            <w:vAlign w:val="center"/>
          </w:tcPr>
          <w:p w:rsidR="00BF0CFE" w:rsidRDefault="00DE6AA7">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BF0CFE" w:rsidRDefault="00DE6AA7">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BF0CFE" w:rsidRDefault="00DE6AA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BF0CFE" w:rsidRDefault="00DE6AA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本基金投资跟踪的碳中和</w:t>
      </w:r>
      <w:r>
        <w:rPr>
          <w:rFonts w:eastAsiaTheme="minorEastAsia"/>
          <w:color w:val="000000" w:themeColor="text1"/>
          <w:szCs w:val="21"/>
        </w:rPr>
        <w:t>60</w:t>
      </w:r>
      <w:r>
        <w:rPr>
          <w:rFonts w:eastAsiaTheme="minorEastAsia"/>
          <w:color w:val="000000" w:themeColor="text1"/>
          <w:szCs w:val="21"/>
        </w:rPr>
        <w:t>指数，选取清洁能源与储能等深度低碳领域、火电等高碳减排领域的</w:t>
      </w:r>
      <w:r>
        <w:rPr>
          <w:rFonts w:eastAsiaTheme="minorEastAsia"/>
          <w:color w:val="000000" w:themeColor="text1"/>
          <w:szCs w:val="21"/>
        </w:rPr>
        <w:t>60</w:t>
      </w:r>
      <w:r>
        <w:rPr>
          <w:rFonts w:eastAsiaTheme="minorEastAsia"/>
          <w:color w:val="000000" w:themeColor="text1"/>
          <w:szCs w:val="21"/>
        </w:rPr>
        <w:t>只上市公司证券作为指数样本，以反映对碳中和贡献较大的上市公司证券的</w:t>
      </w:r>
      <w:r>
        <w:rPr>
          <w:rFonts w:eastAsiaTheme="minorEastAsia"/>
          <w:color w:val="000000" w:themeColor="text1"/>
          <w:szCs w:val="21"/>
        </w:rPr>
        <w:lastRenderedPageBreak/>
        <w:t>整体表现。从行业分布来看，截至四季度末，电力设备及新能源行业占比最大，其他还有电力及公用事业、汽车、机械设备、有色金属、基础化工、建材行业等。</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深度低碳板块相关的公司，由于过去几年大幅扩产与海外出口受阻，出现竞争加剧、需求增速下滑、产品价格回落的情况，股价整体呈现持续下跌的趋势。高碳减排板块相关的股票，由于绝对估值水平不高，在前期回调之后企稳上涨。但是从整体表现来看，本基金跟踪的指数表现不佳。</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本基金采用复制标的指数的投资策略，基于多套系统处理日常的申购赎回等行为，力争将跟踪误差控制在合理水平。</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展望未来，实现碳中和、控制气温升高已经成为全球共识，碳中和目标已经成为我国重要的国策，本基金跟踪投资的碳中和领域相关公司，当前估值水平处于较低位置，中长期来看具有较高的投资性价比。</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本报告期摩根中证碳中和</w:t>
      </w:r>
      <w:r w:rsidRPr="00473486">
        <w:rPr>
          <w:rFonts w:eastAsiaTheme="minorEastAsia"/>
          <w:color w:val="000000" w:themeColor="text1"/>
          <w:szCs w:val="21"/>
        </w:rPr>
        <w:t>60ETF</w:t>
      </w:r>
      <w:r w:rsidRPr="00473486">
        <w:rPr>
          <w:rFonts w:eastAsiaTheme="minorEastAsia"/>
          <w:color w:val="000000" w:themeColor="text1"/>
          <w:szCs w:val="21"/>
        </w:rPr>
        <w:t>份额净值增长率为</w:t>
      </w:r>
      <w:r w:rsidRPr="00473486">
        <w:rPr>
          <w:rFonts w:eastAsiaTheme="minorEastAsia"/>
          <w:color w:val="000000" w:themeColor="text1"/>
          <w:szCs w:val="21"/>
        </w:rPr>
        <w:t>:-9.41%</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:-9.21%</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基金管理人拟调整本基金运作方式，加大营销力度，提升基金规模，方案已报监管机关。</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31,494,979.61</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98.44</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31,494,979.61</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98.44</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425,743.43</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1.33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74,638.37</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31,995,361.41</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109,620.00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23,918,481.13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75.81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6,636,589.48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21.03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830,289.00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31,494,979.61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99.82</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BF0CFE">
        <w:tc>
          <w:tcPr>
            <w:tcW w:w="817" w:type="dxa"/>
            <w:vAlign w:val="center"/>
          </w:tcPr>
          <w:p w:rsidR="00BF0CFE" w:rsidRDefault="00DE6AA7">
            <w:pPr>
              <w:jc w:val="center"/>
            </w:pPr>
            <w:r>
              <w:rPr>
                <w:rFonts w:eastAsiaTheme="minorEastAsia"/>
                <w:color w:val="000000" w:themeColor="text1"/>
                <w:szCs w:val="21"/>
              </w:rPr>
              <w:t>1</w:t>
            </w:r>
          </w:p>
        </w:tc>
        <w:tc>
          <w:tcPr>
            <w:tcW w:w="1276" w:type="dxa"/>
            <w:vAlign w:val="center"/>
          </w:tcPr>
          <w:p w:rsidR="00BF0CFE" w:rsidRDefault="00DE6AA7">
            <w:pPr>
              <w:jc w:val="center"/>
            </w:pPr>
            <w:r>
              <w:rPr>
                <w:rFonts w:eastAsiaTheme="minorEastAsia"/>
                <w:color w:val="000000" w:themeColor="text1"/>
                <w:szCs w:val="21"/>
              </w:rPr>
              <w:t>300750</w:t>
            </w:r>
          </w:p>
        </w:tc>
        <w:tc>
          <w:tcPr>
            <w:tcW w:w="1701" w:type="dxa"/>
            <w:vAlign w:val="center"/>
          </w:tcPr>
          <w:p w:rsidR="00BF0CFE" w:rsidRDefault="00DE6AA7">
            <w:pPr>
              <w:jc w:val="center"/>
            </w:pPr>
            <w:r>
              <w:rPr>
                <w:rFonts w:eastAsiaTheme="minorEastAsia"/>
                <w:color w:val="000000" w:themeColor="text1"/>
                <w:szCs w:val="21"/>
              </w:rPr>
              <w:t>宁德时代</w:t>
            </w:r>
          </w:p>
        </w:tc>
        <w:tc>
          <w:tcPr>
            <w:tcW w:w="1276" w:type="dxa"/>
            <w:vAlign w:val="center"/>
          </w:tcPr>
          <w:p w:rsidR="00BF0CFE" w:rsidRDefault="00DE6AA7">
            <w:pPr>
              <w:jc w:val="right"/>
            </w:pPr>
            <w:r>
              <w:rPr>
                <w:rFonts w:eastAsiaTheme="minorEastAsia"/>
                <w:color w:val="000000" w:themeColor="text1"/>
                <w:szCs w:val="21"/>
              </w:rPr>
              <w:t>19,004.00</w:t>
            </w:r>
          </w:p>
        </w:tc>
        <w:tc>
          <w:tcPr>
            <w:tcW w:w="1842" w:type="dxa"/>
            <w:vAlign w:val="center"/>
          </w:tcPr>
          <w:p w:rsidR="00BF0CFE" w:rsidRDefault="00DE6AA7">
            <w:pPr>
              <w:jc w:val="right"/>
            </w:pPr>
            <w:r>
              <w:rPr>
                <w:rFonts w:eastAsiaTheme="minorEastAsia"/>
                <w:color w:val="000000" w:themeColor="text1"/>
                <w:szCs w:val="21"/>
              </w:rPr>
              <w:t>3,102,593.04</w:t>
            </w:r>
          </w:p>
        </w:tc>
        <w:tc>
          <w:tcPr>
            <w:tcW w:w="1616" w:type="dxa"/>
            <w:vAlign w:val="center"/>
          </w:tcPr>
          <w:p w:rsidR="00BF0CFE" w:rsidRDefault="00DE6AA7">
            <w:pPr>
              <w:jc w:val="right"/>
            </w:pPr>
            <w:r>
              <w:rPr>
                <w:rFonts w:eastAsiaTheme="minorEastAsia"/>
                <w:color w:val="000000" w:themeColor="text1"/>
                <w:szCs w:val="21"/>
              </w:rPr>
              <w:t>9.83</w:t>
            </w:r>
          </w:p>
        </w:tc>
      </w:tr>
      <w:tr w:rsidR="00BF0CFE">
        <w:tc>
          <w:tcPr>
            <w:tcW w:w="817" w:type="dxa"/>
            <w:vAlign w:val="center"/>
          </w:tcPr>
          <w:p w:rsidR="00BF0CFE" w:rsidRDefault="00DE6AA7">
            <w:pPr>
              <w:jc w:val="center"/>
            </w:pPr>
            <w:r>
              <w:rPr>
                <w:rFonts w:eastAsiaTheme="minorEastAsia"/>
                <w:color w:val="000000" w:themeColor="text1"/>
                <w:szCs w:val="21"/>
              </w:rPr>
              <w:t>2</w:t>
            </w:r>
          </w:p>
        </w:tc>
        <w:tc>
          <w:tcPr>
            <w:tcW w:w="1276" w:type="dxa"/>
            <w:vAlign w:val="center"/>
          </w:tcPr>
          <w:p w:rsidR="00BF0CFE" w:rsidRDefault="00DE6AA7">
            <w:pPr>
              <w:jc w:val="center"/>
            </w:pPr>
            <w:r>
              <w:rPr>
                <w:rFonts w:eastAsiaTheme="minorEastAsia"/>
                <w:color w:val="000000" w:themeColor="text1"/>
                <w:szCs w:val="21"/>
              </w:rPr>
              <w:t>600900</w:t>
            </w:r>
          </w:p>
        </w:tc>
        <w:tc>
          <w:tcPr>
            <w:tcW w:w="1701" w:type="dxa"/>
            <w:vAlign w:val="center"/>
          </w:tcPr>
          <w:p w:rsidR="00BF0CFE" w:rsidRDefault="00DE6AA7">
            <w:pPr>
              <w:jc w:val="center"/>
            </w:pPr>
            <w:r>
              <w:rPr>
                <w:rFonts w:eastAsiaTheme="minorEastAsia"/>
                <w:color w:val="000000" w:themeColor="text1"/>
                <w:szCs w:val="21"/>
              </w:rPr>
              <w:t>长江电力</w:t>
            </w:r>
          </w:p>
        </w:tc>
        <w:tc>
          <w:tcPr>
            <w:tcW w:w="1276" w:type="dxa"/>
            <w:vAlign w:val="center"/>
          </w:tcPr>
          <w:p w:rsidR="00BF0CFE" w:rsidRDefault="00DE6AA7">
            <w:pPr>
              <w:jc w:val="right"/>
            </w:pPr>
            <w:r>
              <w:rPr>
                <w:rFonts w:eastAsiaTheme="minorEastAsia"/>
                <w:color w:val="000000" w:themeColor="text1"/>
                <w:szCs w:val="21"/>
              </w:rPr>
              <w:t>117,172.00</w:t>
            </w:r>
          </w:p>
        </w:tc>
        <w:tc>
          <w:tcPr>
            <w:tcW w:w="1842" w:type="dxa"/>
            <w:vAlign w:val="center"/>
          </w:tcPr>
          <w:p w:rsidR="00BF0CFE" w:rsidRDefault="00DE6AA7">
            <w:pPr>
              <w:jc w:val="right"/>
            </w:pPr>
            <w:r>
              <w:rPr>
                <w:rFonts w:eastAsiaTheme="minorEastAsia"/>
                <w:color w:val="000000" w:themeColor="text1"/>
                <w:szCs w:val="21"/>
              </w:rPr>
              <w:t>2,734,794.48</w:t>
            </w:r>
          </w:p>
        </w:tc>
        <w:tc>
          <w:tcPr>
            <w:tcW w:w="1616" w:type="dxa"/>
            <w:vAlign w:val="center"/>
          </w:tcPr>
          <w:p w:rsidR="00BF0CFE" w:rsidRDefault="00DE6AA7">
            <w:pPr>
              <w:jc w:val="right"/>
            </w:pPr>
            <w:r>
              <w:rPr>
                <w:rFonts w:eastAsiaTheme="minorEastAsia"/>
                <w:color w:val="000000" w:themeColor="text1"/>
                <w:szCs w:val="21"/>
              </w:rPr>
              <w:t>8.67</w:t>
            </w:r>
          </w:p>
        </w:tc>
      </w:tr>
      <w:tr w:rsidR="00BF0CFE">
        <w:tc>
          <w:tcPr>
            <w:tcW w:w="817" w:type="dxa"/>
            <w:vAlign w:val="center"/>
          </w:tcPr>
          <w:p w:rsidR="00BF0CFE" w:rsidRDefault="00DE6AA7">
            <w:pPr>
              <w:jc w:val="center"/>
            </w:pPr>
            <w:r>
              <w:rPr>
                <w:rFonts w:eastAsiaTheme="minorEastAsia"/>
                <w:color w:val="000000" w:themeColor="text1"/>
                <w:szCs w:val="21"/>
              </w:rPr>
              <w:t>3</w:t>
            </w:r>
          </w:p>
        </w:tc>
        <w:tc>
          <w:tcPr>
            <w:tcW w:w="1276" w:type="dxa"/>
            <w:vAlign w:val="center"/>
          </w:tcPr>
          <w:p w:rsidR="00BF0CFE" w:rsidRDefault="00DE6AA7">
            <w:pPr>
              <w:jc w:val="center"/>
            </w:pPr>
            <w:r>
              <w:rPr>
                <w:rFonts w:eastAsiaTheme="minorEastAsia"/>
                <w:color w:val="000000" w:themeColor="text1"/>
                <w:szCs w:val="21"/>
              </w:rPr>
              <w:t>002594</w:t>
            </w:r>
          </w:p>
        </w:tc>
        <w:tc>
          <w:tcPr>
            <w:tcW w:w="1701" w:type="dxa"/>
            <w:vAlign w:val="center"/>
          </w:tcPr>
          <w:p w:rsidR="00BF0CFE" w:rsidRDefault="00DE6AA7">
            <w:pPr>
              <w:jc w:val="center"/>
            </w:pPr>
            <w:r>
              <w:rPr>
                <w:rFonts w:eastAsiaTheme="minorEastAsia"/>
                <w:color w:val="000000" w:themeColor="text1"/>
                <w:szCs w:val="21"/>
              </w:rPr>
              <w:t>比亚迪</w:t>
            </w:r>
          </w:p>
        </w:tc>
        <w:tc>
          <w:tcPr>
            <w:tcW w:w="1276" w:type="dxa"/>
            <w:vAlign w:val="center"/>
          </w:tcPr>
          <w:p w:rsidR="00BF0CFE" w:rsidRDefault="00DE6AA7">
            <w:pPr>
              <w:jc w:val="right"/>
            </w:pPr>
            <w:r>
              <w:rPr>
                <w:rFonts w:eastAsiaTheme="minorEastAsia"/>
                <w:color w:val="000000" w:themeColor="text1"/>
                <w:szCs w:val="21"/>
              </w:rPr>
              <w:t>10,900.00</w:t>
            </w:r>
          </w:p>
        </w:tc>
        <w:tc>
          <w:tcPr>
            <w:tcW w:w="1842" w:type="dxa"/>
            <w:vAlign w:val="center"/>
          </w:tcPr>
          <w:p w:rsidR="00BF0CFE" w:rsidRDefault="00DE6AA7">
            <w:pPr>
              <w:jc w:val="right"/>
            </w:pPr>
            <w:r>
              <w:rPr>
                <w:rFonts w:eastAsiaTheme="minorEastAsia"/>
                <w:color w:val="000000" w:themeColor="text1"/>
                <w:szCs w:val="21"/>
              </w:rPr>
              <w:t>2,158,200.00</w:t>
            </w:r>
          </w:p>
        </w:tc>
        <w:tc>
          <w:tcPr>
            <w:tcW w:w="1616" w:type="dxa"/>
            <w:vAlign w:val="center"/>
          </w:tcPr>
          <w:p w:rsidR="00BF0CFE" w:rsidRDefault="00DE6AA7">
            <w:pPr>
              <w:jc w:val="right"/>
            </w:pPr>
            <w:r>
              <w:rPr>
                <w:rFonts w:eastAsiaTheme="minorEastAsia"/>
                <w:color w:val="000000" w:themeColor="text1"/>
                <w:szCs w:val="21"/>
              </w:rPr>
              <w:t>6.84</w:t>
            </w:r>
          </w:p>
        </w:tc>
      </w:tr>
      <w:tr w:rsidR="00BF0CFE">
        <w:tc>
          <w:tcPr>
            <w:tcW w:w="817" w:type="dxa"/>
            <w:vAlign w:val="center"/>
          </w:tcPr>
          <w:p w:rsidR="00BF0CFE" w:rsidRDefault="00DE6AA7">
            <w:pPr>
              <w:jc w:val="center"/>
            </w:pPr>
            <w:r>
              <w:rPr>
                <w:rFonts w:eastAsiaTheme="minorEastAsia"/>
                <w:color w:val="000000" w:themeColor="text1"/>
                <w:szCs w:val="21"/>
              </w:rPr>
              <w:t>4</w:t>
            </w:r>
          </w:p>
        </w:tc>
        <w:tc>
          <w:tcPr>
            <w:tcW w:w="1276" w:type="dxa"/>
            <w:vAlign w:val="center"/>
          </w:tcPr>
          <w:p w:rsidR="00BF0CFE" w:rsidRDefault="00DE6AA7">
            <w:pPr>
              <w:jc w:val="center"/>
            </w:pPr>
            <w:r>
              <w:rPr>
                <w:rFonts w:eastAsiaTheme="minorEastAsia"/>
                <w:color w:val="000000" w:themeColor="text1"/>
                <w:szCs w:val="21"/>
              </w:rPr>
              <w:t>601012</w:t>
            </w:r>
          </w:p>
        </w:tc>
        <w:tc>
          <w:tcPr>
            <w:tcW w:w="1701" w:type="dxa"/>
            <w:vAlign w:val="center"/>
          </w:tcPr>
          <w:p w:rsidR="00BF0CFE" w:rsidRDefault="00DE6AA7">
            <w:pPr>
              <w:jc w:val="center"/>
            </w:pPr>
            <w:r>
              <w:rPr>
                <w:rFonts w:eastAsiaTheme="minorEastAsia"/>
                <w:color w:val="000000" w:themeColor="text1"/>
                <w:szCs w:val="21"/>
              </w:rPr>
              <w:t>隆基绿能</w:t>
            </w:r>
          </w:p>
        </w:tc>
        <w:tc>
          <w:tcPr>
            <w:tcW w:w="1276" w:type="dxa"/>
            <w:vAlign w:val="center"/>
          </w:tcPr>
          <w:p w:rsidR="00BF0CFE" w:rsidRDefault="00DE6AA7">
            <w:pPr>
              <w:jc w:val="right"/>
            </w:pPr>
            <w:r>
              <w:rPr>
                <w:rFonts w:eastAsiaTheme="minorEastAsia"/>
                <w:color w:val="000000" w:themeColor="text1"/>
                <w:szCs w:val="21"/>
              </w:rPr>
              <w:t>72,597.00</w:t>
            </w:r>
          </w:p>
        </w:tc>
        <w:tc>
          <w:tcPr>
            <w:tcW w:w="1842" w:type="dxa"/>
            <w:vAlign w:val="center"/>
          </w:tcPr>
          <w:p w:rsidR="00BF0CFE" w:rsidRDefault="00DE6AA7">
            <w:pPr>
              <w:jc w:val="right"/>
            </w:pPr>
            <w:r>
              <w:rPr>
                <w:rFonts w:eastAsiaTheme="minorEastAsia"/>
                <w:color w:val="000000" w:themeColor="text1"/>
                <w:szCs w:val="21"/>
              </w:rPr>
              <w:t>1,662,471.30</w:t>
            </w:r>
          </w:p>
        </w:tc>
        <w:tc>
          <w:tcPr>
            <w:tcW w:w="1616" w:type="dxa"/>
            <w:vAlign w:val="center"/>
          </w:tcPr>
          <w:p w:rsidR="00BF0CFE" w:rsidRDefault="00DE6AA7">
            <w:pPr>
              <w:jc w:val="right"/>
            </w:pPr>
            <w:r>
              <w:rPr>
                <w:rFonts w:eastAsiaTheme="minorEastAsia"/>
                <w:color w:val="000000" w:themeColor="text1"/>
                <w:szCs w:val="21"/>
              </w:rPr>
              <w:t>5.27</w:t>
            </w:r>
          </w:p>
        </w:tc>
      </w:tr>
      <w:tr w:rsidR="00BF0CFE">
        <w:tc>
          <w:tcPr>
            <w:tcW w:w="817" w:type="dxa"/>
            <w:vAlign w:val="center"/>
          </w:tcPr>
          <w:p w:rsidR="00BF0CFE" w:rsidRDefault="00DE6AA7">
            <w:pPr>
              <w:jc w:val="center"/>
            </w:pPr>
            <w:r>
              <w:rPr>
                <w:rFonts w:eastAsiaTheme="minorEastAsia"/>
                <w:color w:val="000000" w:themeColor="text1"/>
                <w:szCs w:val="21"/>
              </w:rPr>
              <w:t>5</w:t>
            </w:r>
          </w:p>
        </w:tc>
        <w:tc>
          <w:tcPr>
            <w:tcW w:w="1276" w:type="dxa"/>
            <w:vAlign w:val="center"/>
          </w:tcPr>
          <w:p w:rsidR="00BF0CFE" w:rsidRDefault="00DE6AA7">
            <w:pPr>
              <w:jc w:val="center"/>
            </w:pPr>
            <w:r>
              <w:rPr>
                <w:rFonts w:eastAsiaTheme="minorEastAsia"/>
                <w:color w:val="000000" w:themeColor="text1"/>
                <w:szCs w:val="21"/>
              </w:rPr>
              <w:t>300124</w:t>
            </w:r>
          </w:p>
        </w:tc>
        <w:tc>
          <w:tcPr>
            <w:tcW w:w="1701" w:type="dxa"/>
            <w:vAlign w:val="center"/>
          </w:tcPr>
          <w:p w:rsidR="00BF0CFE" w:rsidRDefault="00DE6AA7">
            <w:pPr>
              <w:jc w:val="center"/>
            </w:pPr>
            <w:r>
              <w:rPr>
                <w:rFonts w:eastAsiaTheme="minorEastAsia"/>
                <w:color w:val="000000" w:themeColor="text1"/>
                <w:szCs w:val="21"/>
              </w:rPr>
              <w:t>汇川技术</w:t>
            </w:r>
          </w:p>
        </w:tc>
        <w:tc>
          <w:tcPr>
            <w:tcW w:w="1276" w:type="dxa"/>
            <w:vAlign w:val="center"/>
          </w:tcPr>
          <w:p w:rsidR="00BF0CFE" w:rsidRDefault="00DE6AA7">
            <w:pPr>
              <w:jc w:val="right"/>
            </w:pPr>
            <w:r>
              <w:rPr>
                <w:rFonts w:eastAsiaTheme="minorEastAsia"/>
                <w:color w:val="000000" w:themeColor="text1"/>
                <w:szCs w:val="21"/>
              </w:rPr>
              <w:t>25,600.00</w:t>
            </w:r>
          </w:p>
        </w:tc>
        <w:tc>
          <w:tcPr>
            <w:tcW w:w="1842" w:type="dxa"/>
            <w:vAlign w:val="center"/>
          </w:tcPr>
          <w:p w:rsidR="00BF0CFE" w:rsidRDefault="00DE6AA7">
            <w:pPr>
              <w:jc w:val="right"/>
            </w:pPr>
            <w:r>
              <w:rPr>
                <w:rFonts w:eastAsiaTheme="minorEastAsia"/>
                <w:color w:val="000000" w:themeColor="text1"/>
                <w:szCs w:val="21"/>
              </w:rPr>
              <w:t>1,616,384.00</w:t>
            </w:r>
          </w:p>
        </w:tc>
        <w:tc>
          <w:tcPr>
            <w:tcW w:w="1616" w:type="dxa"/>
            <w:vAlign w:val="center"/>
          </w:tcPr>
          <w:p w:rsidR="00BF0CFE" w:rsidRDefault="00DE6AA7">
            <w:pPr>
              <w:jc w:val="right"/>
            </w:pPr>
            <w:r>
              <w:rPr>
                <w:rFonts w:eastAsiaTheme="minorEastAsia"/>
                <w:color w:val="000000" w:themeColor="text1"/>
                <w:szCs w:val="21"/>
              </w:rPr>
              <w:t>5.12</w:t>
            </w:r>
          </w:p>
        </w:tc>
      </w:tr>
      <w:tr w:rsidR="00BF0CFE">
        <w:tc>
          <w:tcPr>
            <w:tcW w:w="817" w:type="dxa"/>
            <w:vAlign w:val="center"/>
          </w:tcPr>
          <w:p w:rsidR="00BF0CFE" w:rsidRDefault="00DE6AA7">
            <w:pPr>
              <w:jc w:val="center"/>
            </w:pPr>
            <w:r>
              <w:rPr>
                <w:rFonts w:eastAsiaTheme="minorEastAsia"/>
                <w:color w:val="000000" w:themeColor="text1"/>
                <w:szCs w:val="21"/>
              </w:rPr>
              <w:t>6</w:t>
            </w:r>
          </w:p>
        </w:tc>
        <w:tc>
          <w:tcPr>
            <w:tcW w:w="1276" w:type="dxa"/>
            <w:vAlign w:val="center"/>
          </w:tcPr>
          <w:p w:rsidR="00BF0CFE" w:rsidRDefault="00DE6AA7">
            <w:pPr>
              <w:jc w:val="center"/>
            </w:pPr>
            <w:r>
              <w:rPr>
                <w:rFonts w:eastAsiaTheme="minorEastAsia"/>
                <w:color w:val="000000" w:themeColor="text1"/>
                <w:szCs w:val="21"/>
              </w:rPr>
              <w:t>300274</w:t>
            </w:r>
          </w:p>
        </w:tc>
        <w:tc>
          <w:tcPr>
            <w:tcW w:w="1701" w:type="dxa"/>
            <w:vAlign w:val="center"/>
          </w:tcPr>
          <w:p w:rsidR="00BF0CFE" w:rsidRDefault="00DE6AA7">
            <w:pPr>
              <w:jc w:val="center"/>
            </w:pPr>
            <w:r>
              <w:rPr>
                <w:rFonts w:eastAsiaTheme="minorEastAsia"/>
                <w:color w:val="000000" w:themeColor="text1"/>
                <w:szCs w:val="21"/>
              </w:rPr>
              <w:t>阳光电源</w:t>
            </w:r>
          </w:p>
        </w:tc>
        <w:tc>
          <w:tcPr>
            <w:tcW w:w="1276" w:type="dxa"/>
            <w:vAlign w:val="center"/>
          </w:tcPr>
          <w:p w:rsidR="00BF0CFE" w:rsidRDefault="00DE6AA7">
            <w:pPr>
              <w:jc w:val="right"/>
            </w:pPr>
            <w:r>
              <w:rPr>
                <w:rFonts w:eastAsiaTheme="minorEastAsia"/>
                <w:color w:val="000000" w:themeColor="text1"/>
                <w:szCs w:val="21"/>
              </w:rPr>
              <w:t>12,500.00</w:t>
            </w:r>
          </w:p>
        </w:tc>
        <w:tc>
          <w:tcPr>
            <w:tcW w:w="1842" w:type="dxa"/>
            <w:vAlign w:val="center"/>
          </w:tcPr>
          <w:p w:rsidR="00BF0CFE" w:rsidRDefault="00DE6AA7">
            <w:pPr>
              <w:jc w:val="right"/>
            </w:pPr>
            <w:r>
              <w:rPr>
                <w:rFonts w:eastAsiaTheme="minorEastAsia"/>
                <w:color w:val="000000" w:themeColor="text1"/>
                <w:szCs w:val="21"/>
              </w:rPr>
              <w:t>1,094,875.00</w:t>
            </w:r>
          </w:p>
        </w:tc>
        <w:tc>
          <w:tcPr>
            <w:tcW w:w="1616" w:type="dxa"/>
            <w:vAlign w:val="center"/>
          </w:tcPr>
          <w:p w:rsidR="00BF0CFE" w:rsidRDefault="00DE6AA7">
            <w:pPr>
              <w:jc w:val="right"/>
            </w:pPr>
            <w:r>
              <w:rPr>
                <w:rFonts w:eastAsiaTheme="minorEastAsia"/>
                <w:color w:val="000000" w:themeColor="text1"/>
                <w:szCs w:val="21"/>
              </w:rPr>
              <w:t>3.47</w:t>
            </w:r>
          </w:p>
        </w:tc>
      </w:tr>
      <w:tr w:rsidR="00BF0CFE">
        <w:tc>
          <w:tcPr>
            <w:tcW w:w="817" w:type="dxa"/>
            <w:vAlign w:val="center"/>
          </w:tcPr>
          <w:p w:rsidR="00BF0CFE" w:rsidRDefault="00DE6AA7">
            <w:pPr>
              <w:jc w:val="center"/>
            </w:pPr>
            <w:r>
              <w:rPr>
                <w:rFonts w:eastAsiaTheme="minorEastAsia"/>
                <w:color w:val="000000" w:themeColor="text1"/>
                <w:szCs w:val="21"/>
              </w:rPr>
              <w:t>7</w:t>
            </w:r>
          </w:p>
        </w:tc>
        <w:tc>
          <w:tcPr>
            <w:tcW w:w="1276" w:type="dxa"/>
            <w:vAlign w:val="center"/>
          </w:tcPr>
          <w:p w:rsidR="00BF0CFE" w:rsidRDefault="00DE6AA7">
            <w:pPr>
              <w:jc w:val="center"/>
            </w:pPr>
            <w:r>
              <w:rPr>
                <w:rFonts w:eastAsiaTheme="minorEastAsia"/>
                <w:color w:val="000000" w:themeColor="text1"/>
                <w:szCs w:val="21"/>
              </w:rPr>
              <w:t>000100</w:t>
            </w:r>
          </w:p>
        </w:tc>
        <w:tc>
          <w:tcPr>
            <w:tcW w:w="1701" w:type="dxa"/>
            <w:vAlign w:val="center"/>
          </w:tcPr>
          <w:p w:rsidR="00BF0CFE" w:rsidRDefault="00DE6AA7">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rsidR="00BF0CFE" w:rsidRDefault="00DE6AA7">
            <w:pPr>
              <w:jc w:val="right"/>
            </w:pPr>
            <w:r>
              <w:rPr>
                <w:rFonts w:eastAsiaTheme="minorEastAsia"/>
                <w:color w:val="000000" w:themeColor="text1"/>
                <w:szCs w:val="21"/>
              </w:rPr>
              <w:t>224,800.00</w:t>
            </w:r>
          </w:p>
        </w:tc>
        <w:tc>
          <w:tcPr>
            <w:tcW w:w="1842" w:type="dxa"/>
            <w:vAlign w:val="center"/>
          </w:tcPr>
          <w:p w:rsidR="00BF0CFE" w:rsidRDefault="00DE6AA7">
            <w:pPr>
              <w:jc w:val="right"/>
            </w:pPr>
            <w:r>
              <w:rPr>
                <w:rFonts w:eastAsiaTheme="minorEastAsia"/>
                <w:color w:val="000000" w:themeColor="text1"/>
                <w:szCs w:val="21"/>
              </w:rPr>
              <w:t>966,640.00</w:t>
            </w:r>
          </w:p>
        </w:tc>
        <w:tc>
          <w:tcPr>
            <w:tcW w:w="1616" w:type="dxa"/>
            <w:vAlign w:val="center"/>
          </w:tcPr>
          <w:p w:rsidR="00BF0CFE" w:rsidRDefault="00DE6AA7">
            <w:pPr>
              <w:jc w:val="right"/>
            </w:pPr>
            <w:r>
              <w:rPr>
                <w:rFonts w:eastAsiaTheme="minorEastAsia"/>
                <w:color w:val="000000" w:themeColor="text1"/>
                <w:szCs w:val="21"/>
              </w:rPr>
              <w:t>3.06</w:t>
            </w:r>
          </w:p>
        </w:tc>
      </w:tr>
      <w:tr w:rsidR="00BF0CFE">
        <w:tc>
          <w:tcPr>
            <w:tcW w:w="817" w:type="dxa"/>
            <w:vAlign w:val="center"/>
          </w:tcPr>
          <w:p w:rsidR="00BF0CFE" w:rsidRDefault="00DE6AA7">
            <w:pPr>
              <w:jc w:val="center"/>
            </w:pPr>
            <w:r>
              <w:rPr>
                <w:rFonts w:eastAsiaTheme="minorEastAsia"/>
                <w:color w:val="000000" w:themeColor="text1"/>
                <w:szCs w:val="21"/>
              </w:rPr>
              <w:t>8</w:t>
            </w:r>
          </w:p>
        </w:tc>
        <w:tc>
          <w:tcPr>
            <w:tcW w:w="1276" w:type="dxa"/>
            <w:vAlign w:val="center"/>
          </w:tcPr>
          <w:p w:rsidR="00BF0CFE" w:rsidRDefault="00DE6AA7">
            <w:pPr>
              <w:jc w:val="center"/>
            </w:pPr>
            <w:r>
              <w:rPr>
                <w:rFonts w:eastAsiaTheme="minorEastAsia"/>
                <w:color w:val="000000" w:themeColor="text1"/>
                <w:szCs w:val="21"/>
              </w:rPr>
              <w:t>601985</w:t>
            </w:r>
          </w:p>
        </w:tc>
        <w:tc>
          <w:tcPr>
            <w:tcW w:w="1701" w:type="dxa"/>
            <w:vAlign w:val="center"/>
          </w:tcPr>
          <w:p w:rsidR="00BF0CFE" w:rsidRDefault="00DE6AA7">
            <w:pPr>
              <w:jc w:val="center"/>
            </w:pPr>
            <w:r>
              <w:rPr>
                <w:rFonts w:eastAsiaTheme="minorEastAsia"/>
                <w:color w:val="000000" w:themeColor="text1"/>
                <w:szCs w:val="21"/>
              </w:rPr>
              <w:t>中国核电</w:t>
            </w:r>
          </w:p>
        </w:tc>
        <w:tc>
          <w:tcPr>
            <w:tcW w:w="1276" w:type="dxa"/>
            <w:vAlign w:val="center"/>
          </w:tcPr>
          <w:p w:rsidR="00BF0CFE" w:rsidRDefault="00DE6AA7">
            <w:pPr>
              <w:jc w:val="right"/>
            </w:pPr>
            <w:r>
              <w:rPr>
                <w:rFonts w:eastAsiaTheme="minorEastAsia"/>
                <w:color w:val="000000" w:themeColor="text1"/>
                <w:szCs w:val="21"/>
              </w:rPr>
              <w:t>113,000.00</w:t>
            </w:r>
          </w:p>
        </w:tc>
        <w:tc>
          <w:tcPr>
            <w:tcW w:w="1842" w:type="dxa"/>
            <w:vAlign w:val="center"/>
          </w:tcPr>
          <w:p w:rsidR="00BF0CFE" w:rsidRDefault="00DE6AA7">
            <w:pPr>
              <w:jc w:val="right"/>
            </w:pPr>
            <w:r>
              <w:rPr>
                <w:rFonts w:eastAsiaTheme="minorEastAsia"/>
                <w:color w:val="000000" w:themeColor="text1"/>
                <w:szCs w:val="21"/>
              </w:rPr>
              <w:t>847,500.00</w:t>
            </w:r>
          </w:p>
        </w:tc>
        <w:tc>
          <w:tcPr>
            <w:tcW w:w="1616" w:type="dxa"/>
            <w:vAlign w:val="center"/>
          </w:tcPr>
          <w:p w:rsidR="00BF0CFE" w:rsidRDefault="00DE6AA7">
            <w:pPr>
              <w:jc w:val="right"/>
            </w:pPr>
            <w:r>
              <w:rPr>
                <w:rFonts w:eastAsiaTheme="minorEastAsia"/>
                <w:color w:val="000000" w:themeColor="text1"/>
                <w:szCs w:val="21"/>
              </w:rPr>
              <w:t>2.69</w:t>
            </w:r>
          </w:p>
        </w:tc>
      </w:tr>
      <w:tr w:rsidR="00BF0CFE">
        <w:tc>
          <w:tcPr>
            <w:tcW w:w="817" w:type="dxa"/>
            <w:vAlign w:val="center"/>
          </w:tcPr>
          <w:p w:rsidR="00BF0CFE" w:rsidRDefault="00DE6AA7">
            <w:pPr>
              <w:jc w:val="center"/>
            </w:pPr>
            <w:r>
              <w:rPr>
                <w:rFonts w:eastAsiaTheme="minorEastAsia"/>
                <w:color w:val="000000" w:themeColor="text1"/>
                <w:szCs w:val="21"/>
              </w:rPr>
              <w:t>9</w:t>
            </w:r>
          </w:p>
        </w:tc>
        <w:tc>
          <w:tcPr>
            <w:tcW w:w="1276" w:type="dxa"/>
            <w:vAlign w:val="center"/>
          </w:tcPr>
          <w:p w:rsidR="00BF0CFE" w:rsidRDefault="00DE6AA7">
            <w:pPr>
              <w:jc w:val="center"/>
            </w:pPr>
            <w:r>
              <w:rPr>
                <w:rFonts w:eastAsiaTheme="minorEastAsia"/>
                <w:color w:val="000000" w:themeColor="text1"/>
                <w:szCs w:val="21"/>
              </w:rPr>
              <w:t>600089</w:t>
            </w:r>
          </w:p>
        </w:tc>
        <w:tc>
          <w:tcPr>
            <w:tcW w:w="1701" w:type="dxa"/>
            <w:vAlign w:val="center"/>
          </w:tcPr>
          <w:p w:rsidR="00BF0CFE" w:rsidRDefault="00DE6AA7">
            <w:pPr>
              <w:jc w:val="center"/>
            </w:pPr>
            <w:r>
              <w:rPr>
                <w:rFonts w:eastAsiaTheme="minorEastAsia"/>
                <w:color w:val="000000" w:themeColor="text1"/>
                <w:szCs w:val="21"/>
              </w:rPr>
              <w:t>特变电工</w:t>
            </w:r>
          </w:p>
        </w:tc>
        <w:tc>
          <w:tcPr>
            <w:tcW w:w="1276" w:type="dxa"/>
            <w:vAlign w:val="center"/>
          </w:tcPr>
          <w:p w:rsidR="00BF0CFE" w:rsidRDefault="00DE6AA7">
            <w:pPr>
              <w:jc w:val="right"/>
            </w:pPr>
            <w:r>
              <w:rPr>
                <w:rFonts w:eastAsiaTheme="minorEastAsia"/>
                <w:color w:val="000000" w:themeColor="text1"/>
                <w:szCs w:val="21"/>
              </w:rPr>
              <w:t>60,460.00</w:t>
            </w:r>
          </w:p>
        </w:tc>
        <w:tc>
          <w:tcPr>
            <w:tcW w:w="1842" w:type="dxa"/>
            <w:vAlign w:val="center"/>
          </w:tcPr>
          <w:p w:rsidR="00BF0CFE" w:rsidRDefault="00DE6AA7">
            <w:pPr>
              <w:jc w:val="right"/>
            </w:pPr>
            <w:r>
              <w:rPr>
                <w:rFonts w:eastAsiaTheme="minorEastAsia"/>
                <w:color w:val="000000" w:themeColor="text1"/>
                <w:szCs w:val="21"/>
              </w:rPr>
              <w:t>834,348.00</w:t>
            </w:r>
          </w:p>
        </w:tc>
        <w:tc>
          <w:tcPr>
            <w:tcW w:w="1616" w:type="dxa"/>
            <w:vAlign w:val="center"/>
          </w:tcPr>
          <w:p w:rsidR="00BF0CFE" w:rsidRDefault="00DE6AA7">
            <w:pPr>
              <w:jc w:val="right"/>
            </w:pPr>
            <w:r>
              <w:rPr>
                <w:rFonts w:eastAsiaTheme="minorEastAsia"/>
                <w:color w:val="000000" w:themeColor="text1"/>
                <w:szCs w:val="21"/>
              </w:rPr>
              <w:t>2.64</w:t>
            </w:r>
          </w:p>
        </w:tc>
      </w:tr>
      <w:tr w:rsidR="00BF0CFE">
        <w:tc>
          <w:tcPr>
            <w:tcW w:w="817" w:type="dxa"/>
            <w:vAlign w:val="center"/>
          </w:tcPr>
          <w:p w:rsidR="00BF0CFE" w:rsidRDefault="00DE6AA7">
            <w:pPr>
              <w:jc w:val="center"/>
            </w:pPr>
            <w:r>
              <w:rPr>
                <w:rFonts w:eastAsiaTheme="minorEastAsia"/>
                <w:color w:val="000000" w:themeColor="text1"/>
                <w:szCs w:val="21"/>
              </w:rPr>
              <w:t>10</w:t>
            </w:r>
          </w:p>
        </w:tc>
        <w:tc>
          <w:tcPr>
            <w:tcW w:w="1276" w:type="dxa"/>
            <w:vAlign w:val="center"/>
          </w:tcPr>
          <w:p w:rsidR="00BF0CFE" w:rsidRDefault="00DE6AA7">
            <w:pPr>
              <w:jc w:val="center"/>
            </w:pPr>
            <w:r>
              <w:rPr>
                <w:rFonts w:eastAsiaTheme="minorEastAsia"/>
                <w:color w:val="000000" w:themeColor="text1"/>
                <w:szCs w:val="21"/>
              </w:rPr>
              <w:t>600438</w:t>
            </w:r>
          </w:p>
        </w:tc>
        <w:tc>
          <w:tcPr>
            <w:tcW w:w="1701" w:type="dxa"/>
            <w:vAlign w:val="center"/>
          </w:tcPr>
          <w:p w:rsidR="00BF0CFE" w:rsidRDefault="00DE6AA7">
            <w:pPr>
              <w:jc w:val="center"/>
            </w:pPr>
            <w:r>
              <w:rPr>
                <w:rFonts w:eastAsiaTheme="minorEastAsia"/>
                <w:color w:val="000000" w:themeColor="text1"/>
                <w:szCs w:val="21"/>
              </w:rPr>
              <w:t>通威股份</w:t>
            </w:r>
          </w:p>
        </w:tc>
        <w:tc>
          <w:tcPr>
            <w:tcW w:w="1276" w:type="dxa"/>
            <w:vAlign w:val="center"/>
          </w:tcPr>
          <w:p w:rsidR="00BF0CFE" w:rsidRDefault="00DE6AA7">
            <w:pPr>
              <w:jc w:val="right"/>
            </w:pPr>
            <w:r>
              <w:rPr>
                <w:rFonts w:eastAsiaTheme="minorEastAsia"/>
                <w:color w:val="000000" w:themeColor="text1"/>
                <w:szCs w:val="21"/>
              </w:rPr>
              <w:t>32,300.00</w:t>
            </w:r>
          </w:p>
        </w:tc>
        <w:tc>
          <w:tcPr>
            <w:tcW w:w="1842" w:type="dxa"/>
            <w:vAlign w:val="center"/>
          </w:tcPr>
          <w:p w:rsidR="00BF0CFE" w:rsidRDefault="00DE6AA7">
            <w:pPr>
              <w:jc w:val="right"/>
            </w:pPr>
            <w:r>
              <w:rPr>
                <w:rFonts w:eastAsiaTheme="minorEastAsia"/>
                <w:color w:val="000000" w:themeColor="text1"/>
                <w:szCs w:val="21"/>
              </w:rPr>
              <w:t>808,469.00</w:t>
            </w:r>
          </w:p>
        </w:tc>
        <w:tc>
          <w:tcPr>
            <w:tcW w:w="1616" w:type="dxa"/>
            <w:vAlign w:val="center"/>
          </w:tcPr>
          <w:p w:rsidR="00BF0CFE" w:rsidRDefault="00DE6AA7">
            <w:pPr>
              <w:jc w:val="right"/>
            </w:pPr>
            <w:r>
              <w:rPr>
                <w:rFonts w:eastAsiaTheme="minorEastAsia"/>
                <w:color w:val="000000" w:themeColor="text1"/>
                <w:szCs w:val="21"/>
              </w:rPr>
              <w:t>2.56</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w:t>
      </w:r>
      <w:r w:rsidRPr="00473486">
        <w:rPr>
          <w:rFonts w:eastAsiaTheme="minorEastAsia"/>
          <w:b/>
          <w:color w:val="000000" w:themeColor="text1"/>
          <w:kern w:val="0"/>
          <w:sz w:val="24"/>
        </w:rPr>
        <w:lastRenderedPageBreak/>
        <w:t>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21,800.39</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52,837.98</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74,638.37</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38,598,943.00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71,000,000.00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66,000,000.00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43,598,943.00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BF0CFE">
        <w:tc>
          <w:tcPr>
            <w:tcW w:w="993" w:type="dxa"/>
            <w:vMerge w:val="restart"/>
            <w:vAlign w:val="center"/>
          </w:tcPr>
          <w:p w:rsidR="00BF0CFE" w:rsidRDefault="00DE6AA7">
            <w:r>
              <w:rPr>
                <w:bCs/>
                <w:color w:val="000000"/>
                <w:kern w:val="0"/>
                <w:szCs w:val="21"/>
              </w:rPr>
              <w:t>机构</w:t>
            </w:r>
          </w:p>
        </w:tc>
        <w:tc>
          <w:tcPr>
            <w:tcW w:w="992" w:type="dxa"/>
            <w:vAlign w:val="center"/>
          </w:tcPr>
          <w:p w:rsidR="00BF0CFE" w:rsidRDefault="00DE6AA7">
            <w:pPr>
              <w:jc w:val="center"/>
            </w:pPr>
            <w:r>
              <w:rPr>
                <w:color w:val="000000"/>
                <w:kern w:val="0"/>
                <w:szCs w:val="21"/>
              </w:rPr>
              <w:t>1</w:t>
            </w:r>
          </w:p>
        </w:tc>
        <w:tc>
          <w:tcPr>
            <w:tcW w:w="1843" w:type="dxa"/>
            <w:vAlign w:val="center"/>
          </w:tcPr>
          <w:p w:rsidR="00BF0CFE" w:rsidRDefault="00B65500" w:rsidP="00B65500">
            <w:pPr>
              <w:jc w:val="center"/>
            </w:pPr>
            <w:r>
              <w:rPr>
                <w:color w:val="000000"/>
                <w:kern w:val="0"/>
                <w:szCs w:val="21"/>
              </w:rPr>
              <w:t>20231215</w:t>
            </w:r>
            <w:r w:rsidR="00DE6AA7">
              <w:rPr>
                <w:color w:val="000000"/>
                <w:kern w:val="0"/>
                <w:szCs w:val="21"/>
              </w:rPr>
              <w:t>-</w:t>
            </w:r>
            <w:r>
              <w:rPr>
                <w:color w:val="000000"/>
                <w:kern w:val="0"/>
                <w:szCs w:val="21"/>
              </w:rPr>
              <w:t>20231220</w:t>
            </w:r>
          </w:p>
        </w:tc>
        <w:tc>
          <w:tcPr>
            <w:tcW w:w="851" w:type="dxa"/>
            <w:vAlign w:val="center"/>
          </w:tcPr>
          <w:p w:rsidR="00BF0CFE" w:rsidRDefault="00DE6AA7">
            <w:pPr>
              <w:jc w:val="center"/>
            </w:pPr>
            <w:r>
              <w:rPr>
                <w:color w:val="000000"/>
                <w:kern w:val="0"/>
                <w:szCs w:val="21"/>
              </w:rPr>
              <w:t>3,616,687.00</w:t>
            </w:r>
          </w:p>
        </w:tc>
        <w:tc>
          <w:tcPr>
            <w:tcW w:w="850" w:type="dxa"/>
            <w:vAlign w:val="center"/>
          </w:tcPr>
          <w:p w:rsidR="00BF0CFE" w:rsidRDefault="00DE6AA7">
            <w:pPr>
              <w:jc w:val="center"/>
            </w:pPr>
            <w:r>
              <w:rPr>
                <w:color w:val="000000"/>
                <w:kern w:val="0"/>
                <w:szCs w:val="21"/>
              </w:rPr>
              <w:t>12,949,100.00</w:t>
            </w:r>
          </w:p>
        </w:tc>
        <w:tc>
          <w:tcPr>
            <w:tcW w:w="1134" w:type="dxa"/>
            <w:vAlign w:val="center"/>
          </w:tcPr>
          <w:p w:rsidR="00BF0CFE" w:rsidRDefault="00DE6AA7">
            <w:pPr>
              <w:jc w:val="center"/>
            </w:pPr>
            <w:r>
              <w:rPr>
                <w:color w:val="000000"/>
                <w:kern w:val="0"/>
                <w:szCs w:val="21"/>
              </w:rPr>
              <w:t>6,722,400.00</w:t>
            </w:r>
          </w:p>
        </w:tc>
        <w:tc>
          <w:tcPr>
            <w:tcW w:w="1419" w:type="dxa"/>
            <w:vAlign w:val="center"/>
          </w:tcPr>
          <w:p w:rsidR="00BF0CFE" w:rsidRDefault="00DE6AA7">
            <w:pPr>
              <w:jc w:val="center"/>
            </w:pPr>
            <w:r>
              <w:rPr>
                <w:color w:val="000000"/>
                <w:kern w:val="0"/>
                <w:szCs w:val="21"/>
              </w:rPr>
              <w:t>9,843,387.00</w:t>
            </w:r>
          </w:p>
        </w:tc>
        <w:tc>
          <w:tcPr>
            <w:tcW w:w="1130" w:type="dxa"/>
            <w:vAlign w:val="center"/>
          </w:tcPr>
          <w:p w:rsidR="00BF0CFE" w:rsidRDefault="00DE6AA7">
            <w:pPr>
              <w:jc w:val="center"/>
            </w:pPr>
            <w:r>
              <w:rPr>
                <w:color w:val="000000"/>
                <w:kern w:val="0"/>
                <w:szCs w:val="21"/>
              </w:rPr>
              <w:t>22.58%</w:t>
            </w:r>
          </w:p>
        </w:tc>
      </w:tr>
      <w:tr w:rsidR="00BF0CFE">
        <w:tc>
          <w:tcPr>
            <w:tcW w:w="993" w:type="dxa"/>
            <w:vMerge/>
          </w:tcPr>
          <w:p w:rsidR="00BF0CFE" w:rsidRDefault="00BF0CFE"/>
        </w:tc>
        <w:tc>
          <w:tcPr>
            <w:tcW w:w="992" w:type="dxa"/>
            <w:vAlign w:val="center"/>
          </w:tcPr>
          <w:p w:rsidR="00BF0CFE" w:rsidRDefault="00DE6AA7">
            <w:pPr>
              <w:jc w:val="center"/>
            </w:pPr>
            <w:r>
              <w:rPr>
                <w:color w:val="000000"/>
                <w:kern w:val="0"/>
                <w:szCs w:val="21"/>
              </w:rPr>
              <w:t>2</w:t>
            </w:r>
          </w:p>
        </w:tc>
        <w:tc>
          <w:tcPr>
            <w:tcW w:w="1843" w:type="dxa"/>
            <w:vAlign w:val="center"/>
          </w:tcPr>
          <w:p w:rsidR="00BF0CFE" w:rsidRDefault="00B65500" w:rsidP="00B65500">
            <w:pPr>
              <w:jc w:val="center"/>
            </w:pPr>
            <w:r>
              <w:rPr>
                <w:color w:val="000000"/>
                <w:kern w:val="0"/>
                <w:szCs w:val="21"/>
              </w:rPr>
              <w:t>20231222</w:t>
            </w:r>
            <w:r w:rsidR="00DE6AA7">
              <w:rPr>
                <w:color w:val="000000"/>
                <w:kern w:val="0"/>
                <w:szCs w:val="21"/>
              </w:rPr>
              <w:t>-</w:t>
            </w:r>
            <w:r>
              <w:rPr>
                <w:color w:val="000000"/>
                <w:kern w:val="0"/>
                <w:szCs w:val="21"/>
              </w:rPr>
              <w:t>20231231</w:t>
            </w:r>
          </w:p>
        </w:tc>
        <w:tc>
          <w:tcPr>
            <w:tcW w:w="851" w:type="dxa"/>
            <w:vAlign w:val="center"/>
          </w:tcPr>
          <w:p w:rsidR="00BF0CFE" w:rsidRDefault="00DE6AA7">
            <w:pPr>
              <w:jc w:val="center"/>
            </w:pPr>
            <w:r>
              <w:rPr>
                <w:color w:val="000000"/>
                <w:kern w:val="0"/>
                <w:szCs w:val="21"/>
              </w:rPr>
              <w:t>3,616,687.00</w:t>
            </w:r>
          </w:p>
        </w:tc>
        <w:tc>
          <w:tcPr>
            <w:tcW w:w="850" w:type="dxa"/>
            <w:vAlign w:val="center"/>
          </w:tcPr>
          <w:p w:rsidR="00BF0CFE" w:rsidRDefault="00DE6AA7">
            <w:pPr>
              <w:jc w:val="center"/>
            </w:pPr>
            <w:r>
              <w:rPr>
                <w:color w:val="000000"/>
                <w:kern w:val="0"/>
                <w:szCs w:val="21"/>
              </w:rPr>
              <w:t>12,949,100.00</w:t>
            </w:r>
          </w:p>
        </w:tc>
        <w:tc>
          <w:tcPr>
            <w:tcW w:w="1134" w:type="dxa"/>
            <w:vAlign w:val="center"/>
          </w:tcPr>
          <w:p w:rsidR="00BF0CFE" w:rsidRDefault="00DE6AA7">
            <w:pPr>
              <w:jc w:val="center"/>
            </w:pPr>
            <w:r>
              <w:rPr>
                <w:color w:val="000000"/>
                <w:kern w:val="0"/>
                <w:szCs w:val="21"/>
              </w:rPr>
              <w:t>6,722,400.00</w:t>
            </w:r>
          </w:p>
        </w:tc>
        <w:tc>
          <w:tcPr>
            <w:tcW w:w="1419" w:type="dxa"/>
            <w:vAlign w:val="center"/>
          </w:tcPr>
          <w:p w:rsidR="00BF0CFE" w:rsidRDefault="00DE6AA7">
            <w:pPr>
              <w:jc w:val="center"/>
            </w:pPr>
            <w:r>
              <w:rPr>
                <w:color w:val="000000"/>
                <w:kern w:val="0"/>
                <w:szCs w:val="21"/>
              </w:rPr>
              <w:t>9,843,387.00</w:t>
            </w:r>
          </w:p>
        </w:tc>
        <w:tc>
          <w:tcPr>
            <w:tcW w:w="1130" w:type="dxa"/>
            <w:vAlign w:val="center"/>
          </w:tcPr>
          <w:p w:rsidR="00BF0CFE" w:rsidRDefault="00DE6AA7">
            <w:pPr>
              <w:jc w:val="center"/>
            </w:pPr>
            <w:r>
              <w:rPr>
                <w:color w:val="000000"/>
                <w:kern w:val="0"/>
                <w:szCs w:val="21"/>
              </w:rPr>
              <w:t>22.58%</w:t>
            </w:r>
          </w:p>
        </w:tc>
      </w:tr>
      <w:tr w:rsidR="00BF0CFE">
        <w:tc>
          <w:tcPr>
            <w:tcW w:w="993" w:type="dxa"/>
            <w:vMerge/>
          </w:tcPr>
          <w:p w:rsidR="00BF0CFE" w:rsidRDefault="00BF0CFE"/>
        </w:tc>
        <w:tc>
          <w:tcPr>
            <w:tcW w:w="992" w:type="dxa"/>
            <w:vAlign w:val="center"/>
          </w:tcPr>
          <w:p w:rsidR="00BF0CFE" w:rsidRDefault="00B65500">
            <w:pPr>
              <w:jc w:val="center"/>
            </w:pPr>
            <w:r>
              <w:rPr>
                <w:color w:val="000000"/>
                <w:kern w:val="0"/>
                <w:szCs w:val="21"/>
              </w:rPr>
              <w:t>3</w:t>
            </w:r>
          </w:p>
        </w:tc>
        <w:tc>
          <w:tcPr>
            <w:tcW w:w="1843" w:type="dxa"/>
            <w:vAlign w:val="center"/>
          </w:tcPr>
          <w:p w:rsidR="00BF0CFE" w:rsidRDefault="00DE6AA7" w:rsidP="00B65500">
            <w:pPr>
              <w:jc w:val="center"/>
            </w:pPr>
            <w:r>
              <w:rPr>
                <w:color w:val="000000"/>
                <w:kern w:val="0"/>
                <w:szCs w:val="21"/>
              </w:rPr>
              <w:t>20231001-</w:t>
            </w:r>
            <w:r w:rsidR="00B65500">
              <w:rPr>
                <w:color w:val="000000"/>
                <w:kern w:val="0"/>
                <w:szCs w:val="21"/>
              </w:rPr>
              <w:t>20231018</w:t>
            </w:r>
          </w:p>
        </w:tc>
        <w:tc>
          <w:tcPr>
            <w:tcW w:w="851" w:type="dxa"/>
            <w:vAlign w:val="center"/>
          </w:tcPr>
          <w:p w:rsidR="00BF0CFE" w:rsidRDefault="00DE6AA7">
            <w:pPr>
              <w:jc w:val="center"/>
            </w:pPr>
            <w:r>
              <w:rPr>
                <w:color w:val="000000"/>
                <w:kern w:val="0"/>
                <w:szCs w:val="21"/>
              </w:rPr>
              <w:t>9,288,975.00</w:t>
            </w:r>
          </w:p>
        </w:tc>
        <w:tc>
          <w:tcPr>
            <w:tcW w:w="850" w:type="dxa"/>
            <w:vAlign w:val="center"/>
          </w:tcPr>
          <w:p w:rsidR="00BF0CFE" w:rsidRDefault="00DE6AA7">
            <w:pPr>
              <w:jc w:val="center"/>
            </w:pPr>
            <w:r>
              <w:rPr>
                <w:color w:val="000000"/>
                <w:kern w:val="0"/>
                <w:szCs w:val="21"/>
              </w:rPr>
              <w:t>9,872,932.00</w:t>
            </w:r>
          </w:p>
        </w:tc>
        <w:tc>
          <w:tcPr>
            <w:tcW w:w="1134" w:type="dxa"/>
            <w:vAlign w:val="center"/>
          </w:tcPr>
          <w:p w:rsidR="00BF0CFE" w:rsidRDefault="00DE6AA7">
            <w:pPr>
              <w:jc w:val="center"/>
            </w:pPr>
            <w:r>
              <w:rPr>
                <w:color w:val="000000"/>
                <w:kern w:val="0"/>
                <w:szCs w:val="21"/>
              </w:rPr>
              <w:t>9,490,876.00</w:t>
            </w:r>
          </w:p>
        </w:tc>
        <w:tc>
          <w:tcPr>
            <w:tcW w:w="1419" w:type="dxa"/>
            <w:vAlign w:val="center"/>
          </w:tcPr>
          <w:p w:rsidR="00BF0CFE" w:rsidRDefault="00DE6AA7">
            <w:pPr>
              <w:jc w:val="center"/>
            </w:pPr>
            <w:r>
              <w:rPr>
                <w:color w:val="000000"/>
                <w:kern w:val="0"/>
                <w:szCs w:val="21"/>
              </w:rPr>
              <w:t>9,671,031.00</w:t>
            </w:r>
          </w:p>
        </w:tc>
        <w:tc>
          <w:tcPr>
            <w:tcW w:w="1130" w:type="dxa"/>
            <w:vAlign w:val="center"/>
          </w:tcPr>
          <w:p w:rsidR="00BF0CFE" w:rsidRDefault="00DE6AA7" w:rsidP="00DE6AA7">
            <w:pPr>
              <w:jc w:val="center"/>
            </w:pPr>
            <w:r>
              <w:rPr>
                <w:color w:val="000000"/>
                <w:kern w:val="0"/>
                <w:szCs w:val="21"/>
              </w:rPr>
              <w:t>22.18%</w:t>
            </w:r>
          </w:p>
        </w:tc>
      </w:tr>
      <w:tr w:rsidR="00BF0CFE">
        <w:tc>
          <w:tcPr>
            <w:tcW w:w="993" w:type="dxa"/>
            <w:vMerge/>
          </w:tcPr>
          <w:p w:rsidR="00BF0CFE" w:rsidRDefault="00BF0CFE"/>
        </w:tc>
        <w:tc>
          <w:tcPr>
            <w:tcW w:w="992" w:type="dxa"/>
            <w:vAlign w:val="center"/>
          </w:tcPr>
          <w:p w:rsidR="00BF0CFE" w:rsidRDefault="00B65500">
            <w:pPr>
              <w:jc w:val="center"/>
            </w:pPr>
            <w:r>
              <w:rPr>
                <w:color w:val="000000"/>
                <w:kern w:val="0"/>
                <w:szCs w:val="21"/>
              </w:rPr>
              <w:t>4</w:t>
            </w:r>
          </w:p>
        </w:tc>
        <w:tc>
          <w:tcPr>
            <w:tcW w:w="1843" w:type="dxa"/>
            <w:vAlign w:val="center"/>
          </w:tcPr>
          <w:p w:rsidR="00BF0CFE" w:rsidRDefault="00B65500" w:rsidP="00B65500">
            <w:pPr>
              <w:jc w:val="center"/>
            </w:pPr>
            <w:r>
              <w:rPr>
                <w:color w:val="000000"/>
                <w:kern w:val="0"/>
                <w:szCs w:val="21"/>
              </w:rPr>
              <w:t>20231020</w:t>
            </w:r>
            <w:r w:rsidR="00DE6AA7">
              <w:rPr>
                <w:color w:val="000000"/>
                <w:kern w:val="0"/>
                <w:szCs w:val="21"/>
              </w:rPr>
              <w:t>-</w:t>
            </w:r>
            <w:r>
              <w:rPr>
                <w:color w:val="000000"/>
                <w:kern w:val="0"/>
                <w:szCs w:val="21"/>
              </w:rPr>
              <w:t>20231220</w:t>
            </w:r>
          </w:p>
        </w:tc>
        <w:tc>
          <w:tcPr>
            <w:tcW w:w="851" w:type="dxa"/>
            <w:vAlign w:val="center"/>
          </w:tcPr>
          <w:p w:rsidR="00BF0CFE" w:rsidRDefault="00DE6AA7">
            <w:pPr>
              <w:jc w:val="center"/>
            </w:pPr>
            <w:r>
              <w:rPr>
                <w:color w:val="000000"/>
                <w:kern w:val="0"/>
                <w:szCs w:val="21"/>
              </w:rPr>
              <w:t>9,288,975.00</w:t>
            </w:r>
          </w:p>
        </w:tc>
        <w:tc>
          <w:tcPr>
            <w:tcW w:w="850" w:type="dxa"/>
            <w:vAlign w:val="center"/>
          </w:tcPr>
          <w:p w:rsidR="00BF0CFE" w:rsidRDefault="00DE6AA7">
            <w:pPr>
              <w:jc w:val="center"/>
            </w:pPr>
            <w:r>
              <w:rPr>
                <w:color w:val="000000"/>
                <w:kern w:val="0"/>
                <w:szCs w:val="21"/>
              </w:rPr>
              <w:t>9,872,932.00</w:t>
            </w:r>
          </w:p>
        </w:tc>
        <w:tc>
          <w:tcPr>
            <w:tcW w:w="1134" w:type="dxa"/>
            <w:vAlign w:val="center"/>
          </w:tcPr>
          <w:p w:rsidR="00BF0CFE" w:rsidRDefault="00DE6AA7">
            <w:pPr>
              <w:jc w:val="center"/>
            </w:pPr>
            <w:r>
              <w:rPr>
                <w:color w:val="000000"/>
                <w:kern w:val="0"/>
                <w:szCs w:val="21"/>
              </w:rPr>
              <w:t>9,490,876.00</w:t>
            </w:r>
          </w:p>
        </w:tc>
        <w:tc>
          <w:tcPr>
            <w:tcW w:w="1419" w:type="dxa"/>
            <w:vAlign w:val="center"/>
          </w:tcPr>
          <w:p w:rsidR="00BF0CFE" w:rsidRDefault="00DE6AA7">
            <w:pPr>
              <w:jc w:val="center"/>
            </w:pPr>
            <w:r>
              <w:rPr>
                <w:color w:val="000000"/>
                <w:kern w:val="0"/>
                <w:szCs w:val="21"/>
              </w:rPr>
              <w:t>9,671,031.00</w:t>
            </w:r>
          </w:p>
        </w:tc>
        <w:tc>
          <w:tcPr>
            <w:tcW w:w="1130" w:type="dxa"/>
            <w:vAlign w:val="center"/>
          </w:tcPr>
          <w:p w:rsidR="00BF0CFE" w:rsidRDefault="00DE6AA7" w:rsidP="00DE6AA7">
            <w:pPr>
              <w:jc w:val="center"/>
            </w:pPr>
            <w:r>
              <w:rPr>
                <w:color w:val="000000"/>
                <w:kern w:val="0"/>
                <w:szCs w:val="21"/>
              </w:rPr>
              <w:t>22.18%</w:t>
            </w:r>
          </w:p>
        </w:tc>
      </w:tr>
      <w:tr w:rsidR="00BF0CFE">
        <w:tc>
          <w:tcPr>
            <w:tcW w:w="993" w:type="dxa"/>
            <w:vMerge/>
          </w:tcPr>
          <w:p w:rsidR="00BF0CFE" w:rsidRDefault="00BF0CFE"/>
        </w:tc>
        <w:tc>
          <w:tcPr>
            <w:tcW w:w="992" w:type="dxa"/>
            <w:vAlign w:val="center"/>
          </w:tcPr>
          <w:p w:rsidR="00BF0CFE" w:rsidRDefault="00B65500">
            <w:pPr>
              <w:jc w:val="center"/>
            </w:pPr>
            <w:r>
              <w:rPr>
                <w:color w:val="000000"/>
                <w:kern w:val="0"/>
                <w:szCs w:val="21"/>
              </w:rPr>
              <w:t>5</w:t>
            </w:r>
          </w:p>
        </w:tc>
        <w:tc>
          <w:tcPr>
            <w:tcW w:w="1843" w:type="dxa"/>
            <w:vAlign w:val="center"/>
          </w:tcPr>
          <w:p w:rsidR="00BF0CFE" w:rsidRDefault="00B65500" w:rsidP="00B65500">
            <w:pPr>
              <w:jc w:val="center"/>
            </w:pPr>
            <w:r>
              <w:rPr>
                <w:color w:val="000000"/>
                <w:kern w:val="0"/>
                <w:szCs w:val="21"/>
              </w:rPr>
              <w:t>20231222</w:t>
            </w:r>
            <w:r w:rsidR="00DE6AA7">
              <w:rPr>
                <w:color w:val="000000"/>
                <w:kern w:val="0"/>
                <w:szCs w:val="21"/>
              </w:rPr>
              <w:t>-20231231</w:t>
            </w:r>
          </w:p>
        </w:tc>
        <w:tc>
          <w:tcPr>
            <w:tcW w:w="851" w:type="dxa"/>
            <w:vAlign w:val="center"/>
          </w:tcPr>
          <w:p w:rsidR="00BF0CFE" w:rsidRDefault="00DE6AA7">
            <w:pPr>
              <w:jc w:val="center"/>
            </w:pPr>
            <w:r>
              <w:rPr>
                <w:color w:val="000000"/>
                <w:kern w:val="0"/>
                <w:szCs w:val="21"/>
              </w:rPr>
              <w:t>9,288,975.00</w:t>
            </w:r>
          </w:p>
        </w:tc>
        <w:tc>
          <w:tcPr>
            <w:tcW w:w="850" w:type="dxa"/>
            <w:vAlign w:val="center"/>
          </w:tcPr>
          <w:p w:rsidR="00BF0CFE" w:rsidRDefault="00DE6AA7">
            <w:pPr>
              <w:jc w:val="center"/>
            </w:pPr>
            <w:r>
              <w:rPr>
                <w:color w:val="000000"/>
                <w:kern w:val="0"/>
                <w:szCs w:val="21"/>
              </w:rPr>
              <w:t>9,872,932.00</w:t>
            </w:r>
          </w:p>
        </w:tc>
        <w:tc>
          <w:tcPr>
            <w:tcW w:w="1134" w:type="dxa"/>
            <w:vAlign w:val="center"/>
          </w:tcPr>
          <w:p w:rsidR="00BF0CFE" w:rsidRDefault="00DE6AA7">
            <w:pPr>
              <w:jc w:val="center"/>
            </w:pPr>
            <w:r>
              <w:rPr>
                <w:color w:val="000000"/>
                <w:kern w:val="0"/>
                <w:szCs w:val="21"/>
              </w:rPr>
              <w:t>9,490,876.00</w:t>
            </w:r>
          </w:p>
        </w:tc>
        <w:tc>
          <w:tcPr>
            <w:tcW w:w="1419" w:type="dxa"/>
            <w:vAlign w:val="center"/>
          </w:tcPr>
          <w:p w:rsidR="00BF0CFE" w:rsidRDefault="00DE6AA7">
            <w:pPr>
              <w:jc w:val="center"/>
            </w:pPr>
            <w:r>
              <w:rPr>
                <w:color w:val="000000"/>
                <w:kern w:val="0"/>
                <w:szCs w:val="21"/>
              </w:rPr>
              <w:t>9,671,031.00</w:t>
            </w:r>
          </w:p>
        </w:tc>
        <w:tc>
          <w:tcPr>
            <w:tcW w:w="1130" w:type="dxa"/>
            <w:vAlign w:val="center"/>
          </w:tcPr>
          <w:p w:rsidR="00BF0CFE" w:rsidRDefault="00DE6AA7" w:rsidP="00DE6AA7">
            <w:pPr>
              <w:jc w:val="center"/>
            </w:pPr>
            <w:r>
              <w:rPr>
                <w:color w:val="000000"/>
                <w:kern w:val="0"/>
                <w:szCs w:val="21"/>
              </w:rPr>
              <w:t>22.18%</w:t>
            </w:r>
          </w:p>
        </w:tc>
      </w:tr>
      <w:tr w:rsidR="00BF0CFE">
        <w:tc>
          <w:tcPr>
            <w:tcW w:w="993" w:type="dxa"/>
            <w:vMerge/>
          </w:tcPr>
          <w:p w:rsidR="00BF0CFE" w:rsidRDefault="00BF0CFE"/>
        </w:tc>
        <w:tc>
          <w:tcPr>
            <w:tcW w:w="992" w:type="dxa"/>
            <w:vAlign w:val="center"/>
          </w:tcPr>
          <w:p w:rsidR="00BF0CFE" w:rsidRDefault="00B65500">
            <w:pPr>
              <w:jc w:val="center"/>
            </w:pPr>
            <w:r>
              <w:rPr>
                <w:color w:val="000000"/>
                <w:kern w:val="0"/>
                <w:szCs w:val="21"/>
              </w:rPr>
              <w:t>6</w:t>
            </w:r>
          </w:p>
        </w:tc>
        <w:tc>
          <w:tcPr>
            <w:tcW w:w="1843" w:type="dxa"/>
            <w:vAlign w:val="center"/>
          </w:tcPr>
          <w:p w:rsidR="00BF0CFE" w:rsidRDefault="00DE6AA7">
            <w:pPr>
              <w:jc w:val="center"/>
            </w:pPr>
            <w:r>
              <w:rPr>
                <w:color w:val="000000"/>
                <w:kern w:val="0"/>
                <w:szCs w:val="21"/>
              </w:rPr>
              <w:t>20231019-20231019</w:t>
            </w:r>
          </w:p>
        </w:tc>
        <w:tc>
          <w:tcPr>
            <w:tcW w:w="851" w:type="dxa"/>
            <w:vAlign w:val="center"/>
          </w:tcPr>
          <w:p w:rsidR="00BF0CFE" w:rsidRDefault="00DE6AA7">
            <w:pPr>
              <w:jc w:val="center"/>
            </w:pPr>
            <w:r>
              <w:rPr>
                <w:color w:val="000000"/>
                <w:kern w:val="0"/>
                <w:szCs w:val="21"/>
              </w:rPr>
              <w:t>0.00</w:t>
            </w:r>
          </w:p>
        </w:tc>
        <w:tc>
          <w:tcPr>
            <w:tcW w:w="850" w:type="dxa"/>
            <w:vAlign w:val="center"/>
          </w:tcPr>
          <w:p w:rsidR="00BF0CFE" w:rsidRDefault="006D2174">
            <w:pPr>
              <w:jc w:val="center"/>
            </w:pPr>
            <w:r>
              <w:rPr>
                <w:color w:val="000000"/>
                <w:kern w:val="0"/>
                <w:szCs w:val="21"/>
              </w:rPr>
              <w:t>29</w:t>
            </w:r>
            <w:r w:rsidR="00DE6AA7">
              <w:rPr>
                <w:color w:val="000000"/>
                <w:kern w:val="0"/>
                <w:szCs w:val="21"/>
              </w:rPr>
              <w:t>,000,000.00</w:t>
            </w:r>
          </w:p>
        </w:tc>
        <w:tc>
          <w:tcPr>
            <w:tcW w:w="1134" w:type="dxa"/>
            <w:vAlign w:val="center"/>
          </w:tcPr>
          <w:p w:rsidR="00BF0CFE" w:rsidRDefault="006D2174">
            <w:pPr>
              <w:jc w:val="center"/>
            </w:pPr>
            <w:r>
              <w:rPr>
                <w:color w:val="000000"/>
                <w:kern w:val="0"/>
                <w:szCs w:val="21"/>
              </w:rPr>
              <w:t>29</w:t>
            </w:r>
            <w:r w:rsidR="00DE6AA7">
              <w:rPr>
                <w:color w:val="000000"/>
                <w:kern w:val="0"/>
                <w:szCs w:val="21"/>
              </w:rPr>
              <w:t>,000,000.00</w:t>
            </w:r>
          </w:p>
        </w:tc>
        <w:tc>
          <w:tcPr>
            <w:tcW w:w="1419" w:type="dxa"/>
            <w:vAlign w:val="center"/>
          </w:tcPr>
          <w:p w:rsidR="00BF0CFE" w:rsidRDefault="00DE6AA7">
            <w:pPr>
              <w:jc w:val="center"/>
            </w:pPr>
            <w:r>
              <w:rPr>
                <w:color w:val="000000"/>
                <w:kern w:val="0"/>
                <w:szCs w:val="21"/>
              </w:rPr>
              <w:t>0.00</w:t>
            </w:r>
          </w:p>
        </w:tc>
        <w:tc>
          <w:tcPr>
            <w:tcW w:w="1130" w:type="dxa"/>
            <w:vAlign w:val="center"/>
          </w:tcPr>
          <w:p w:rsidR="00BF0CFE" w:rsidRDefault="00DE6AA7">
            <w:pPr>
              <w:jc w:val="center"/>
            </w:pPr>
            <w:r>
              <w:rPr>
                <w:color w:val="000000"/>
                <w:kern w:val="0"/>
                <w:szCs w:val="21"/>
              </w:rPr>
              <w:t>0.00%</w:t>
            </w:r>
          </w:p>
        </w:tc>
      </w:tr>
      <w:tr w:rsidR="00BF0CFE">
        <w:tc>
          <w:tcPr>
            <w:tcW w:w="993" w:type="dxa"/>
            <w:vMerge/>
          </w:tcPr>
          <w:p w:rsidR="00BF0CFE" w:rsidRDefault="00BF0CFE"/>
        </w:tc>
        <w:tc>
          <w:tcPr>
            <w:tcW w:w="992" w:type="dxa"/>
            <w:vAlign w:val="center"/>
          </w:tcPr>
          <w:p w:rsidR="00BF0CFE" w:rsidRDefault="00B65500">
            <w:pPr>
              <w:jc w:val="center"/>
            </w:pPr>
            <w:r>
              <w:rPr>
                <w:color w:val="000000"/>
                <w:kern w:val="0"/>
                <w:szCs w:val="21"/>
              </w:rPr>
              <w:t>7</w:t>
            </w:r>
          </w:p>
        </w:tc>
        <w:tc>
          <w:tcPr>
            <w:tcW w:w="1843" w:type="dxa"/>
            <w:vAlign w:val="center"/>
          </w:tcPr>
          <w:p w:rsidR="00BF0CFE" w:rsidRDefault="00DE6AA7">
            <w:pPr>
              <w:jc w:val="center"/>
            </w:pPr>
            <w:r>
              <w:rPr>
                <w:color w:val="000000"/>
                <w:kern w:val="0"/>
                <w:szCs w:val="21"/>
              </w:rPr>
              <w:t>20231221-20231221</w:t>
            </w:r>
          </w:p>
        </w:tc>
        <w:tc>
          <w:tcPr>
            <w:tcW w:w="851" w:type="dxa"/>
            <w:vAlign w:val="center"/>
          </w:tcPr>
          <w:p w:rsidR="00BF0CFE" w:rsidRDefault="00DE6AA7">
            <w:pPr>
              <w:jc w:val="center"/>
            </w:pPr>
            <w:r>
              <w:rPr>
                <w:color w:val="000000"/>
                <w:kern w:val="0"/>
                <w:szCs w:val="21"/>
              </w:rPr>
              <w:t>0.00</w:t>
            </w:r>
          </w:p>
        </w:tc>
        <w:tc>
          <w:tcPr>
            <w:tcW w:w="850" w:type="dxa"/>
            <w:vAlign w:val="center"/>
          </w:tcPr>
          <w:p w:rsidR="00BF0CFE" w:rsidRDefault="006D2174">
            <w:pPr>
              <w:jc w:val="center"/>
            </w:pPr>
            <w:r>
              <w:rPr>
                <w:color w:val="000000"/>
                <w:kern w:val="0"/>
                <w:szCs w:val="21"/>
              </w:rPr>
              <w:t>32</w:t>
            </w:r>
            <w:r w:rsidR="00DE6AA7">
              <w:rPr>
                <w:color w:val="000000"/>
                <w:kern w:val="0"/>
                <w:szCs w:val="21"/>
              </w:rPr>
              <w:t>,000,000.00</w:t>
            </w:r>
          </w:p>
        </w:tc>
        <w:tc>
          <w:tcPr>
            <w:tcW w:w="1134" w:type="dxa"/>
            <w:vAlign w:val="center"/>
          </w:tcPr>
          <w:p w:rsidR="00BF0CFE" w:rsidRDefault="006D2174">
            <w:pPr>
              <w:jc w:val="center"/>
            </w:pPr>
            <w:r>
              <w:rPr>
                <w:color w:val="000000"/>
                <w:kern w:val="0"/>
                <w:szCs w:val="21"/>
              </w:rPr>
              <w:t>32</w:t>
            </w:r>
            <w:r w:rsidR="00DE6AA7">
              <w:rPr>
                <w:color w:val="000000"/>
                <w:kern w:val="0"/>
                <w:szCs w:val="21"/>
              </w:rPr>
              <w:t>,000,000.00</w:t>
            </w:r>
          </w:p>
        </w:tc>
        <w:tc>
          <w:tcPr>
            <w:tcW w:w="1419" w:type="dxa"/>
            <w:vAlign w:val="center"/>
          </w:tcPr>
          <w:p w:rsidR="00BF0CFE" w:rsidRDefault="00DE6AA7">
            <w:pPr>
              <w:jc w:val="center"/>
            </w:pPr>
            <w:r>
              <w:rPr>
                <w:color w:val="000000"/>
                <w:kern w:val="0"/>
                <w:szCs w:val="21"/>
              </w:rPr>
              <w:t>0.00</w:t>
            </w:r>
          </w:p>
        </w:tc>
        <w:tc>
          <w:tcPr>
            <w:tcW w:w="1130" w:type="dxa"/>
            <w:vAlign w:val="center"/>
          </w:tcPr>
          <w:p w:rsidR="00BF0CFE" w:rsidRDefault="00DE6AA7">
            <w:pPr>
              <w:jc w:val="center"/>
            </w:pPr>
            <w:r>
              <w:rPr>
                <w:color w:val="000000"/>
                <w:kern w:val="0"/>
                <w:szCs w:val="21"/>
              </w:rPr>
              <w:t>0.00%</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交易型开放式指数证券投资基金托管协议</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F0CFE" w:rsidRDefault="00DE6AA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lastRenderedPageBreak/>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二〇二四年一月二十二日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0BD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90BDC">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90BDC">
      <w:rPr>
        <w:rStyle w:val="af5"/>
        <w:noProof/>
      </w:rPr>
      <w:t>13</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摩根中证碳中和</w:t>
    </w:r>
    <w:r>
      <w:t>60</w:t>
    </w:r>
    <w:r>
      <w:t>交易型开放式指数证券投资基金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2174"/>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500"/>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CFE"/>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0BDC"/>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E6AA7"/>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1176</Words>
  <Characters>6704</Characters>
  <Application>Microsoft Office Word</Application>
  <DocSecurity>0</DocSecurity>
  <Lines>55</Lines>
  <Paragraphs>15</Paragraphs>
  <ScaleCrop>false</ScaleCrop>
  <Company>TRT. Ltd. Co.</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161</cp:revision>
  <cp:lastPrinted>2007-07-19T00:46:00Z</cp:lastPrinted>
  <dcterms:created xsi:type="dcterms:W3CDTF">2012-11-21T04:46:00Z</dcterms:created>
  <dcterms:modified xsi:type="dcterms:W3CDTF">2024-01-19T05:42:00Z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