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90C856" w14:textId="77777777" w:rsidR="008C5A31" w:rsidRDefault="008C5A31">
      <w:pPr>
        <w:spacing w:line="360" w:lineRule="auto"/>
        <w:rPr>
          <w:rFonts w:ascii="宋体" w:hAnsi="宋体" w:hint="eastAsia"/>
          <w:sz w:val="48"/>
        </w:rPr>
      </w:pPr>
      <w:r>
        <w:rPr>
          <w:rFonts w:ascii="宋体" w:hAnsi="宋体" w:hint="eastAsia"/>
          <w:sz w:val="48"/>
        </w:rPr>
        <w:t xml:space="preserve">　 </w:t>
      </w:r>
    </w:p>
    <w:p w14:paraId="07623176" w14:textId="77777777" w:rsidR="008C5A31" w:rsidRDefault="008C5A31">
      <w:pPr>
        <w:spacing w:line="360" w:lineRule="auto"/>
        <w:rPr>
          <w:rFonts w:ascii="宋体" w:hAnsi="宋体" w:hint="eastAsia"/>
          <w:sz w:val="48"/>
        </w:rPr>
      </w:pPr>
      <w:r>
        <w:rPr>
          <w:rFonts w:ascii="宋体" w:hAnsi="宋体" w:hint="eastAsia"/>
          <w:sz w:val="48"/>
        </w:rPr>
        <w:t xml:space="preserve">　 </w:t>
      </w:r>
    </w:p>
    <w:p w14:paraId="5D102168" w14:textId="77777777" w:rsidR="008C5A31" w:rsidRDefault="008C5A31">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w:t>
      </w:r>
      <w:proofErr w:type="gramStart"/>
      <w:r>
        <w:rPr>
          <w:rFonts w:ascii="宋体" w:hAnsi="宋体" w:hint="eastAsia"/>
          <w:b/>
          <w:bCs/>
          <w:color w:val="000000" w:themeColor="text1"/>
          <w:sz w:val="48"/>
          <w:szCs w:val="30"/>
        </w:rPr>
        <w:t>证创新药产业</w:t>
      </w:r>
      <w:proofErr w:type="gramEnd"/>
      <w:r>
        <w:rPr>
          <w:rFonts w:ascii="宋体" w:hAnsi="宋体" w:hint="eastAsia"/>
          <w:b/>
          <w:bCs/>
          <w:color w:val="000000" w:themeColor="text1"/>
          <w:sz w:val="48"/>
          <w:szCs w:val="30"/>
        </w:rPr>
        <w:t>交易型开放式指数证券投资基金</w:t>
      </w:r>
      <w:r>
        <w:rPr>
          <w:rFonts w:ascii="宋体" w:hAnsi="宋体" w:hint="eastAsia"/>
          <w:b/>
          <w:bCs/>
          <w:color w:val="000000" w:themeColor="text1"/>
          <w:sz w:val="48"/>
          <w:szCs w:val="30"/>
        </w:rPr>
        <w:br/>
        <w:t>2026年第1季度报告</w:t>
      </w:r>
    </w:p>
    <w:p w14:paraId="4EDE83B0"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496EDD97" w14:textId="77777777" w:rsidR="008C5A31" w:rsidRDefault="008C5A31">
      <w:pPr>
        <w:spacing w:line="360" w:lineRule="auto"/>
        <w:jc w:val="center"/>
      </w:pPr>
      <w:r>
        <w:rPr>
          <w:rFonts w:ascii="宋体" w:hAnsi="宋体" w:hint="eastAsia"/>
          <w:b/>
          <w:bCs/>
          <w:sz w:val="28"/>
          <w:szCs w:val="30"/>
        </w:rPr>
        <w:t>2026年3月31日</w:t>
      </w:r>
    </w:p>
    <w:p w14:paraId="3D37BDDA"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1E7B1F6D"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74715A28"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3B9CAE43" w14:textId="77777777" w:rsidR="008C5A31" w:rsidRDefault="008C5A3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4D61264"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238C35D6"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54FA0C5C"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17B9196A"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3310B1E1"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2284CB53"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5B78E6AC" w14:textId="77777777" w:rsidR="008C5A31" w:rsidRDefault="008C5A31">
      <w:pPr>
        <w:spacing w:line="360" w:lineRule="auto"/>
        <w:jc w:val="center"/>
        <w:rPr>
          <w:rFonts w:ascii="宋体" w:hAnsi="宋体" w:hint="eastAsia"/>
          <w:sz w:val="28"/>
          <w:szCs w:val="30"/>
        </w:rPr>
      </w:pPr>
      <w:r>
        <w:rPr>
          <w:rFonts w:ascii="宋体" w:hAnsi="宋体" w:hint="eastAsia"/>
          <w:sz w:val="28"/>
          <w:szCs w:val="30"/>
        </w:rPr>
        <w:t xml:space="preserve">　 </w:t>
      </w:r>
    </w:p>
    <w:p w14:paraId="4836452D" w14:textId="77777777" w:rsidR="008C5A31" w:rsidRDefault="008C5A31">
      <w:pPr>
        <w:spacing w:line="360" w:lineRule="auto"/>
        <w:ind w:firstLineChars="800" w:firstLine="2249"/>
        <w:jc w:val="left"/>
      </w:pPr>
      <w:r>
        <w:rPr>
          <w:rFonts w:ascii="宋体" w:hAnsi="宋体" w:hint="eastAsia"/>
          <w:b/>
          <w:bCs/>
          <w:sz w:val="28"/>
          <w:szCs w:val="30"/>
        </w:rPr>
        <w:t>基金管理人：摩根基金管理（中国）有限公司</w:t>
      </w:r>
    </w:p>
    <w:p w14:paraId="6508B061" w14:textId="77777777" w:rsidR="008C5A31" w:rsidRDefault="008C5A31">
      <w:pPr>
        <w:spacing w:line="360" w:lineRule="auto"/>
        <w:ind w:firstLineChars="800" w:firstLine="2249"/>
        <w:jc w:val="left"/>
      </w:pPr>
      <w:r>
        <w:rPr>
          <w:rFonts w:ascii="宋体" w:hAnsi="宋体" w:hint="eastAsia"/>
          <w:b/>
          <w:bCs/>
          <w:sz w:val="28"/>
          <w:szCs w:val="30"/>
        </w:rPr>
        <w:t>基金托管人：中</w:t>
      </w:r>
      <w:proofErr w:type="gramStart"/>
      <w:r>
        <w:rPr>
          <w:rFonts w:ascii="宋体" w:hAnsi="宋体" w:hint="eastAsia"/>
          <w:b/>
          <w:bCs/>
          <w:sz w:val="28"/>
          <w:szCs w:val="30"/>
        </w:rPr>
        <w:t>信建投证券</w:t>
      </w:r>
      <w:proofErr w:type="gramEnd"/>
      <w:r>
        <w:rPr>
          <w:rFonts w:ascii="宋体" w:hAnsi="宋体" w:hint="eastAsia"/>
          <w:b/>
          <w:bCs/>
          <w:sz w:val="28"/>
          <w:szCs w:val="30"/>
        </w:rPr>
        <w:t>股份有限公司</w:t>
      </w:r>
    </w:p>
    <w:p w14:paraId="19635BB2" w14:textId="77777777" w:rsidR="008C5A31" w:rsidRDefault="008C5A31">
      <w:pPr>
        <w:spacing w:line="360" w:lineRule="auto"/>
        <w:ind w:firstLineChars="800" w:firstLine="2249"/>
        <w:jc w:val="left"/>
      </w:pPr>
      <w:r>
        <w:rPr>
          <w:rFonts w:ascii="宋体" w:hAnsi="宋体" w:hint="eastAsia"/>
          <w:b/>
          <w:bCs/>
          <w:sz w:val="28"/>
          <w:szCs w:val="30"/>
        </w:rPr>
        <w:t>报告送出日期：2026年4月22日</w:t>
      </w:r>
    </w:p>
    <w:p w14:paraId="13C18911" w14:textId="77777777" w:rsidR="008C5A31" w:rsidRDefault="008C5A31">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02B41D02" w14:textId="77777777" w:rsidR="008C5A31" w:rsidRDefault="008C5A31">
      <w:pPr>
        <w:spacing w:line="360" w:lineRule="auto"/>
        <w:ind w:firstLineChars="200" w:firstLine="420"/>
        <w:divId w:val="109252642"/>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w:t>
      </w:r>
      <w:proofErr w:type="gramStart"/>
      <w:r>
        <w:rPr>
          <w:rFonts w:ascii="宋体" w:hAnsi="宋体" w:hint="eastAsia"/>
        </w:rPr>
        <w:t>信建投证券</w:t>
      </w:r>
      <w:proofErr w:type="gramEnd"/>
      <w:r>
        <w:rPr>
          <w:rFonts w:ascii="宋体" w:hAnsi="宋体" w:hint="eastAsia"/>
        </w:rPr>
        <w:t xml:space="preserve">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2C9824F" w14:textId="77777777" w:rsidR="008C5A31" w:rsidRDefault="008C5A31">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496D67" w14:paraId="412F2F42" w14:textId="77777777">
        <w:trPr>
          <w:divId w:val="842352200"/>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8ED77" w14:textId="77777777" w:rsidR="008C5A31" w:rsidRDefault="008C5A31">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60DAB3C3" w14:textId="77777777" w:rsidR="008C5A31" w:rsidRDefault="008C5A31">
            <w:pPr>
              <w:widowControl/>
              <w:spacing w:line="315" w:lineRule="atLeast"/>
              <w:jc w:val="left"/>
            </w:pPr>
            <w:r>
              <w:rPr>
                <w:rFonts w:asciiTheme="minorEastAsia" w:eastAsiaTheme="minorEastAsia" w:hAnsiTheme="minorEastAsia" w:hint="eastAsia"/>
              </w:rPr>
              <w:t>摩根中</w:t>
            </w:r>
            <w:proofErr w:type="gramStart"/>
            <w:r>
              <w:rPr>
                <w:rFonts w:asciiTheme="minorEastAsia" w:eastAsiaTheme="minorEastAsia" w:hAnsiTheme="minorEastAsia" w:hint="eastAsia"/>
              </w:rPr>
              <w:t>证创新药产业</w:t>
            </w:r>
            <w:proofErr w:type="gramEnd"/>
            <w:r>
              <w:rPr>
                <w:rFonts w:asciiTheme="minorEastAsia" w:eastAsiaTheme="minorEastAsia" w:hAnsiTheme="minorEastAsia" w:hint="eastAsia"/>
              </w:rPr>
              <w:t>ETF</w:t>
            </w:r>
          </w:p>
        </w:tc>
      </w:tr>
      <w:tr w:rsidR="00496D67" w14:paraId="706CE665" w14:textId="77777777">
        <w:trPr>
          <w:divId w:val="84235220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A34D4A3" w14:textId="77777777" w:rsidR="008C5A31" w:rsidRDefault="008C5A31">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7CE4D00" w14:textId="77777777" w:rsidR="008C5A31" w:rsidRDefault="008C5A31">
            <w:pPr>
              <w:widowControl/>
              <w:spacing w:line="315" w:lineRule="atLeast"/>
              <w:jc w:val="left"/>
            </w:pPr>
            <w:r>
              <w:rPr>
                <w:rFonts w:asciiTheme="minorEastAsia" w:eastAsiaTheme="minorEastAsia" w:hAnsiTheme="minorEastAsia" w:hint="eastAsia"/>
              </w:rPr>
              <w:t>560900</w:t>
            </w:r>
          </w:p>
        </w:tc>
      </w:tr>
      <w:tr w:rsidR="00496D67" w14:paraId="450AF698" w14:textId="77777777">
        <w:trPr>
          <w:divId w:val="84235220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CCF9207" w14:textId="77777777" w:rsidR="008C5A31" w:rsidRDefault="008C5A31">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221C838" w14:textId="77777777" w:rsidR="008C5A31" w:rsidRDefault="008C5A31">
            <w:pPr>
              <w:widowControl/>
              <w:spacing w:line="315" w:lineRule="atLeast"/>
              <w:jc w:val="left"/>
            </w:pPr>
            <w:r>
              <w:rPr>
                <w:rFonts w:asciiTheme="minorEastAsia" w:eastAsiaTheme="minorEastAsia" w:hAnsiTheme="minorEastAsia" w:hint="eastAsia"/>
              </w:rPr>
              <w:t>560900</w:t>
            </w:r>
          </w:p>
        </w:tc>
      </w:tr>
      <w:tr w:rsidR="00496D67" w14:paraId="723E0EEC" w14:textId="77777777">
        <w:trPr>
          <w:divId w:val="84235220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0A2EE6C" w14:textId="77777777" w:rsidR="008C5A31" w:rsidRDefault="008C5A31">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5A190D6" w14:textId="77777777" w:rsidR="008C5A31" w:rsidRDefault="008C5A31">
            <w:pPr>
              <w:widowControl/>
              <w:spacing w:line="315" w:lineRule="atLeast"/>
              <w:jc w:val="left"/>
            </w:pPr>
            <w:r>
              <w:rPr>
                <w:rFonts w:asciiTheme="minorEastAsia" w:eastAsiaTheme="minorEastAsia" w:hAnsiTheme="minorEastAsia" w:hint="eastAsia"/>
              </w:rPr>
              <w:t>交易型开放式</w:t>
            </w:r>
          </w:p>
        </w:tc>
      </w:tr>
      <w:tr w:rsidR="00496D67" w14:paraId="1A1AD468" w14:textId="77777777">
        <w:trPr>
          <w:divId w:val="84235220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1CF61E1" w14:textId="77777777" w:rsidR="008C5A31" w:rsidRDefault="008C5A31">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BEACF2E" w14:textId="77777777" w:rsidR="008C5A31" w:rsidRDefault="008C5A31">
            <w:pPr>
              <w:widowControl/>
              <w:spacing w:line="315" w:lineRule="atLeast"/>
              <w:jc w:val="left"/>
            </w:pPr>
            <w:r>
              <w:rPr>
                <w:rFonts w:asciiTheme="minorEastAsia" w:eastAsiaTheme="minorEastAsia" w:hAnsiTheme="minorEastAsia" w:hint="eastAsia"/>
              </w:rPr>
              <w:t>2022年5月19日</w:t>
            </w:r>
          </w:p>
        </w:tc>
      </w:tr>
      <w:tr w:rsidR="00496D67" w14:paraId="15AB3C7B" w14:textId="77777777">
        <w:trPr>
          <w:divId w:val="842352200"/>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2535235" w14:textId="77777777" w:rsidR="008C5A31" w:rsidRDefault="008C5A31">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185661D" w14:textId="77777777" w:rsidR="008C5A31" w:rsidRDefault="008C5A31">
            <w:pPr>
              <w:widowControl/>
              <w:spacing w:line="315" w:lineRule="atLeast"/>
              <w:jc w:val="left"/>
            </w:pPr>
            <w:r>
              <w:rPr>
                <w:rFonts w:asciiTheme="minorEastAsia" w:eastAsiaTheme="minorEastAsia" w:hAnsiTheme="minorEastAsia" w:hint="eastAsia"/>
              </w:rPr>
              <w:t xml:space="preserve">163,969,080.00份 </w:t>
            </w:r>
          </w:p>
        </w:tc>
      </w:tr>
      <w:tr w:rsidR="00496D67" w14:paraId="707032EE" w14:textId="77777777">
        <w:trPr>
          <w:divId w:val="84235220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53BFB45" w14:textId="77777777" w:rsidR="008C5A31" w:rsidRDefault="008C5A31">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92375EF" w14:textId="77777777" w:rsidR="008C5A31" w:rsidRDefault="008C5A31">
            <w:pPr>
              <w:widowControl/>
              <w:spacing w:line="315" w:lineRule="atLeast"/>
              <w:jc w:val="left"/>
            </w:pPr>
            <w:r>
              <w:rPr>
                <w:rFonts w:asciiTheme="minorEastAsia" w:eastAsiaTheme="minorEastAsia" w:hAnsiTheme="minorEastAsia" w:hint="eastAsia"/>
              </w:rPr>
              <w:t>本基金进行被动式指数化投资，紧密跟踪标的指数，追求跟踪偏离度和跟踪误差最小化。本基金力争日均跟踪偏离度的绝对值不超过0.2%，年跟踪误差不超过2%。</w:t>
            </w:r>
          </w:p>
        </w:tc>
      </w:tr>
      <w:tr w:rsidR="00496D67" w14:paraId="5F862975" w14:textId="77777777">
        <w:trPr>
          <w:divId w:val="84235220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B5EBDE3" w14:textId="77777777" w:rsidR="008C5A31" w:rsidRDefault="008C5A31">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CA776D2" w14:textId="77777777" w:rsidR="008C5A31" w:rsidRDefault="008C5A31">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w:t>
            </w:r>
            <w:r>
              <w:rPr>
                <w:rFonts w:asciiTheme="minorEastAsia" w:eastAsiaTheme="minorEastAsia" w:hAnsiTheme="minorEastAsia" w:hint="eastAsia"/>
              </w:rPr>
              <w:lastRenderedPageBreak/>
              <w:t>挑选标的指数中其他成份股或备选成份股进行替代，以期在规定的风险承受限度内，尽量缩小跟踪误差。</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③本基金将根据申购和赎回情况对股票投资组合进行调整，保证基金正常运行，从而有效跟踪标的指数。</w:t>
            </w:r>
            <w:r>
              <w:rPr>
                <w:rFonts w:asciiTheme="minorEastAsia" w:eastAsiaTheme="minorEastAsia" w:hAnsiTheme="minorEastAsia" w:hint="eastAsia"/>
              </w:rPr>
              <w:br/>
              <w:t>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w:t>
            </w:r>
          </w:p>
        </w:tc>
      </w:tr>
      <w:tr w:rsidR="00496D67" w14:paraId="1B111233" w14:textId="77777777">
        <w:trPr>
          <w:divId w:val="84235220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8F15F2C" w14:textId="77777777" w:rsidR="008C5A31" w:rsidRDefault="008C5A31">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EDCE384" w14:textId="77777777" w:rsidR="008C5A31" w:rsidRDefault="008C5A31">
            <w:pPr>
              <w:widowControl/>
              <w:spacing w:line="315" w:lineRule="atLeast"/>
              <w:jc w:val="left"/>
            </w:pPr>
            <w:r>
              <w:rPr>
                <w:rFonts w:asciiTheme="minorEastAsia" w:eastAsiaTheme="minorEastAsia" w:hAnsiTheme="minorEastAsia" w:hint="eastAsia"/>
              </w:rPr>
              <w:t>本基金的业绩比较基准为标的指数，即中</w:t>
            </w:r>
            <w:proofErr w:type="gramStart"/>
            <w:r>
              <w:rPr>
                <w:rFonts w:asciiTheme="minorEastAsia" w:eastAsiaTheme="minorEastAsia" w:hAnsiTheme="minorEastAsia" w:hint="eastAsia"/>
              </w:rPr>
              <w:t>证创新药产业</w:t>
            </w:r>
            <w:proofErr w:type="gramEnd"/>
            <w:r>
              <w:rPr>
                <w:rFonts w:asciiTheme="minorEastAsia" w:eastAsiaTheme="minorEastAsia" w:hAnsiTheme="minorEastAsia" w:hint="eastAsia"/>
              </w:rPr>
              <w:t>指数收益率。本基金标的指数变更的，相应更换基金名称和业绩比较基准，并在履行适当程序后及时公告。</w:t>
            </w:r>
          </w:p>
        </w:tc>
      </w:tr>
      <w:tr w:rsidR="00496D67" w14:paraId="09F6BDCD" w14:textId="77777777">
        <w:trPr>
          <w:divId w:val="84235220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8F400CC" w14:textId="77777777" w:rsidR="008C5A31" w:rsidRDefault="008C5A31">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3CF7CE2" w14:textId="77777777" w:rsidR="008C5A31" w:rsidRDefault="008C5A31">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基金，其预期风险和预期收益高于货币市场基金、债券型基金和混合型基金。本基金主要投资于标的指数成份股及备选成份股，具有与标的指数相似的风险收益特征。</w:t>
            </w:r>
          </w:p>
        </w:tc>
      </w:tr>
      <w:tr w:rsidR="00496D67" w14:paraId="0E44A6AF" w14:textId="77777777">
        <w:trPr>
          <w:divId w:val="84235220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9DC10D3" w14:textId="77777777" w:rsidR="008C5A31" w:rsidRDefault="008C5A31">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A7E670F" w14:textId="77777777" w:rsidR="008C5A31" w:rsidRDefault="008C5A31">
            <w:pPr>
              <w:widowControl/>
              <w:spacing w:line="315" w:lineRule="atLeast"/>
              <w:jc w:val="left"/>
            </w:pPr>
            <w:r>
              <w:rPr>
                <w:rFonts w:asciiTheme="minorEastAsia" w:eastAsiaTheme="minorEastAsia" w:hAnsiTheme="minorEastAsia" w:hint="eastAsia"/>
              </w:rPr>
              <w:t>摩根基金管理（中国）有限公司</w:t>
            </w:r>
          </w:p>
        </w:tc>
      </w:tr>
      <w:tr w:rsidR="00496D67" w14:paraId="0FAF6E1E" w14:textId="77777777">
        <w:trPr>
          <w:divId w:val="84235220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ABB4131" w14:textId="77777777" w:rsidR="008C5A31" w:rsidRDefault="008C5A31">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CC0E8C9" w14:textId="77777777" w:rsidR="008C5A31" w:rsidRDefault="008C5A31">
            <w:pPr>
              <w:widowControl/>
              <w:spacing w:line="315" w:lineRule="atLeast"/>
              <w:jc w:val="left"/>
            </w:pPr>
            <w:r>
              <w:rPr>
                <w:rFonts w:asciiTheme="minorEastAsia" w:eastAsiaTheme="minorEastAsia" w:hAnsiTheme="minorEastAsia" w:hint="eastAsia"/>
              </w:rPr>
              <w:t>中</w:t>
            </w:r>
            <w:proofErr w:type="gramStart"/>
            <w:r>
              <w:rPr>
                <w:rFonts w:asciiTheme="minorEastAsia" w:eastAsiaTheme="minorEastAsia" w:hAnsiTheme="minorEastAsia" w:hint="eastAsia"/>
              </w:rPr>
              <w:t>信建投证券</w:t>
            </w:r>
            <w:proofErr w:type="gramEnd"/>
            <w:r>
              <w:rPr>
                <w:rFonts w:asciiTheme="minorEastAsia" w:eastAsiaTheme="minorEastAsia" w:hAnsiTheme="minorEastAsia" w:hint="eastAsia"/>
              </w:rPr>
              <w:t>股份有限公司</w:t>
            </w:r>
          </w:p>
        </w:tc>
      </w:tr>
    </w:tbl>
    <w:p w14:paraId="58203B8E" w14:textId="77777777" w:rsidR="008C5A31" w:rsidRDefault="008C5A31">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67999B70" w14:textId="77777777" w:rsidR="008C5A31" w:rsidRDefault="008C5A31">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0AED0443" w14:textId="77777777" w:rsidR="008C5A31" w:rsidRDefault="008C5A31">
      <w:pPr>
        <w:jc w:val="right"/>
        <w:divId w:val="168200310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496D67" w14:paraId="484ABDEE" w14:textId="77777777">
        <w:trPr>
          <w:divId w:val="1682003102"/>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1C93962" w14:textId="77777777" w:rsidR="008C5A31" w:rsidRDefault="008C5A31">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FAB4389" w14:textId="77777777" w:rsidR="008C5A31" w:rsidRDefault="008C5A31">
            <w:pPr>
              <w:pStyle w:val="a5"/>
              <w:jc w:val="center"/>
              <w:rPr>
                <w:rFonts w:hint="eastAsia"/>
              </w:rPr>
            </w:pPr>
            <w:r>
              <w:rPr>
                <w:rFonts w:hint="eastAsia"/>
                <w:kern w:val="2"/>
                <w:sz w:val="21"/>
                <w:szCs w:val="24"/>
                <w:lang w:eastAsia="zh-Hans"/>
              </w:rPr>
              <w:t>报告期（2026年1月1日-2026年3月31日）</w:t>
            </w:r>
          </w:p>
        </w:tc>
      </w:tr>
      <w:tr w:rsidR="00496D67" w14:paraId="029AF50C" w14:textId="77777777">
        <w:trPr>
          <w:divId w:val="168200310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652129" w14:textId="77777777" w:rsidR="008C5A31" w:rsidRDefault="008C5A31">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B60999" w14:textId="77777777" w:rsidR="008C5A31" w:rsidRDefault="008C5A31">
            <w:pPr>
              <w:jc w:val="right"/>
            </w:pPr>
            <w:r>
              <w:rPr>
                <w:rFonts w:ascii="宋体" w:hAnsi="宋体" w:hint="eastAsia"/>
                <w:szCs w:val="24"/>
                <w:lang w:eastAsia="zh-Hans"/>
              </w:rPr>
              <w:t>-2,204,471.34</w:t>
            </w:r>
          </w:p>
        </w:tc>
      </w:tr>
      <w:tr w:rsidR="00496D67" w14:paraId="4CEB3173" w14:textId="77777777">
        <w:trPr>
          <w:divId w:val="168200310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B78542" w14:textId="77777777" w:rsidR="008C5A31" w:rsidRDefault="008C5A31">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7FFBC9" w14:textId="77777777" w:rsidR="008C5A31" w:rsidRDefault="008C5A31">
            <w:pPr>
              <w:jc w:val="right"/>
            </w:pPr>
            <w:r>
              <w:rPr>
                <w:rFonts w:ascii="宋体" w:hAnsi="宋体" w:hint="eastAsia"/>
                <w:szCs w:val="24"/>
                <w:lang w:eastAsia="zh-Hans"/>
              </w:rPr>
              <w:t>-3,680,277.08</w:t>
            </w:r>
          </w:p>
        </w:tc>
      </w:tr>
      <w:tr w:rsidR="00496D67" w14:paraId="5E64FCED" w14:textId="77777777">
        <w:trPr>
          <w:divId w:val="168200310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4E409" w14:textId="77777777" w:rsidR="008C5A31" w:rsidRDefault="008C5A3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3D369E" w14:textId="77777777" w:rsidR="008C5A31" w:rsidRDefault="008C5A31">
            <w:pPr>
              <w:jc w:val="right"/>
            </w:pPr>
            <w:r>
              <w:rPr>
                <w:rFonts w:ascii="宋体" w:hAnsi="宋体" w:hint="eastAsia"/>
                <w:szCs w:val="24"/>
                <w:lang w:eastAsia="zh-Hans"/>
              </w:rPr>
              <w:t>-0.0233</w:t>
            </w:r>
          </w:p>
        </w:tc>
      </w:tr>
      <w:tr w:rsidR="00496D67" w14:paraId="55978900" w14:textId="77777777">
        <w:trPr>
          <w:divId w:val="168200310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47EC69" w14:textId="77777777" w:rsidR="008C5A31" w:rsidRDefault="008C5A3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456098" w14:textId="77777777" w:rsidR="008C5A31" w:rsidRDefault="008C5A31">
            <w:pPr>
              <w:jc w:val="right"/>
            </w:pPr>
            <w:r>
              <w:rPr>
                <w:rFonts w:ascii="宋体" w:hAnsi="宋体" w:hint="eastAsia"/>
                <w:szCs w:val="24"/>
                <w:lang w:eastAsia="zh-Hans"/>
              </w:rPr>
              <w:t>145,086,179.52</w:t>
            </w:r>
          </w:p>
        </w:tc>
      </w:tr>
      <w:tr w:rsidR="00496D67" w14:paraId="4FECAE63" w14:textId="77777777">
        <w:trPr>
          <w:divId w:val="168200310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6FA06A" w14:textId="77777777" w:rsidR="008C5A31" w:rsidRDefault="008C5A3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69CD10" w14:textId="77777777" w:rsidR="008C5A31" w:rsidRDefault="008C5A31">
            <w:pPr>
              <w:jc w:val="right"/>
            </w:pPr>
            <w:r>
              <w:rPr>
                <w:rFonts w:ascii="宋体" w:hAnsi="宋体" w:hint="eastAsia"/>
                <w:szCs w:val="24"/>
                <w:lang w:eastAsia="zh-Hans"/>
              </w:rPr>
              <w:t>0.8848</w:t>
            </w:r>
          </w:p>
        </w:tc>
      </w:tr>
    </w:tbl>
    <w:p w14:paraId="45EAE20F" w14:textId="77777777" w:rsidR="008C5A31" w:rsidRDefault="008C5A31">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w:t>
      </w:r>
      <w:r>
        <w:rPr>
          <w:rFonts w:ascii="宋体" w:hAnsi="宋体" w:hint="eastAsia"/>
          <w:szCs w:val="24"/>
          <w:lang w:eastAsia="zh-Hans"/>
        </w:rPr>
        <w:lastRenderedPageBreak/>
        <w:t>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EEF27F9" w14:textId="77777777" w:rsidR="008C5A31" w:rsidRDefault="008C5A31">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17DD6316" w14:textId="77777777" w:rsidR="008C5A31" w:rsidRDefault="008C5A31">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496D67" w14:paraId="11B3043A" w14:textId="77777777">
        <w:trPr>
          <w:divId w:val="306516399"/>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2EFE7D" w14:textId="77777777" w:rsidR="008C5A31" w:rsidRDefault="008C5A31">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E5BD6D" w14:textId="77777777" w:rsidR="008C5A31" w:rsidRDefault="008C5A31">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A0EB64" w14:textId="77777777" w:rsidR="008C5A31" w:rsidRDefault="008C5A31">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7351A3" w14:textId="77777777" w:rsidR="008C5A31" w:rsidRDefault="008C5A31">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0FD339" w14:textId="77777777" w:rsidR="008C5A31" w:rsidRDefault="008C5A31">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2718F6" w14:textId="77777777" w:rsidR="008C5A31" w:rsidRDefault="008C5A31">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F55462" w14:textId="77777777" w:rsidR="008C5A31" w:rsidRDefault="008C5A31">
            <w:pPr>
              <w:spacing w:line="360" w:lineRule="auto"/>
              <w:jc w:val="center"/>
            </w:pPr>
            <w:r>
              <w:rPr>
                <w:rFonts w:ascii="宋体" w:hAnsi="宋体" w:hint="eastAsia"/>
              </w:rPr>
              <w:t xml:space="preserve">②－④ </w:t>
            </w:r>
          </w:p>
        </w:tc>
      </w:tr>
      <w:tr w:rsidR="00496D67" w14:paraId="37EA9140" w14:textId="77777777">
        <w:trPr>
          <w:divId w:val="306516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BB5E9A2" w14:textId="77777777" w:rsidR="008C5A31" w:rsidRDefault="008C5A31">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D0A70C" w14:textId="77777777" w:rsidR="008C5A31" w:rsidRDefault="008C5A31">
            <w:pPr>
              <w:spacing w:line="360" w:lineRule="auto"/>
              <w:jc w:val="right"/>
            </w:pPr>
            <w:r>
              <w:rPr>
                <w:rFonts w:ascii="宋体" w:hAnsi="宋体" w:hint="eastAsia"/>
              </w:rPr>
              <w:t>-1.60%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A53DDE" w14:textId="77777777" w:rsidR="008C5A31" w:rsidRDefault="008C5A31">
            <w:pPr>
              <w:spacing w:line="360" w:lineRule="auto"/>
              <w:jc w:val="right"/>
            </w:pPr>
            <w:r>
              <w:rPr>
                <w:rFonts w:ascii="宋体" w:hAnsi="宋体" w:hint="eastAsia"/>
              </w:rPr>
              <w:t>1.68%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434490" w14:textId="77777777" w:rsidR="008C5A31" w:rsidRDefault="008C5A31">
            <w:pPr>
              <w:spacing w:line="360" w:lineRule="auto"/>
              <w:jc w:val="right"/>
            </w:pPr>
            <w:r>
              <w:rPr>
                <w:rFonts w:ascii="宋体" w:hAnsi="宋体" w:hint="eastAsia"/>
              </w:rPr>
              <w:t xml:space="preserve">-1.44%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AA3D20" w14:textId="77777777" w:rsidR="008C5A31" w:rsidRDefault="008C5A31">
            <w:pPr>
              <w:spacing w:line="360" w:lineRule="auto"/>
              <w:jc w:val="right"/>
            </w:pPr>
            <w:r>
              <w:rPr>
                <w:rFonts w:ascii="宋体" w:hAnsi="宋体" w:hint="eastAsia"/>
              </w:rPr>
              <w:t>1.68%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F7D55B" w14:textId="77777777" w:rsidR="008C5A31" w:rsidRDefault="008C5A31">
            <w:pPr>
              <w:spacing w:line="360" w:lineRule="auto"/>
              <w:jc w:val="right"/>
            </w:pPr>
            <w:r>
              <w:rPr>
                <w:rFonts w:ascii="宋体" w:hAnsi="宋体" w:hint="eastAsia"/>
              </w:rPr>
              <w:t>-0.16%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C0F101" w14:textId="77777777" w:rsidR="008C5A31" w:rsidRDefault="008C5A31">
            <w:pPr>
              <w:spacing w:line="360" w:lineRule="auto"/>
              <w:jc w:val="right"/>
            </w:pPr>
            <w:r>
              <w:rPr>
                <w:rFonts w:ascii="宋体" w:hAnsi="宋体" w:hint="eastAsia"/>
              </w:rPr>
              <w:t>0.00%</w:t>
            </w:r>
          </w:p>
        </w:tc>
      </w:tr>
      <w:tr w:rsidR="00496D67" w14:paraId="065DEB5D" w14:textId="77777777">
        <w:trPr>
          <w:divId w:val="306516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CD30E94" w14:textId="77777777" w:rsidR="008C5A31" w:rsidRDefault="008C5A31">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E324CD" w14:textId="77777777" w:rsidR="008C5A31" w:rsidRDefault="008C5A31">
            <w:pPr>
              <w:spacing w:line="360" w:lineRule="auto"/>
              <w:jc w:val="right"/>
            </w:pPr>
            <w:r>
              <w:rPr>
                <w:rFonts w:ascii="宋体" w:hAnsi="宋体" w:hint="eastAsia"/>
              </w:rPr>
              <w:t>-15.34%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078891" w14:textId="77777777" w:rsidR="008C5A31" w:rsidRDefault="008C5A31">
            <w:pPr>
              <w:spacing w:line="360" w:lineRule="auto"/>
              <w:jc w:val="right"/>
            </w:pPr>
            <w:r>
              <w:rPr>
                <w:rFonts w:ascii="宋体" w:hAnsi="宋体" w:hint="eastAsia"/>
              </w:rPr>
              <w:t>1.49%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0EF014" w14:textId="77777777" w:rsidR="008C5A31" w:rsidRDefault="008C5A31">
            <w:pPr>
              <w:spacing w:line="360" w:lineRule="auto"/>
              <w:jc w:val="right"/>
            </w:pPr>
            <w:r>
              <w:rPr>
                <w:rFonts w:ascii="宋体" w:hAnsi="宋体" w:hint="eastAsia"/>
              </w:rPr>
              <w:t xml:space="preserve">-15.23%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1CFB18" w14:textId="77777777" w:rsidR="008C5A31" w:rsidRDefault="008C5A31">
            <w:pPr>
              <w:spacing w:line="360" w:lineRule="auto"/>
              <w:jc w:val="right"/>
            </w:pPr>
            <w:r>
              <w:rPr>
                <w:rFonts w:ascii="宋体" w:hAnsi="宋体" w:hint="eastAsia"/>
              </w:rPr>
              <w:t>1.50%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D99AA9" w14:textId="77777777" w:rsidR="008C5A31" w:rsidRDefault="008C5A31">
            <w:pPr>
              <w:spacing w:line="360" w:lineRule="auto"/>
              <w:jc w:val="right"/>
            </w:pPr>
            <w:r>
              <w:rPr>
                <w:rFonts w:ascii="宋体" w:hAnsi="宋体" w:hint="eastAsia"/>
              </w:rPr>
              <w:t>-0.11%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50F4886" w14:textId="77777777" w:rsidR="008C5A31" w:rsidRDefault="008C5A31">
            <w:pPr>
              <w:spacing w:line="360" w:lineRule="auto"/>
              <w:jc w:val="right"/>
            </w:pPr>
            <w:r>
              <w:rPr>
                <w:rFonts w:ascii="宋体" w:hAnsi="宋体" w:hint="eastAsia"/>
              </w:rPr>
              <w:t>-0.01%</w:t>
            </w:r>
          </w:p>
        </w:tc>
      </w:tr>
      <w:tr w:rsidR="00496D67" w14:paraId="706F1A84" w14:textId="77777777">
        <w:trPr>
          <w:divId w:val="306516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C1B087B" w14:textId="77777777" w:rsidR="008C5A31" w:rsidRDefault="008C5A31">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212B48" w14:textId="77777777" w:rsidR="008C5A31" w:rsidRDefault="008C5A31">
            <w:pPr>
              <w:spacing w:line="360" w:lineRule="auto"/>
              <w:jc w:val="right"/>
            </w:pPr>
            <w:r>
              <w:rPr>
                <w:rFonts w:ascii="宋体" w:hAnsi="宋体" w:hint="eastAsia"/>
              </w:rPr>
              <w:t>11.34%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861F67" w14:textId="77777777" w:rsidR="008C5A31" w:rsidRDefault="008C5A31">
            <w:pPr>
              <w:spacing w:line="360" w:lineRule="auto"/>
              <w:jc w:val="right"/>
            </w:pPr>
            <w:r>
              <w:rPr>
                <w:rFonts w:ascii="宋体" w:hAnsi="宋体" w:hint="eastAsia"/>
              </w:rPr>
              <w:t>1.61%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6F9FBD" w14:textId="77777777" w:rsidR="008C5A31" w:rsidRDefault="008C5A31">
            <w:pPr>
              <w:spacing w:line="360" w:lineRule="auto"/>
              <w:jc w:val="right"/>
            </w:pPr>
            <w:r>
              <w:rPr>
                <w:rFonts w:ascii="宋体" w:hAnsi="宋体" w:hint="eastAsia"/>
              </w:rPr>
              <w:t xml:space="preserve">10.72%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4FF007" w14:textId="77777777" w:rsidR="008C5A31" w:rsidRDefault="008C5A31">
            <w:pPr>
              <w:spacing w:line="360" w:lineRule="auto"/>
              <w:jc w:val="right"/>
            </w:pPr>
            <w:r>
              <w:rPr>
                <w:rFonts w:ascii="宋体" w:hAnsi="宋体" w:hint="eastAsia"/>
              </w:rPr>
              <w:t>1.61%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B7F243" w14:textId="77777777" w:rsidR="008C5A31" w:rsidRDefault="008C5A31">
            <w:pPr>
              <w:spacing w:line="360" w:lineRule="auto"/>
              <w:jc w:val="right"/>
            </w:pPr>
            <w:r>
              <w:rPr>
                <w:rFonts w:ascii="宋体" w:hAnsi="宋体" w:hint="eastAsia"/>
              </w:rPr>
              <w:t>0.62%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D5FD9D" w14:textId="77777777" w:rsidR="008C5A31" w:rsidRDefault="008C5A31">
            <w:pPr>
              <w:spacing w:line="360" w:lineRule="auto"/>
              <w:jc w:val="right"/>
            </w:pPr>
            <w:r>
              <w:rPr>
                <w:rFonts w:ascii="宋体" w:hAnsi="宋体" w:hint="eastAsia"/>
              </w:rPr>
              <w:t>0.00%</w:t>
            </w:r>
          </w:p>
        </w:tc>
      </w:tr>
      <w:tr w:rsidR="00496D67" w14:paraId="7275AD49" w14:textId="77777777">
        <w:trPr>
          <w:divId w:val="306516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15939C7" w14:textId="77777777" w:rsidR="008C5A31" w:rsidRDefault="008C5A31">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0A8301" w14:textId="77777777" w:rsidR="008C5A31" w:rsidRDefault="008C5A31">
            <w:pPr>
              <w:spacing w:line="360" w:lineRule="auto"/>
              <w:jc w:val="right"/>
            </w:pPr>
            <w:r>
              <w:rPr>
                <w:rFonts w:ascii="宋体" w:hAnsi="宋体" w:hint="eastAsia"/>
              </w:rPr>
              <w:t>-10.38%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506CA5" w14:textId="77777777" w:rsidR="008C5A31" w:rsidRDefault="008C5A31">
            <w:pPr>
              <w:spacing w:line="360" w:lineRule="auto"/>
              <w:jc w:val="right"/>
            </w:pPr>
            <w:r>
              <w:rPr>
                <w:rFonts w:ascii="宋体" w:hAnsi="宋体" w:hint="eastAsia"/>
              </w:rPr>
              <w:t>1.69%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64C105" w14:textId="77777777" w:rsidR="008C5A31" w:rsidRDefault="008C5A31">
            <w:pPr>
              <w:spacing w:line="360" w:lineRule="auto"/>
              <w:jc w:val="right"/>
            </w:pPr>
            <w:r>
              <w:rPr>
                <w:rFonts w:ascii="宋体" w:hAnsi="宋体" w:hint="eastAsia"/>
              </w:rPr>
              <w:t xml:space="preserve">-11.91%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4DB6CD" w14:textId="77777777" w:rsidR="008C5A31" w:rsidRDefault="008C5A31">
            <w:pPr>
              <w:spacing w:line="360" w:lineRule="auto"/>
              <w:jc w:val="right"/>
            </w:pPr>
            <w:r>
              <w:rPr>
                <w:rFonts w:ascii="宋体" w:hAnsi="宋体" w:hint="eastAsia"/>
              </w:rPr>
              <w:t>1.69%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6ADC72" w14:textId="77777777" w:rsidR="008C5A31" w:rsidRDefault="008C5A31">
            <w:pPr>
              <w:spacing w:line="360" w:lineRule="auto"/>
              <w:jc w:val="right"/>
            </w:pPr>
            <w:r>
              <w:rPr>
                <w:rFonts w:ascii="宋体" w:hAnsi="宋体" w:hint="eastAsia"/>
              </w:rPr>
              <w:t>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97D291" w14:textId="77777777" w:rsidR="008C5A31" w:rsidRDefault="008C5A31">
            <w:pPr>
              <w:spacing w:line="360" w:lineRule="auto"/>
              <w:jc w:val="right"/>
            </w:pPr>
            <w:r>
              <w:rPr>
                <w:rFonts w:ascii="宋体" w:hAnsi="宋体" w:hint="eastAsia"/>
              </w:rPr>
              <w:t>0.00%</w:t>
            </w:r>
          </w:p>
        </w:tc>
      </w:tr>
      <w:tr w:rsidR="00496D67" w14:paraId="2A7A146C" w14:textId="77777777">
        <w:trPr>
          <w:divId w:val="306516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785B498" w14:textId="77777777" w:rsidR="008C5A31" w:rsidRDefault="008C5A31">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6DF46C" w14:textId="77777777" w:rsidR="008C5A31" w:rsidRDefault="008C5A31">
            <w:pPr>
              <w:spacing w:line="360" w:lineRule="auto"/>
              <w:jc w:val="right"/>
            </w:pPr>
            <w:r>
              <w:rPr>
                <w:rFonts w:ascii="宋体" w:hAnsi="宋体" w:hint="eastAsia"/>
              </w:rPr>
              <w:t>-11.52%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46BED5" w14:textId="77777777" w:rsidR="008C5A31" w:rsidRDefault="008C5A31">
            <w:pPr>
              <w:spacing w:line="360" w:lineRule="auto"/>
              <w:jc w:val="right"/>
            </w:pPr>
            <w:r>
              <w:rPr>
                <w:rFonts w:ascii="宋体" w:hAnsi="宋体" w:hint="eastAsia"/>
              </w:rPr>
              <w:t>1.68%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13C4EC" w14:textId="77777777" w:rsidR="008C5A31" w:rsidRDefault="008C5A31">
            <w:pPr>
              <w:spacing w:line="360" w:lineRule="auto"/>
              <w:jc w:val="right"/>
            </w:pPr>
            <w:r>
              <w:rPr>
                <w:rFonts w:ascii="宋体" w:hAnsi="宋体" w:hint="eastAsia"/>
              </w:rPr>
              <w:t xml:space="preserve">-14.07%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A767FE1" w14:textId="77777777" w:rsidR="008C5A31" w:rsidRDefault="008C5A31">
            <w:pPr>
              <w:spacing w:line="360" w:lineRule="auto"/>
              <w:jc w:val="right"/>
            </w:pPr>
            <w:r>
              <w:rPr>
                <w:rFonts w:ascii="宋体" w:hAnsi="宋体" w:hint="eastAsia"/>
              </w:rPr>
              <w:t>1.71%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F14B508" w14:textId="77777777" w:rsidR="008C5A31" w:rsidRDefault="008C5A31">
            <w:pPr>
              <w:spacing w:line="360" w:lineRule="auto"/>
              <w:jc w:val="right"/>
            </w:pPr>
            <w:r>
              <w:rPr>
                <w:rFonts w:ascii="宋体" w:hAnsi="宋体" w:hint="eastAsia"/>
              </w:rPr>
              <w:t>2.55%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71A2AA" w14:textId="77777777" w:rsidR="008C5A31" w:rsidRDefault="008C5A31">
            <w:pPr>
              <w:spacing w:line="360" w:lineRule="auto"/>
              <w:jc w:val="right"/>
            </w:pPr>
            <w:r>
              <w:rPr>
                <w:rFonts w:ascii="宋体" w:hAnsi="宋体" w:hint="eastAsia"/>
              </w:rPr>
              <w:t>-0.03%</w:t>
            </w:r>
          </w:p>
        </w:tc>
      </w:tr>
    </w:tbl>
    <w:p w14:paraId="286E43B6" w14:textId="77777777" w:rsidR="008C5A31" w:rsidRDefault="008C5A31">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292853BE" w14:textId="28B7CE16" w:rsidR="008C5A31" w:rsidRDefault="00700D48">
      <w:pPr>
        <w:spacing w:line="360" w:lineRule="auto"/>
        <w:jc w:val="left"/>
        <w:divId w:val="8065328"/>
      </w:pPr>
      <w:bookmarkStart w:id="51" w:name="m07_04_07_09_tab"/>
      <w:bookmarkStart w:id="52" w:name="m07_04_07_09"/>
      <w:bookmarkStart w:id="53" w:name="m01_01"/>
      <w:r>
        <w:rPr>
          <w:rFonts w:ascii="宋体" w:hAnsi="宋体" w:hint="eastAsia"/>
          <w:noProof/>
        </w:rPr>
        <w:drawing>
          <wp:inline distT="0" distB="0" distL="0" distR="0" wp14:anchorId="2E69E1C2" wp14:editId="2F06990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B216376" w14:textId="77777777" w:rsidR="008C5A31" w:rsidRDefault="008C5A31">
      <w:pPr>
        <w:spacing w:line="360" w:lineRule="auto"/>
        <w:divId w:val="8065328"/>
      </w:pPr>
      <w:r>
        <w:rPr>
          <w:rFonts w:ascii="宋体" w:hAnsi="宋体" w:hint="eastAsia"/>
        </w:rPr>
        <w:t>注：</w:t>
      </w:r>
      <w:r>
        <w:rPr>
          <w:rFonts w:ascii="宋体" w:hAnsi="宋体" w:hint="eastAsia"/>
          <w:lang w:eastAsia="zh-Hans"/>
        </w:rPr>
        <w:t>本基金合同生效日为2022年5月19日，图示的时间段为合同生效日至本报告期末。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w:t>
      </w:r>
      <w:r>
        <w:rPr>
          <w:rFonts w:ascii="宋体" w:hAnsi="宋体" w:hint="eastAsia"/>
          <w:lang w:eastAsia="zh-Hans"/>
        </w:rPr>
        <w:lastRenderedPageBreak/>
        <w:t>合同规定。</w:t>
      </w:r>
      <w:r>
        <w:rPr>
          <w:rFonts w:ascii="宋体" w:hAnsi="宋体" w:hint="eastAsia"/>
          <w:kern w:val="0"/>
          <w:lang w:eastAsia="zh-Hans"/>
        </w:rPr>
        <w:t xml:space="preserve"> </w:t>
      </w:r>
      <w:bookmarkEnd w:id="51"/>
      <w:bookmarkEnd w:id="52"/>
      <w:bookmarkEnd w:id="53"/>
    </w:p>
    <w:p w14:paraId="1AF16BA1" w14:textId="77777777" w:rsidR="008C5A31" w:rsidRDefault="008C5A31">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3ABAB716" w14:textId="77777777" w:rsidR="008C5A31" w:rsidRDefault="008C5A31">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96D67" w14:paraId="593F7ADC" w14:textId="77777777">
        <w:trPr>
          <w:divId w:val="77702225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E984B" w14:textId="77777777" w:rsidR="008C5A31" w:rsidRDefault="008C5A31">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52BCB" w14:textId="77777777" w:rsidR="008C5A31" w:rsidRDefault="008C5A3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DED94" w14:textId="77777777" w:rsidR="008C5A31" w:rsidRDefault="008C5A31">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010A6" w14:textId="77777777" w:rsidR="008C5A31" w:rsidRDefault="008C5A3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7B6787" w14:textId="77777777" w:rsidR="008C5A31" w:rsidRDefault="008C5A3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96D67" w14:paraId="4FC6B5B4" w14:textId="77777777">
        <w:trPr>
          <w:divId w:val="77702225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93B6F" w14:textId="77777777" w:rsidR="008C5A31" w:rsidRDefault="008C5A3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A18A5" w14:textId="77777777" w:rsidR="008C5A31" w:rsidRDefault="008C5A3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04D94" w14:textId="77777777" w:rsidR="008C5A31" w:rsidRDefault="008C5A3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D0639" w14:textId="77777777" w:rsidR="008C5A31" w:rsidRDefault="008C5A3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4A248" w14:textId="77777777" w:rsidR="008C5A31" w:rsidRDefault="008C5A3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27B72" w14:textId="77777777" w:rsidR="008C5A31" w:rsidRDefault="008C5A31">
            <w:pPr>
              <w:widowControl/>
              <w:jc w:val="left"/>
            </w:pPr>
          </w:p>
        </w:tc>
      </w:tr>
      <w:tr w:rsidR="00496D67" w14:paraId="7FBBA4AA" w14:textId="77777777">
        <w:trPr>
          <w:divId w:val="77702225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5ACCF" w14:textId="77777777" w:rsidR="008C5A31" w:rsidRDefault="008C5A31">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342B0" w14:textId="77777777" w:rsidR="008C5A31" w:rsidRDefault="008C5A31">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22A57" w14:textId="77777777" w:rsidR="008C5A31" w:rsidRDefault="008C5A31">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EFB43" w14:textId="77777777" w:rsidR="008C5A31" w:rsidRDefault="008C5A3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A00E6" w14:textId="77777777" w:rsidR="008C5A31" w:rsidRDefault="008C5A31">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13CF0" w14:textId="77777777" w:rsidR="008C5A31" w:rsidRDefault="008C5A31">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bl>
    <w:p w14:paraId="5CA91A06" w14:textId="77777777" w:rsidR="008C5A31" w:rsidRDefault="008C5A31">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E583337" w14:textId="77777777" w:rsidR="008C5A31" w:rsidRDefault="008C5A31">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78B1B96A" w14:textId="77777777" w:rsidR="008C5A31" w:rsidRDefault="008C5A31">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523220D" w14:textId="77777777" w:rsidR="008C5A31" w:rsidRDefault="008C5A31">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3FDE2104" w14:textId="77777777" w:rsidR="008C5A31" w:rsidRDefault="008C5A31">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47A57D8E" w14:textId="77777777" w:rsidR="008C5A31" w:rsidRDefault="008C5A3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2CE8807" w14:textId="77777777" w:rsidR="008C5A31" w:rsidRDefault="008C5A31">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38454D69" w14:textId="77777777" w:rsidR="008C5A31" w:rsidRDefault="008C5A3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5B778F4" w14:textId="77777777" w:rsidR="008C5A31" w:rsidRDefault="008C5A31">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7AA8113D" w14:textId="77777777" w:rsidR="008C5A31" w:rsidRDefault="008C5A31">
      <w:pPr>
        <w:spacing w:line="360" w:lineRule="auto"/>
        <w:ind w:firstLineChars="200" w:firstLine="420"/>
        <w:jc w:val="left"/>
      </w:pPr>
      <w:r>
        <w:rPr>
          <w:rFonts w:ascii="宋体" w:hAnsi="宋体" w:cs="宋体" w:hint="eastAsia"/>
          <w:color w:val="000000"/>
          <w:kern w:val="0"/>
        </w:rPr>
        <w:t>中</w:t>
      </w:r>
      <w:proofErr w:type="gramStart"/>
      <w:r>
        <w:rPr>
          <w:rFonts w:ascii="宋体" w:hAnsi="宋体" w:cs="宋体" w:hint="eastAsia"/>
          <w:color w:val="000000"/>
          <w:kern w:val="0"/>
        </w:rPr>
        <w:t>证创新药指数</w:t>
      </w:r>
      <w:proofErr w:type="gramEnd"/>
      <w:r>
        <w:rPr>
          <w:rFonts w:ascii="宋体" w:hAnsi="宋体" w:cs="宋体" w:hint="eastAsia"/>
          <w:color w:val="000000"/>
          <w:kern w:val="0"/>
        </w:rPr>
        <w:t>自2025年9月起连续下挫，主要消化前期的大幅涨幅。自2026年3月末业绩密集披露期起，板块情绪明显修复，CXO产业链景气度兑现，中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指数连续上涨，2026年一季度收益-1.44%。目前PE-TTM约43倍，处于过去10年51%分位数的合理区间。</w:t>
      </w:r>
      <w:r>
        <w:rPr>
          <w:rFonts w:ascii="宋体" w:hAnsi="宋体" w:cs="宋体" w:hint="eastAsia"/>
          <w:color w:val="000000"/>
          <w:kern w:val="0"/>
        </w:rPr>
        <w:br/>
        <w:t xml:space="preserve">　　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指数成分股覆盖了创新药研发、CRO/CDMO、医疗器械等产业</w:t>
      </w:r>
      <w:proofErr w:type="gramStart"/>
      <w:r>
        <w:rPr>
          <w:rFonts w:ascii="宋体" w:hAnsi="宋体" w:cs="宋体" w:hint="eastAsia"/>
          <w:color w:val="000000"/>
          <w:kern w:val="0"/>
        </w:rPr>
        <w:t>链核心</w:t>
      </w:r>
      <w:proofErr w:type="gramEnd"/>
      <w:r>
        <w:rPr>
          <w:rFonts w:ascii="宋体" w:hAnsi="宋体" w:cs="宋体" w:hint="eastAsia"/>
          <w:color w:val="000000"/>
          <w:kern w:val="0"/>
        </w:rPr>
        <w:t>环节以及多个龙头企业。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展望未来，2026年一季度BD出海交易额快速增长;</w:t>
      </w:r>
      <w:proofErr w:type="gramStart"/>
      <w:r>
        <w:rPr>
          <w:rFonts w:ascii="宋体" w:hAnsi="宋体" w:cs="宋体" w:hint="eastAsia"/>
          <w:color w:val="000000"/>
          <w:kern w:val="0"/>
        </w:rPr>
        <w:t>多家药企25年</w:t>
      </w:r>
      <w:proofErr w:type="gramEnd"/>
      <w:r>
        <w:rPr>
          <w:rFonts w:ascii="宋体" w:hAnsi="宋体" w:cs="宋体" w:hint="eastAsia"/>
          <w:color w:val="000000"/>
          <w:kern w:val="0"/>
        </w:rPr>
        <w:t>年报显示扭亏为盈，创新药收入快速增长，目前板块处于业绩兑现、估值修复、政策支持的窗口期。在资金高低切换的背景下，创新</w:t>
      </w:r>
      <w:proofErr w:type="gramStart"/>
      <w:r>
        <w:rPr>
          <w:rFonts w:ascii="宋体" w:hAnsi="宋体" w:cs="宋体" w:hint="eastAsia"/>
          <w:color w:val="000000"/>
          <w:kern w:val="0"/>
        </w:rPr>
        <w:t>药板块</w:t>
      </w:r>
      <w:proofErr w:type="gramEnd"/>
      <w:r>
        <w:rPr>
          <w:rFonts w:ascii="宋体" w:hAnsi="宋体" w:cs="宋体" w:hint="eastAsia"/>
          <w:color w:val="000000"/>
          <w:kern w:val="0"/>
        </w:rPr>
        <w:t>有望成为资金再平衡的重点配置方向。</w:t>
      </w:r>
    </w:p>
    <w:p w14:paraId="1CAA40E1" w14:textId="77777777" w:rsidR="008C5A31" w:rsidRDefault="008C5A31">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4A87CAFC" w14:textId="77777777" w:rsidR="008C5A31" w:rsidRDefault="008C5A31">
      <w:pPr>
        <w:spacing w:line="360" w:lineRule="auto"/>
        <w:ind w:firstLineChars="200" w:firstLine="420"/>
        <w:divId w:val="1659073659"/>
      </w:pPr>
      <w:r>
        <w:rPr>
          <w:rFonts w:ascii="宋体" w:hAnsi="宋体" w:hint="eastAsia"/>
        </w:rPr>
        <w:t>本报告期摩根中</w:t>
      </w:r>
      <w:proofErr w:type="gramStart"/>
      <w:r>
        <w:rPr>
          <w:rFonts w:ascii="宋体" w:hAnsi="宋体" w:hint="eastAsia"/>
        </w:rPr>
        <w:t>证创新药产业</w:t>
      </w:r>
      <w:proofErr w:type="gramEnd"/>
      <w:r>
        <w:rPr>
          <w:rFonts w:ascii="宋体" w:hAnsi="宋体" w:hint="eastAsia"/>
        </w:rPr>
        <w:t>ETF份额净值增长率为:-1.60%，同期业绩比较基准收益率为:-1.44%。</w:t>
      </w:r>
    </w:p>
    <w:p w14:paraId="5682F7D1" w14:textId="77777777" w:rsidR="008C5A31" w:rsidRDefault="008C5A31">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7969F7B2" w14:textId="77777777" w:rsidR="008C5A31" w:rsidRDefault="008C5A31">
      <w:pPr>
        <w:spacing w:line="360" w:lineRule="auto"/>
        <w:ind w:firstLineChars="200" w:firstLine="420"/>
        <w:jc w:val="left"/>
      </w:pPr>
      <w:r>
        <w:rPr>
          <w:rFonts w:ascii="宋体" w:hAnsi="宋体" w:hint="eastAsia"/>
        </w:rPr>
        <w:t>无。</w:t>
      </w:r>
    </w:p>
    <w:p w14:paraId="715061A5" w14:textId="77777777" w:rsidR="008C5A31" w:rsidRDefault="008C5A31">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33BEEC0E" w14:textId="77777777" w:rsidR="008C5A31" w:rsidRDefault="008C5A31">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96D67" w14:paraId="0E4E177A"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72AB54" w14:textId="77777777" w:rsidR="008C5A31" w:rsidRDefault="008C5A31">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02391FA" w14:textId="77777777" w:rsidR="008C5A31" w:rsidRDefault="008C5A3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FA40333" w14:textId="77777777" w:rsidR="008C5A31" w:rsidRDefault="008C5A3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21BC47F" w14:textId="77777777" w:rsidR="008C5A31" w:rsidRDefault="008C5A3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96D67" w14:paraId="05B31F95"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E766E7" w14:textId="77777777" w:rsidR="008C5A31" w:rsidRDefault="008C5A31">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1C63A5FB" w14:textId="77777777" w:rsidR="008C5A31" w:rsidRDefault="008C5A3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E33D8A" w14:textId="77777777" w:rsidR="008C5A31" w:rsidRDefault="008C5A31">
            <w:pPr>
              <w:jc w:val="right"/>
            </w:pPr>
            <w:r>
              <w:rPr>
                <w:rFonts w:ascii="宋体" w:hAnsi="宋体" w:hint="eastAsia"/>
                <w:szCs w:val="24"/>
                <w:lang w:eastAsia="zh-Hans"/>
              </w:rPr>
              <w:t>144,876,063.58</w:t>
            </w:r>
          </w:p>
        </w:tc>
        <w:tc>
          <w:tcPr>
            <w:tcW w:w="1333" w:type="pct"/>
            <w:tcBorders>
              <w:top w:val="single" w:sz="4" w:space="0" w:color="auto"/>
              <w:left w:val="nil"/>
              <w:bottom w:val="single" w:sz="4" w:space="0" w:color="auto"/>
              <w:right w:val="single" w:sz="4" w:space="0" w:color="auto"/>
            </w:tcBorders>
            <w:vAlign w:val="center"/>
            <w:hideMark/>
          </w:tcPr>
          <w:p w14:paraId="69BCA92D" w14:textId="77777777" w:rsidR="008C5A31" w:rsidRDefault="008C5A31">
            <w:pPr>
              <w:jc w:val="right"/>
            </w:pPr>
            <w:r>
              <w:rPr>
                <w:rFonts w:ascii="宋体" w:hAnsi="宋体" w:hint="eastAsia"/>
                <w:szCs w:val="24"/>
                <w:lang w:eastAsia="zh-Hans"/>
              </w:rPr>
              <w:t>99.43</w:t>
            </w:r>
          </w:p>
        </w:tc>
      </w:tr>
      <w:tr w:rsidR="00496D67" w14:paraId="2BF99080"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CF50C0" w14:textId="77777777" w:rsidR="008C5A31" w:rsidRDefault="008C5A3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59A361" w14:textId="77777777" w:rsidR="008C5A31" w:rsidRDefault="008C5A3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DD7A9C" w14:textId="77777777" w:rsidR="008C5A31" w:rsidRDefault="008C5A31">
            <w:pPr>
              <w:jc w:val="right"/>
            </w:pPr>
            <w:r>
              <w:rPr>
                <w:rFonts w:ascii="宋体" w:hAnsi="宋体" w:hint="eastAsia"/>
                <w:szCs w:val="24"/>
                <w:lang w:eastAsia="zh-Hans"/>
              </w:rPr>
              <w:t>144,876,063.58</w:t>
            </w:r>
          </w:p>
        </w:tc>
        <w:tc>
          <w:tcPr>
            <w:tcW w:w="1333" w:type="pct"/>
            <w:tcBorders>
              <w:top w:val="single" w:sz="4" w:space="0" w:color="auto"/>
              <w:left w:val="nil"/>
              <w:bottom w:val="single" w:sz="4" w:space="0" w:color="auto"/>
              <w:right w:val="single" w:sz="4" w:space="0" w:color="auto"/>
            </w:tcBorders>
            <w:vAlign w:val="center"/>
            <w:hideMark/>
          </w:tcPr>
          <w:p w14:paraId="6BB57941" w14:textId="77777777" w:rsidR="008C5A31" w:rsidRDefault="008C5A31">
            <w:pPr>
              <w:jc w:val="right"/>
            </w:pPr>
            <w:r>
              <w:rPr>
                <w:rFonts w:ascii="宋体" w:hAnsi="宋体" w:hint="eastAsia"/>
                <w:szCs w:val="24"/>
                <w:lang w:eastAsia="zh-Hans"/>
              </w:rPr>
              <w:t>99.43</w:t>
            </w:r>
          </w:p>
        </w:tc>
      </w:tr>
      <w:tr w:rsidR="00496D67" w14:paraId="0D9600A9"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2948E8" w14:textId="77777777" w:rsidR="008C5A31" w:rsidRDefault="008C5A3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ADEADEB" w14:textId="77777777" w:rsidR="008C5A31" w:rsidRDefault="008C5A3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C2EEB4" w14:textId="77777777" w:rsidR="008C5A31" w:rsidRDefault="008C5A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4C639C" w14:textId="77777777" w:rsidR="008C5A31" w:rsidRDefault="008C5A31">
            <w:pPr>
              <w:jc w:val="right"/>
            </w:pPr>
            <w:r>
              <w:rPr>
                <w:rFonts w:ascii="宋体" w:hAnsi="宋体" w:hint="eastAsia"/>
                <w:szCs w:val="24"/>
                <w:lang w:eastAsia="zh-Hans"/>
              </w:rPr>
              <w:t>-</w:t>
            </w:r>
          </w:p>
        </w:tc>
      </w:tr>
      <w:tr w:rsidR="00496D67" w14:paraId="375645A3"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A41495" w14:textId="77777777" w:rsidR="008C5A31" w:rsidRDefault="008C5A3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B68163" w14:textId="77777777" w:rsidR="008C5A31" w:rsidRDefault="008C5A3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8E762C" w14:textId="77777777" w:rsidR="008C5A31" w:rsidRDefault="008C5A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587391" w14:textId="77777777" w:rsidR="008C5A31" w:rsidRDefault="008C5A31">
            <w:pPr>
              <w:jc w:val="right"/>
            </w:pPr>
            <w:r>
              <w:rPr>
                <w:rFonts w:ascii="宋体" w:hAnsi="宋体" w:hint="eastAsia"/>
                <w:szCs w:val="24"/>
                <w:lang w:eastAsia="zh-Hans"/>
              </w:rPr>
              <w:t>-</w:t>
            </w:r>
          </w:p>
        </w:tc>
      </w:tr>
      <w:tr w:rsidR="00496D67" w14:paraId="26974D87"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BA4E64" w14:textId="77777777" w:rsidR="008C5A31" w:rsidRDefault="008C5A3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D5E1371" w14:textId="77777777" w:rsidR="008C5A31" w:rsidRDefault="008C5A3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1CA9F9" w14:textId="77777777" w:rsidR="008C5A31" w:rsidRDefault="008C5A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B179B8" w14:textId="77777777" w:rsidR="008C5A31" w:rsidRDefault="008C5A31">
            <w:pPr>
              <w:jc w:val="right"/>
            </w:pPr>
            <w:r>
              <w:rPr>
                <w:rFonts w:ascii="宋体" w:hAnsi="宋体" w:hint="eastAsia"/>
                <w:szCs w:val="24"/>
                <w:lang w:eastAsia="zh-Hans"/>
              </w:rPr>
              <w:t>-</w:t>
            </w:r>
          </w:p>
        </w:tc>
      </w:tr>
      <w:tr w:rsidR="00496D67" w14:paraId="03BB9A30"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860B0A" w14:textId="77777777" w:rsidR="008C5A31" w:rsidRDefault="008C5A3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2622DB0" w14:textId="77777777" w:rsidR="008C5A31" w:rsidRDefault="008C5A3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7F957A" w14:textId="77777777" w:rsidR="008C5A31" w:rsidRDefault="008C5A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962950" w14:textId="77777777" w:rsidR="008C5A31" w:rsidRDefault="008C5A31">
            <w:pPr>
              <w:jc w:val="right"/>
            </w:pPr>
            <w:r>
              <w:rPr>
                <w:rFonts w:ascii="宋体" w:hAnsi="宋体" w:hint="eastAsia"/>
                <w:szCs w:val="24"/>
                <w:lang w:eastAsia="zh-Hans"/>
              </w:rPr>
              <w:t>-</w:t>
            </w:r>
          </w:p>
        </w:tc>
      </w:tr>
      <w:tr w:rsidR="00496D67" w14:paraId="4A66F209"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16D8C9" w14:textId="77777777" w:rsidR="008C5A31" w:rsidRDefault="008C5A3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A877D72" w14:textId="77777777" w:rsidR="008C5A31" w:rsidRDefault="008C5A3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E463DD" w14:textId="77777777" w:rsidR="008C5A31" w:rsidRDefault="008C5A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D8133E" w14:textId="77777777" w:rsidR="008C5A31" w:rsidRDefault="008C5A31">
            <w:pPr>
              <w:jc w:val="right"/>
            </w:pPr>
            <w:r>
              <w:rPr>
                <w:rFonts w:ascii="宋体" w:hAnsi="宋体" w:hint="eastAsia"/>
                <w:szCs w:val="24"/>
                <w:lang w:eastAsia="zh-Hans"/>
              </w:rPr>
              <w:t>-</w:t>
            </w:r>
          </w:p>
        </w:tc>
      </w:tr>
      <w:tr w:rsidR="00496D67" w14:paraId="2A4B6FBA"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602C2B" w14:textId="77777777" w:rsidR="008C5A31" w:rsidRDefault="008C5A3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68B52DA" w14:textId="77777777" w:rsidR="008C5A31" w:rsidRDefault="008C5A31">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F637E2" w14:textId="77777777" w:rsidR="008C5A31" w:rsidRDefault="008C5A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CAA5E7" w14:textId="77777777" w:rsidR="008C5A31" w:rsidRDefault="008C5A31">
            <w:pPr>
              <w:jc w:val="right"/>
            </w:pPr>
            <w:r>
              <w:rPr>
                <w:rFonts w:ascii="宋体" w:hAnsi="宋体" w:hint="eastAsia"/>
                <w:szCs w:val="24"/>
                <w:lang w:eastAsia="zh-Hans"/>
              </w:rPr>
              <w:t>-</w:t>
            </w:r>
          </w:p>
        </w:tc>
      </w:tr>
      <w:tr w:rsidR="00496D67" w14:paraId="291CB6E8"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0A001F" w14:textId="77777777" w:rsidR="008C5A31" w:rsidRDefault="008C5A3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9B37F07" w14:textId="77777777" w:rsidR="008C5A31" w:rsidRDefault="008C5A3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1CFA3F" w14:textId="77777777" w:rsidR="008C5A31" w:rsidRDefault="008C5A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B92067" w14:textId="77777777" w:rsidR="008C5A31" w:rsidRDefault="008C5A31">
            <w:pPr>
              <w:jc w:val="right"/>
            </w:pPr>
            <w:r>
              <w:rPr>
                <w:rFonts w:ascii="宋体" w:hAnsi="宋体" w:hint="eastAsia"/>
                <w:szCs w:val="24"/>
                <w:lang w:eastAsia="zh-Hans"/>
              </w:rPr>
              <w:t>-</w:t>
            </w:r>
          </w:p>
        </w:tc>
      </w:tr>
      <w:tr w:rsidR="00496D67" w14:paraId="68D8BE0D"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A1B18E" w14:textId="77777777" w:rsidR="008C5A31" w:rsidRDefault="008C5A3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25752B" w14:textId="77777777" w:rsidR="008C5A31" w:rsidRDefault="008C5A3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0CD1A1" w14:textId="77777777" w:rsidR="008C5A31" w:rsidRDefault="008C5A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D2F39D" w14:textId="77777777" w:rsidR="008C5A31" w:rsidRDefault="008C5A31">
            <w:pPr>
              <w:jc w:val="right"/>
            </w:pPr>
            <w:r>
              <w:rPr>
                <w:rFonts w:ascii="宋体" w:hAnsi="宋体" w:hint="eastAsia"/>
                <w:szCs w:val="24"/>
                <w:lang w:eastAsia="zh-Hans"/>
              </w:rPr>
              <w:t>-</w:t>
            </w:r>
          </w:p>
        </w:tc>
      </w:tr>
      <w:tr w:rsidR="00496D67" w14:paraId="39B53BB0"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FFE7C4" w14:textId="77777777" w:rsidR="008C5A31" w:rsidRDefault="008C5A3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D6B2B63" w14:textId="77777777" w:rsidR="008C5A31" w:rsidRDefault="008C5A3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6C3EFE" w14:textId="77777777" w:rsidR="008C5A31" w:rsidRDefault="008C5A31">
            <w:pPr>
              <w:jc w:val="right"/>
            </w:pPr>
            <w:r>
              <w:rPr>
                <w:rFonts w:ascii="宋体" w:hAnsi="宋体" w:hint="eastAsia"/>
                <w:szCs w:val="24"/>
                <w:lang w:eastAsia="zh-Hans"/>
              </w:rPr>
              <w:t>764,364.80</w:t>
            </w:r>
          </w:p>
        </w:tc>
        <w:tc>
          <w:tcPr>
            <w:tcW w:w="1333" w:type="pct"/>
            <w:tcBorders>
              <w:top w:val="single" w:sz="4" w:space="0" w:color="auto"/>
              <w:left w:val="nil"/>
              <w:bottom w:val="single" w:sz="4" w:space="0" w:color="auto"/>
              <w:right w:val="single" w:sz="4" w:space="0" w:color="auto"/>
            </w:tcBorders>
            <w:vAlign w:val="center"/>
            <w:hideMark/>
          </w:tcPr>
          <w:p w14:paraId="7AB981CB" w14:textId="77777777" w:rsidR="008C5A31" w:rsidRDefault="008C5A31">
            <w:pPr>
              <w:jc w:val="right"/>
            </w:pPr>
            <w:r>
              <w:rPr>
                <w:rFonts w:ascii="宋体" w:hAnsi="宋体" w:hint="eastAsia"/>
                <w:szCs w:val="24"/>
                <w:lang w:eastAsia="zh-Hans"/>
              </w:rPr>
              <w:t>0.52</w:t>
            </w:r>
          </w:p>
        </w:tc>
      </w:tr>
      <w:tr w:rsidR="00496D67" w14:paraId="0F07320D"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BF9AFD" w14:textId="77777777" w:rsidR="008C5A31" w:rsidRDefault="008C5A3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9A9C3C2" w14:textId="77777777" w:rsidR="008C5A31" w:rsidRDefault="008C5A3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C7E064" w14:textId="77777777" w:rsidR="008C5A31" w:rsidRDefault="008C5A31">
            <w:pPr>
              <w:jc w:val="right"/>
            </w:pPr>
            <w:r>
              <w:rPr>
                <w:rFonts w:ascii="宋体" w:hAnsi="宋体" w:hint="eastAsia"/>
                <w:szCs w:val="24"/>
                <w:lang w:eastAsia="zh-Hans"/>
              </w:rPr>
              <w:t>72,061.99</w:t>
            </w:r>
          </w:p>
        </w:tc>
        <w:tc>
          <w:tcPr>
            <w:tcW w:w="1333" w:type="pct"/>
            <w:tcBorders>
              <w:top w:val="single" w:sz="4" w:space="0" w:color="auto"/>
              <w:left w:val="nil"/>
              <w:bottom w:val="single" w:sz="4" w:space="0" w:color="auto"/>
              <w:right w:val="single" w:sz="4" w:space="0" w:color="auto"/>
            </w:tcBorders>
            <w:vAlign w:val="center"/>
            <w:hideMark/>
          </w:tcPr>
          <w:p w14:paraId="7EF819EA" w14:textId="77777777" w:rsidR="008C5A31" w:rsidRDefault="008C5A31">
            <w:pPr>
              <w:jc w:val="right"/>
            </w:pPr>
            <w:r>
              <w:rPr>
                <w:rFonts w:ascii="宋体" w:hAnsi="宋体" w:hint="eastAsia"/>
                <w:szCs w:val="24"/>
                <w:lang w:eastAsia="zh-Hans"/>
              </w:rPr>
              <w:t>0.05</w:t>
            </w:r>
          </w:p>
        </w:tc>
      </w:tr>
      <w:tr w:rsidR="00496D67" w14:paraId="6B7C1F95" w14:textId="77777777">
        <w:trPr>
          <w:divId w:val="4259280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17E2EF" w14:textId="77777777" w:rsidR="008C5A31" w:rsidRDefault="008C5A3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969A5DF" w14:textId="77777777" w:rsidR="008C5A31" w:rsidRDefault="008C5A3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0D1495" w14:textId="77777777" w:rsidR="008C5A31" w:rsidRDefault="008C5A31">
            <w:pPr>
              <w:jc w:val="right"/>
            </w:pPr>
            <w:r>
              <w:rPr>
                <w:rFonts w:ascii="宋体" w:hAnsi="宋体" w:hint="eastAsia"/>
                <w:szCs w:val="24"/>
                <w:lang w:eastAsia="zh-Hans"/>
              </w:rPr>
              <w:t>145,712,490.37</w:t>
            </w:r>
          </w:p>
        </w:tc>
        <w:tc>
          <w:tcPr>
            <w:tcW w:w="1333" w:type="pct"/>
            <w:tcBorders>
              <w:top w:val="single" w:sz="4" w:space="0" w:color="auto"/>
              <w:left w:val="nil"/>
              <w:bottom w:val="single" w:sz="4" w:space="0" w:color="auto"/>
              <w:right w:val="single" w:sz="4" w:space="0" w:color="auto"/>
            </w:tcBorders>
            <w:vAlign w:val="center"/>
            <w:hideMark/>
          </w:tcPr>
          <w:p w14:paraId="51DB7749" w14:textId="77777777" w:rsidR="008C5A31" w:rsidRDefault="008C5A31">
            <w:pPr>
              <w:jc w:val="right"/>
            </w:pPr>
            <w:r>
              <w:rPr>
                <w:rFonts w:ascii="宋体" w:hAnsi="宋体" w:hint="eastAsia"/>
                <w:szCs w:val="24"/>
                <w:lang w:eastAsia="zh-Hans"/>
              </w:rPr>
              <w:t>100.00</w:t>
            </w:r>
          </w:p>
        </w:tc>
      </w:tr>
    </w:tbl>
    <w:p w14:paraId="13D47ED5" w14:textId="77777777" w:rsidR="008C5A31" w:rsidRDefault="008C5A31">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5A1273D7" w14:textId="77777777" w:rsidR="008C5A31" w:rsidRDefault="008C5A31">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496D67" w14:paraId="7A326D1C" w14:textId="77777777">
        <w:trPr>
          <w:divId w:val="1414011922"/>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0F2DD5E" w14:textId="77777777" w:rsidR="008C5A31" w:rsidRDefault="008C5A31">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02325F4" w14:textId="77777777" w:rsidR="008C5A31" w:rsidRDefault="008C5A31">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F73F46E" w14:textId="77777777" w:rsidR="008C5A31" w:rsidRDefault="008C5A31">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E75044A" w14:textId="77777777" w:rsidR="008C5A31" w:rsidRDefault="008C5A31">
            <w:pPr>
              <w:jc w:val="center"/>
            </w:pPr>
            <w:r>
              <w:rPr>
                <w:rFonts w:ascii="宋体" w:hAnsi="宋体" w:hint="eastAsia"/>
              </w:rPr>
              <w:t xml:space="preserve">占基金资产净值比例(%) </w:t>
            </w:r>
          </w:p>
        </w:tc>
      </w:tr>
      <w:tr w:rsidR="00496D67" w14:paraId="10583FF7"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90D064" w14:textId="77777777" w:rsidR="008C5A31" w:rsidRDefault="008C5A31">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978B07" w14:textId="77777777" w:rsidR="008C5A31" w:rsidRDefault="008C5A31">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BD91BE"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CE5CA" w14:textId="77777777" w:rsidR="008C5A31" w:rsidRDefault="008C5A31">
            <w:pPr>
              <w:jc w:val="right"/>
            </w:pPr>
            <w:r>
              <w:rPr>
                <w:rFonts w:ascii="宋体" w:hAnsi="宋体" w:hint="eastAsia"/>
              </w:rPr>
              <w:t>-</w:t>
            </w:r>
          </w:p>
        </w:tc>
      </w:tr>
      <w:tr w:rsidR="00496D67" w14:paraId="7B175F13"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AA872" w14:textId="77777777" w:rsidR="008C5A31" w:rsidRDefault="008C5A31">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3CDC5A" w14:textId="77777777" w:rsidR="008C5A31" w:rsidRDefault="008C5A31">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DE58B7"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FE2D29" w14:textId="77777777" w:rsidR="008C5A31" w:rsidRDefault="008C5A31">
            <w:pPr>
              <w:jc w:val="right"/>
            </w:pPr>
            <w:r>
              <w:rPr>
                <w:rFonts w:ascii="宋体" w:hAnsi="宋体" w:hint="eastAsia"/>
              </w:rPr>
              <w:t>-</w:t>
            </w:r>
          </w:p>
        </w:tc>
      </w:tr>
      <w:tr w:rsidR="00496D67" w14:paraId="0B53DAE3"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A74C4B" w14:textId="77777777" w:rsidR="008C5A31" w:rsidRDefault="008C5A31">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26C4C6" w14:textId="77777777" w:rsidR="008C5A31" w:rsidRDefault="008C5A31">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578624" w14:textId="77777777" w:rsidR="008C5A31" w:rsidRDefault="008C5A31">
            <w:pPr>
              <w:jc w:val="right"/>
            </w:pPr>
            <w:r>
              <w:rPr>
                <w:rFonts w:ascii="宋体" w:hAnsi="宋体" w:hint="eastAsia"/>
              </w:rPr>
              <w:t>113,071,620.58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C20559" w14:textId="77777777" w:rsidR="008C5A31" w:rsidRDefault="008C5A31">
            <w:pPr>
              <w:jc w:val="right"/>
            </w:pPr>
            <w:r>
              <w:rPr>
                <w:rFonts w:ascii="宋体" w:hAnsi="宋体" w:hint="eastAsia"/>
              </w:rPr>
              <w:t>77.93</w:t>
            </w:r>
          </w:p>
        </w:tc>
      </w:tr>
      <w:tr w:rsidR="00496D67" w14:paraId="30AAAEF2"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00E8BF" w14:textId="77777777" w:rsidR="008C5A31" w:rsidRDefault="008C5A31">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EDAD49" w14:textId="77777777" w:rsidR="008C5A31" w:rsidRDefault="008C5A31">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1DA62C"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7C9D47" w14:textId="77777777" w:rsidR="008C5A31" w:rsidRDefault="008C5A31">
            <w:pPr>
              <w:jc w:val="right"/>
            </w:pPr>
            <w:r>
              <w:rPr>
                <w:rFonts w:ascii="宋体" w:hAnsi="宋体" w:hint="eastAsia"/>
              </w:rPr>
              <w:t>-</w:t>
            </w:r>
          </w:p>
        </w:tc>
      </w:tr>
      <w:tr w:rsidR="00496D67" w14:paraId="77BF0429"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064106" w14:textId="77777777" w:rsidR="008C5A31" w:rsidRDefault="008C5A31">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F9451E" w14:textId="77777777" w:rsidR="008C5A31" w:rsidRDefault="008C5A31">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DD63BE"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4853AE" w14:textId="77777777" w:rsidR="008C5A31" w:rsidRDefault="008C5A31">
            <w:pPr>
              <w:jc w:val="right"/>
            </w:pPr>
            <w:r>
              <w:rPr>
                <w:rFonts w:ascii="宋体" w:hAnsi="宋体" w:hint="eastAsia"/>
              </w:rPr>
              <w:t>-</w:t>
            </w:r>
          </w:p>
        </w:tc>
      </w:tr>
      <w:tr w:rsidR="00496D67" w14:paraId="7A00B32B"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0FA3CF" w14:textId="77777777" w:rsidR="008C5A31" w:rsidRDefault="008C5A31">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0C3369" w14:textId="77777777" w:rsidR="008C5A31" w:rsidRDefault="008C5A31">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1D1CAF" w14:textId="77777777" w:rsidR="008C5A31" w:rsidRDefault="008C5A31">
            <w:pPr>
              <w:jc w:val="right"/>
            </w:pPr>
            <w:r>
              <w:rPr>
                <w:rFonts w:ascii="宋体" w:hAnsi="宋体" w:hint="eastAsia"/>
              </w:rPr>
              <w:t>4,538,620.00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E241BC" w14:textId="77777777" w:rsidR="008C5A31" w:rsidRDefault="008C5A31">
            <w:pPr>
              <w:jc w:val="right"/>
            </w:pPr>
            <w:r>
              <w:rPr>
                <w:rFonts w:ascii="宋体" w:hAnsi="宋体" w:hint="eastAsia"/>
              </w:rPr>
              <w:t>3.13</w:t>
            </w:r>
          </w:p>
        </w:tc>
      </w:tr>
      <w:tr w:rsidR="00496D67" w14:paraId="12069E63"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E66BB7" w14:textId="77777777" w:rsidR="008C5A31" w:rsidRDefault="008C5A31">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BEFEF5" w14:textId="77777777" w:rsidR="008C5A31" w:rsidRDefault="008C5A31">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47CEAE"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D09C3D" w14:textId="77777777" w:rsidR="008C5A31" w:rsidRDefault="008C5A31">
            <w:pPr>
              <w:jc w:val="right"/>
            </w:pPr>
            <w:r>
              <w:rPr>
                <w:rFonts w:ascii="宋体" w:hAnsi="宋体" w:hint="eastAsia"/>
              </w:rPr>
              <w:t>-</w:t>
            </w:r>
          </w:p>
        </w:tc>
      </w:tr>
      <w:tr w:rsidR="00496D67" w14:paraId="2877B461"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F707B8" w14:textId="77777777" w:rsidR="008C5A31" w:rsidRDefault="008C5A31">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EFE9D1" w14:textId="77777777" w:rsidR="008C5A31" w:rsidRDefault="008C5A31">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E9FE2D"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8B294" w14:textId="77777777" w:rsidR="008C5A31" w:rsidRDefault="008C5A31">
            <w:pPr>
              <w:jc w:val="right"/>
            </w:pPr>
            <w:r>
              <w:rPr>
                <w:rFonts w:ascii="宋体" w:hAnsi="宋体" w:hint="eastAsia"/>
              </w:rPr>
              <w:t>-</w:t>
            </w:r>
          </w:p>
        </w:tc>
      </w:tr>
      <w:tr w:rsidR="00496D67" w14:paraId="43BDC0E9"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4FB433" w14:textId="77777777" w:rsidR="008C5A31" w:rsidRDefault="008C5A31">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C0BC86" w14:textId="77777777" w:rsidR="008C5A31" w:rsidRDefault="008C5A31">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0D6321"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A0CBF8" w14:textId="77777777" w:rsidR="008C5A31" w:rsidRDefault="008C5A31">
            <w:pPr>
              <w:jc w:val="right"/>
            </w:pPr>
            <w:r>
              <w:rPr>
                <w:rFonts w:ascii="宋体" w:hAnsi="宋体" w:hint="eastAsia"/>
              </w:rPr>
              <w:t>-</w:t>
            </w:r>
          </w:p>
        </w:tc>
      </w:tr>
      <w:tr w:rsidR="00496D67" w14:paraId="79D9E1CA"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9E7FFC" w14:textId="77777777" w:rsidR="008C5A31" w:rsidRDefault="008C5A31">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A0E27B" w14:textId="77777777" w:rsidR="008C5A31" w:rsidRDefault="008C5A31">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1D4CCA"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17E5DB" w14:textId="77777777" w:rsidR="008C5A31" w:rsidRDefault="008C5A31">
            <w:pPr>
              <w:jc w:val="right"/>
            </w:pPr>
            <w:r>
              <w:rPr>
                <w:rFonts w:ascii="宋体" w:hAnsi="宋体" w:hint="eastAsia"/>
              </w:rPr>
              <w:t>-</w:t>
            </w:r>
          </w:p>
        </w:tc>
      </w:tr>
      <w:tr w:rsidR="00496D67" w14:paraId="4097591B"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B7FD6A" w14:textId="77777777" w:rsidR="008C5A31" w:rsidRDefault="008C5A31">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81AF3D" w14:textId="77777777" w:rsidR="008C5A31" w:rsidRDefault="008C5A31">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2C87EF"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67AE52" w14:textId="77777777" w:rsidR="008C5A31" w:rsidRDefault="008C5A31">
            <w:pPr>
              <w:jc w:val="right"/>
            </w:pPr>
            <w:r>
              <w:rPr>
                <w:rFonts w:ascii="宋体" w:hAnsi="宋体" w:hint="eastAsia"/>
              </w:rPr>
              <w:t>-</w:t>
            </w:r>
          </w:p>
        </w:tc>
      </w:tr>
      <w:tr w:rsidR="00496D67" w14:paraId="20EE56B6"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422812" w14:textId="77777777" w:rsidR="008C5A31" w:rsidRDefault="008C5A31">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07E40D" w14:textId="77777777" w:rsidR="008C5A31" w:rsidRDefault="008C5A31">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C49254"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2E5E8F" w14:textId="77777777" w:rsidR="008C5A31" w:rsidRDefault="008C5A31">
            <w:pPr>
              <w:jc w:val="right"/>
            </w:pPr>
            <w:r>
              <w:rPr>
                <w:rFonts w:ascii="宋体" w:hAnsi="宋体" w:hint="eastAsia"/>
              </w:rPr>
              <w:t>-</w:t>
            </w:r>
          </w:p>
        </w:tc>
      </w:tr>
      <w:tr w:rsidR="00496D67" w14:paraId="2F41DBB9"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8157E2" w14:textId="77777777" w:rsidR="008C5A31" w:rsidRDefault="008C5A31">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157C26" w14:textId="77777777" w:rsidR="008C5A31" w:rsidRDefault="008C5A31">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48B22B" w14:textId="77777777" w:rsidR="008C5A31" w:rsidRDefault="008C5A31">
            <w:pPr>
              <w:jc w:val="right"/>
            </w:pPr>
            <w:r>
              <w:rPr>
                <w:rFonts w:ascii="宋体" w:hAnsi="宋体" w:hint="eastAsia"/>
              </w:rPr>
              <w:t>27,265,823.00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E7F8D6" w14:textId="77777777" w:rsidR="008C5A31" w:rsidRDefault="008C5A31">
            <w:pPr>
              <w:jc w:val="right"/>
            </w:pPr>
            <w:r>
              <w:rPr>
                <w:rFonts w:ascii="宋体" w:hAnsi="宋体" w:hint="eastAsia"/>
              </w:rPr>
              <w:t>18.79</w:t>
            </w:r>
          </w:p>
        </w:tc>
      </w:tr>
      <w:tr w:rsidR="00496D67" w14:paraId="67DDA7B8"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97019B" w14:textId="77777777" w:rsidR="008C5A31" w:rsidRDefault="008C5A31">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255008" w14:textId="77777777" w:rsidR="008C5A31" w:rsidRDefault="008C5A31">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7C09A3"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8A9E0A" w14:textId="77777777" w:rsidR="008C5A31" w:rsidRDefault="008C5A31">
            <w:pPr>
              <w:jc w:val="right"/>
            </w:pPr>
            <w:r>
              <w:rPr>
                <w:rFonts w:ascii="宋体" w:hAnsi="宋体" w:hint="eastAsia"/>
              </w:rPr>
              <w:t>-</w:t>
            </w:r>
          </w:p>
        </w:tc>
      </w:tr>
      <w:tr w:rsidR="00496D67" w14:paraId="14E03AB0"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781FA0" w14:textId="77777777" w:rsidR="008C5A31" w:rsidRDefault="008C5A31">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62188A" w14:textId="77777777" w:rsidR="008C5A31" w:rsidRDefault="008C5A31">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5430B1"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DC9F82" w14:textId="77777777" w:rsidR="008C5A31" w:rsidRDefault="008C5A31">
            <w:pPr>
              <w:jc w:val="right"/>
            </w:pPr>
            <w:r>
              <w:rPr>
                <w:rFonts w:ascii="宋体" w:hAnsi="宋体" w:hint="eastAsia"/>
              </w:rPr>
              <w:t>-</w:t>
            </w:r>
          </w:p>
        </w:tc>
      </w:tr>
      <w:tr w:rsidR="00496D67" w14:paraId="670B7173"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383119" w14:textId="77777777" w:rsidR="008C5A31" w:rsidRDefault="008C5A31">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C09100" w14:textId="77777777" w:rsidR="008C5A31" w:rsidRDefault="008C5A31">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87B632"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65661E" w14:textId="77777777" w:rsidR="008C5A31" w:rsidRDefault="008C5A31">
            <w:pPr>
              <w:jc w:val="right"/>
            </w:pPr>
            <w:r>
              <w:rPr>
                <w:rFonts w:ascii="宋体" w:hAnsi="宋体" w:hint="eastAsia"/>
              </w:rPr>
              <w:t>-</w:t>
            </w:r>
          </w:p>
        </w:tc>
      </w:tr>
      <w:tr w:rsidR="00496D67" w14:paraId="64F23D99"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0C3FD7" w14:textId="77777777" w:rsidR="008C5A31" w:rsidRDefault="008C5A31">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9E6A3" w14:textId="77777777" w:rsidR="008C5A31" w:rsidRDefault="008C5A31">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11B24A"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187C3" w14:textId="77777777" w:rsidR="008C5A31" w:rsidRDefault="008C5A31">
            <w:pPr>
              <w:jc w:val="right"/>
            </w:pPr>
            <w:r>
              <w:rPr>
                <w:rFonts w:ascii="宋体" w:hAnsi="宋体" w:hint="eastAsia"/>
              </w:rPr>
              <w:t>-</w:t>
            </w:r>
          </w:p>
        </w:tc>
      </w:tr>
      <w:tr w:rsidR="00496D67" w14:paraId="7A5D64C0"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31F6DE" w14:textId="77777777" w:rsidR="008C5A31" w:rsidRDefault="008C5A31">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D865C8" w14:textId="77777777" w:rsidR="008C5A31" w:rsidRDefault="008C5A31">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C5A044"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A23F25" w14:textId="77777777" w:rsidR="008C5A31" w:rsidRDefault="008C5A31">
            <w:pPr>
              <w:jc w:val="right"/>
            </w:pPr>
            <w:r>
              <w:rPr>
                <w:rFonts w:ascii="宋体" w:hAnsi="宋体" w:hint="eastAsia"/>
              </w:rPr>
              <w:t>-</w:t>
            </w:r>
          </w:p>
        </w:tc>
      </w:tr>
      <w:tr w:rsidR="00496D67" w14:paraId="7C671A8D"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EF12AF" w14:textId="77777777" w:rsidR="008C5A31" w:rsidRDefault="008C5A31">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ACA402" w14:textId="77777777" w:rsidR="008C5A31" w:rsidRDefault="008C5A31">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1CB1DF" w14:textId="77777777" w:rsidR="008C5A31" w:rsidRDefault="008C5A31">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E0AD5A" w14:textId="77777777" w:rsidR="008C5A31" w:rsidRDefault="008C5A31">
            <w:pPr>
              <w:jc w:val="right"/>
            </w:pPr>
            <w:r>
              <w:rPr>
                <w:rFonts w:ascii="宋体" w:hAnsi="宋体" w:hint="eastAsia"/>
              </w:rPr>
              <w:t>-</w:t>
            </w:r>
          </w:p>
        </w:tc>
      </w:tr>
      <w:tr w:rsidR="00496D67" w14:paraId="3EA90570" w14:textId="77777777">
        <w:trPr>
          <w:divId w:val="141401192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7290A8" w14:textId="77777777" w:rsidR="008C5A31" w:rsidRDefault="008C5A31"/>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243335" w14:textId="77777777" w:rsidR="008C5A31" w:rsidRDefault="008C5A31">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CD383E" w14:textId="77777777" w:rsidR="008C5A31" w:rsidRDefault="008C5A31">
            <w:pPr>
              <w:jc w:val="right"/>
            </w:pPr>
            <w:r>
              <w:rPr>
                <w:rFonts w:ascii="宋体" w:hAnsi="宋体" w:hint="eastAsia"/>
              </w:rPr>
              <w:t>144,876,063.58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F38102" w14:textId="77777777" w:rsidR="008C5A31" w:rsidRDefault="008C5A31">
            <w:pPr>
              <w:jc w:val="right"/>
            </w:pPr>
            <w:r>
              <w:rPr>
                <w:rFonts w:ascii="宋体" w:hAnsi="宋体" w:hint="eastAsia"/>
              </w:rPr>
              <w:t>99.86</w:t>
            </w:r>
          </w:p>
        </w:tc>
      </w:tr>
    </w:tbl>
    <w:p w14:paraId="7542801D" w14:textId="77777777" w:rsidR="008C5A31" w:rsidRDefault="008C5A31">
      <w:pPr>
        <w:pStyle w:val="XBRLTitle3"/>
        <w:spacing w:before="156"/>
        <w:ind w:left="0"/>
      </w:pPr>
      <w:bookmarkStart w:id="126" w:name="_Toc513386602"/>
      <w:proofErr w:type="spellStart"/>
      <w:r>
        <w:rPr>
          <w:rFonts w:hint="eastAsia"/>
        </w:rPr>
        <w:lastRenderedPageBreak/>
        <w:t>报告期末积极投资按行业分类的境内股票投资组合</w:t>
      </w:r>
      <w:bookmarkEnd w:id="126"/>
      <w:proofErr w:type="spellEnd"/>
      <w:r>
        <w:rPr>
          <w:rFonts w:hint="eastAsia"/>
          <w:lang w:eastAsia="zh-CN"/>
        </w:rPr>
        <w:t xml:space="preserve"> </w:t>
      </w:r>
      <w:bookmarkEnd w:id="122"/>
      <w:bookmarkEnd w:id="123"/>
      <w:bookmarkEnd w:id="124"/>
    </w:p>
    <w:p w14:paraId="1339BDFE" w14:textId="77777777" w:rsidR="008C5A31" w:rsidRDefault="008C5A31">
      <w:pPr>
        <w:spacing w:line="360" w:lineRule="auto"/>
        <w:ind w:firstLineChars="200" w:firstLine="420"/>
      </w:pPr>
      <w:r>
        <w:rPr>
          <w:rFonts w:ascii="宋体" w:hAnsi="宋体" w:hint="eastAsia"/>
          <w:szCs w:val="21"/>
          <w:lang w:eastAsia="zh-Hans"/>
        </w:rPr>
        <w:t>本基金本报告期末未持有积极投资股票。</w:t>
      </w:r>
    </w:p>
    <w:p w14:paraId="293A6AA7" w14:textId="77777777" w:rsidR="008C5A31" w:rsidRDefault="008C5A31">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411A570B" w14:textId="77777777" w:rsidR="008C5A31" w:rsidRDefault="008C5A31">
      <w:pPr>
        <w:spacing w:line="360" w:lineRule="auto"/>
        <w:ind w:firstLineChars="200" w:firstLine="420"/>
      </w:pPr>
      <w:r>
        <w:rPr>
          <w:rFonts w:ascii="宋体" w:hAnsi="宋体" w:hint="eastAsia"/>
          <w:szCs w:val="21"/>
          <w:lang w:eastAsia="zh-Hans"/>
        </w:rPr>
        <w:t>本基金本报告期末未持有港股通股票　。</w:t>
      </w:r>
    </w:p>
    <w:p w14:paraId="2A8A1AB0" w14:textId="77777777" w:rsidR="008C5A31" w:rsidRDefault="008C5A31">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0F2E95AD" w14:textId="77777777" w:rsidR="008C5A31" w:rsidRDefault="008C5A31">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96D67" w14:paraId="4336696A" w14:textId="77777777">
        <w:trPr>
          <w:divId w:val="176615093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30C91F" w14:textId="77777777" w:rsidR="008C5A31" w:rsidRDefault="008C5A3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A05160" w14:textId="77777777" w:rsidR="008C5A31" w:rsidRDefault="008C5A3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5EA2AC" w14:textId="77777777" w:rsidR="008C5A31" w:rsidRDefault="008C5A3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936F4F" w14:textId="77777777" w:rsidR="008C5A31" w:rsidRDefault="008C5A3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2206D7" w14:textId="77777777" w:rsidR="008C5A31" w:rsidRDefault="008C5A3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6D111E" w14:textId="77777777" w:rsidR="008C5A31" w:rsidRDefault="008C5A31">
            <w:pPr>
              <w:jc w:val="center"/>
            </w:pPr>
            <w:r>
              <w:rPr>
                <w:rFonts w:ascii="宋体" w:hAnsi="宋体" w:hint="eastAsia"/>
                <w:color w:val="000000"/>
              </w:rPr>
              <w:t xml:space="preserve">占基金资产净值比例（%） </w:t>
            </w:r>
          </w:p>
        </w:tc>
      </w:tr>
      <w:tr w:rsidR="00496D67" w14:paraId="43AE20E6"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6E638" w14:textId="77777777" w:rsidR="008C5A31" w:rsidRDefault="008C5A3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ABC9A" w14:textId="77777777" w:rsidR="008C5A31" w:rsidRDefault="008C5A31">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213A5" w14:textId="77777777" w:rsidR="008C5A31" w:rsidRDefault="008C5A31">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88784" w14:textId="77777777" w:rsidR="008C5A31" w:rsidRDefault="008C5A31">
            <w:pPr>
              <w:jc w:val="right"/>
            </w:pPr>
            <w:r>
              <w:rPr>
                <w:rFonts w:ascii="宋体" w:hAnsi="宋体" w:hint="eastAsia"/>
                <w:szCs w:val="24"/>
                <w:lang w:eastAsia="zh-Hans"/>
              </w:rPr>
              <w:t>170,765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3D1F6" w14:textId="77777777" w:rsidR="008C5A31" w:rsidRDefault="008C5A31">
            <w:pPr>
              <w:jc w:val="right"/>
            </w:pPr>
            <w:r>
              <w:rPr>
                <w:rFonts w:ascii="宋体" w:hAnsi="宋体" w:hint="eastAsia"/>
                <w:szCs w:val="24"/>
                <w:lang w:eastAsia="zh-Hans"/>
              </w:rPr>
              <w:t>16,752,046.50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A7958" w14:textId="77777777" w:rsidR="008C5A31" w:rsidRDefault="008C5A31">
            <w:pPr>
              <w:jc w:val="right"/>
            </w:pPr>
            <w:r>
              <w:rPr>
                <w:rFonts w:ascii="宋体" w:hAnsi="宋体" w:hint="eastAsia"/>
                <w:szCs w:val="24"/>
                <w:lang w:eastAsia="zh-Hans"/>
              </w:rPr>
              <w:t>11.55</w:t>
            </w:r>
          </w:p>
        </w:tc>
      </w:tr>
      <w:tr w:rsidR="00496D67" w14:paraId="10344D67"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10208" w14:textId="77777777" w:rsidR="008C5A31" w:rsidRDefault="008C5A3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7A4A8" w14:textId="77777777" w:rsidR="008C5A31" w:rsidRDefault="008C5A31">
            <w:pPr>
              <w:jc w:val="center"/>
            </w:pPr>
            <w:r>
              <w:rPr>
                <w:rFonts w:ascii="宋体" w:hAnsi="宋体" w:hint="eastAsia"/>
                <w:szCs w:val="24"/>
                <w:lang w:eastAsia="zh-Hans"/>
              </w:rPr>
              <w:t>600276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479E7" w14:textId="77777777" w:rsidR="008C5A31" w:rsidRDefault="008C5A31">
            <w:pPr>
              <w:jc w:val="center"/>
            </w:pPr>
            <w:r>
              <w:rPr>
                <w:rFonts w:ascii="宋体" w:hAnsi="宋体" w:hint="eastAsia"/>
                <w:szCs w:val="24"/>
                <w:lang w:eastAsia="zh-Hans"/>
              </w:rPr>
              <w:t>恒瑞医药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56796" w14:textId="77777777" w:rsidR="008C5A31" w:rsidRDefault="008C5A31">
            <w:pPr>
              <w:jc w:val="right"/>
            </w:pPr>
            <w:r>
              <w:rPr>
                <w:rFonts w:ascii="宋体" w:hAnsi="宋体" w:hint="eastAsia"/>
                <w:szCs w:val="24"/>
                <w:lang w:eastAsia="zh-Hans"/>
              </w:rPr>
              <w:t>250,260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3C913" w14:textId="77777777" w:rsidR="008C5A31" w:rsidRDefault="008C5A31">
            <w:pPr>
              <w:jc w:val="right"/>
            </w:pPr>
            <w:r>
              <w:rPr>
                <w:rFonts w:ascii="宋体" w:hAnsi="宋体" w:hint="eastAsia"/>
                <w:szCs w:val="24"/>
                <w:lang w:eastAsia="zh-Hans"/>
              </w:rPr>
              <w:t>13,819,357.20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5A0BD" w14:textId="77777777" w:rsidR="008C5A31" w:rsidRDefault="008C5A31">
            <w:pPr>
              <w:jc w:val="right"/>
            </w:pPr>
            <w:r>
              <w:rPr>
                <w:rFonts w:ascii="宋体" w:hAnsi="宋体" w:hint="eastAsia"/>
                <w:szCs w:val="24"/>
                <w:lang w:eastAsia="zh-Hans"/>
              </w:rPr>
              <w:t>9.52</w:t>
            </w:r>
          </w:p>
        </w:tc>
      </w:tr>
      <w:tr w:rsidR="00496D67" w14:paraId="16920EFC"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A1A9F" w14:textId="77777777" w:rsidR="008C5A31" w:rsidRDefault="008C5A3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C140F" w14:textId="77777777" w:rsidR="008C5A31" w:rsidRDefault="008C5A31">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A7C89" w14:textId="77777777" w:rsidR="008C5A31" w:rsidRDefault="008C5A31">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85BA1" w14:textId="77777777" w:rsidR="008C5A31" w:rsidRDefault="008C5A31">
            <w:pPr>
              <w:jc w:val="right"/>
            </w:pPr>
            <w:r>
              <w:rPr>
                <w:rFonts w:ascii="宋体" w:hAnsi="宋体" w:hint="eastAsia"/>
                <w:szCs w:val="24"/>
                <w:lang w:eastAsia="zh-Hans"/>
              </w:rPr>
              <w:t>163,900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FEA62" w14:textId="77777777" w:rsidR="008C5A31" w:rsidRDefault="008C5A31">
            <w:pPr>
              <w:jc w:val="right"/>
            </w:pPr>
            <w:r>
              <w:rPr>
                <w:rFonts w:ascii="宋体" w:hAnsi="宋体" w:hint="eastAsia"/>
                <w:szCs w:val="24"/>
                <w:lang w:eastAsia="zh-Hans"/>
              </w:rPr>
              <w:t>5,685,691.00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F8299" w14:textId="77777777" w:rsidR="008C5A31" w:rsidRDefault="008C5A31">
            <w:pPr>
              <w:jc w:val="right"/>
            </w:pPr>
            <w:r>
              <w:rPr>
                <w:rFonts w:ascii="宋体" w:hAnsi="宋体" w:hint="eastAsia"/>
                <w:szCs w:val="24"/>
                <w:lang w:eastAsia="zh-Hans"/>
              </w:rPr>
              <w:t>3.92</w:t>
            </w:r>
          </w:p>
        </w:tc>
      </w:tr>
      <w:tr w:rsidR="00496D67" w14:paraId="6703A11A"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5A67F" w14:textId="77777777" w:rsidR="008C5A31" w:rsidRDefault="008C5A3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144E1" w14:textId="77777777" w:rsidR="008C5A31" w:rsidRDefault="008C5A31">
            <w:pPr>
              <w:jc w:val="center"/>
            </w:pPr>
            <w:r>
              <w:rPr>
                <w:rFonts w:ascii="宋体" w:hAnsi="宋体" w:hint="eastAsia"/>
                <w:szCs w:val="24"/>
                <w:lang w:eastAsia="zh-Hans"/>
              </w:rPr>
              <w:t>002294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C578F" w14:textId="77777777" w:rsidR="008C5A31" w:rsidRDefault="008C5A31">
            <w:pPr>
              <w:jc w:val="center"/>
            </w:pPr>
            <w:r>
              <w:rPr>
                <w:rFonts w:ascii="宋体" w:hAnsi="宋体" w:hint="eastAsia"/>
                <w:szCs w:val="24"/>
                <w:lang w:eastAsia="zh-Hans"/>
              </w:rPr>
              <w:t>信立泰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7F178" w14:textId="77777777" w:rsidR="008C5A31" w:rsidRDefault="008C5A31">
            <w:pPr>
              <w:jc w:val="right"/>
            </w:pPr>
            <w:r>
              <w:rPr>
                <w:rFonts w:ascii="宋体" w:hAnsi="宋体" w:hint="eastAsia"/>
                <w:szCs w:val="24"/>
                <w:lang w:eastAsia="zh-Hans"/>
              </w:rPr>
              <w:t>81,800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797B4" w14:textId="77777777" w:rsidR="008C5A31" w:rsidRDefault="008C5A31">
            <w:pPr>
              <w:jc w:val="right"/>
            </w:pPr>
            <w:r>
              <w:rPr>
                <w:rFonts w:ascii="宋体" w:hAnsi="宋体" w:hint="eastAsia"/>
                <w:szCs w:val="24"/>
                <w:lang w:eastAsia="zh-Hans"/>
              </w:rPr>
              <w:t>5,015,158.00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3D232" w14:textId="77777777" w:rsidR="008C5A31" w:rsidRDefault="008C5A31">
            <w:pPr>
              <w:jc w:val="right"/>
            </w:pPr>
            <w:r>
              <w:rPr>
                <w:rFonts w:ascii="宋体" w:hAnsi="宋体" w:hint="eastAsia"/>
                <w:szCs w:val="24"/>
                <w:lang w:eastAsia="zh-Hans"/>
              </w:rPr>
              <w:t>3.46</w:t>
            </w:r>
          </w:p>
        </w:tc>
      </w:tr>
      <w:tr w:rsidR="00496D67" w14:paraId="10FEAB6A"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85397" w14:textId="77777777" w:rsidR="008C5A31" w:rsidRDefault="008C5A3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B85F9" w14:textId="77777777" w:rsidR="008C5A31" w:rsidRDefault="008C5A31">
            <w:pPr>
              <w:jc w:val="center"/>
            </w:pPr>
            <w:r>
              <w:rPr>
                <w:rFonts w:ascii="宋体" w:hAnsi="宋体" w:hint="eastAsia"/>
                <w:szCs w:val="24"/>
                <w:lang w:eastAsia="zh-Hans"/>
              </w:rPr>
              <w:t>600196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F6B30" w14:textId="77777777" w:rsidR="008C5A31" w:rsidRDefault="008C5A31">
            <w:pPr>
              <w:jc w:val="center"/>
            </w:pPr>
            <w:r>
              <w:rPr>
                <w:rFonts w:ascii="宋体" w:hAnsi="宋体" w:hint="eastAsia"/>
                <w:szCs w:val="24"/>
                <w:lang w:eastAsia="zh-Hans"/>
              </w:rPr>
              <w:t>复星医药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FE016" w14:textId="77777777" w:rsidR="008C5A31" w:rsidRDefault="008C5A31">
            <w:pPr>
              <w:jc w:val="right"/>
            </w:pPr>
            <w:r>
              <w:rPr>
                <w:rFonts w:ascii="宋体" w:hAnsi="宋体" w:hint="eastAsia"/>
                <w:szCs w:val="24"/>
                <w:lang w:eastAsia="zh-Hans"/>
              </w:rPr>
              <w:t>186,100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4890D" w14:textId="77777777" w:rsidR="008C5A31" w:rsidRDefault="008C5A31">
            <w:pPr>
              <w:jc w:val="right"/>
            </w:pPr>
            <w:r>
              <w:rPr>
                <w:rFonts w:ascii="宋体" w:hAnsi="宋体" w:hint="eastAsia"/>
                <w:szCs w:val="24"/>
                <w:lang w:eastAsia="zh-Hans"/>
              </w:rPr>
              <w:t>4,955,843.00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AA87D" w14:textId="77777777" w:rsidR="008C5A31" w:rsidRDefault="008C5A31">
            <w:pPr>
              <w:jc w:val="right"/>
            </w:pPr>
            <w:r>
              <w:rPr>
                <w:rFonts w:ascii="宋体" w:hAnsi="宋体" w:hint="eastAsia"/>
                <w:szCs w:val="24"/>
                <w:lang w:eastAsia="zh-Hans"/>
              </w:rPr>
              <w:t>3.42</w:t>
            </w:r>
          </w:p>
        </w:tc>
      </w:tr>
      <w:tr w:rsidR="00496D67" w14:paraId="1BEC7E20"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2B97B" w14:textId="77777777" w:rsidR="008C5A31" w:rsidRDefault="008C5A3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27176" w14:textId="77777777" w:rsidR="008C5A31" w:rsidRDefault="008C5A31">
            <w:pPr>
              <w:jc w:val="center"/>
            </w:pPr>
            <w:r>
              <w:rPr>
                <w:rFonts w:ascii="宋体" w:hAnsi="宋体" w:hint="eastAsia"/>
                <w:szCs w:val="24"/>
                <w:lang w:eastAsia="zh-Hans"/>
              </w:rPr>
              <w:t>000963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7842D" w14:textId="77777777" w:rsidR="008C5A31" w:rsidRDefault="008C5A31">
            <w:pPr>
              <w:jc w:val="center"/>
            </w:pPr>
            <w:r>
              <w:rPr>
                <w:rFonts w:ascii="宋体" w:hAnsi="宋体" w:hint="eastAsia"/>
                <w:szCs w:val="24"/>
                <w:lang w:eastAsia="zh-Hans"/>
              </w:rPr>
              <w:t>华东医药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670B1" w14:textId="77777777" w:rsidR="008C5A31" w:rsidRDefault="008C5A31">
            <w:pPr>
              <w:jc w:val="right"/>
            </w:pPr>
            <w:r>
              <w:rPr>
                <w:rFonts w:ascii="宋体" w:hAnsi="宋体" w:hint="eastAsia"/>
                <w:szCs w:val="24"/>
                <w:lang w:eastAsia="zh-Hans"/>
              </w:rPr>
              <w:t>128,500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DEE93" w14:textId="77777777" w:rsidR="008C5A31" w:rsidRDefault="008C5A31">
            <w:pPr>
              <w:jc w:val="right"/>
            </w:pPr>
            <w:r>
              <w:rPr>
                <w:rFonts w:ascii="宋体" w:hAnsi="宋体" w:hint="eastAsia"/>
                <w:szCs w:val="24"/>
                <w:lang w:eastAsia="zh-Hans"/>
              </w:rPr>
              <w:t>4,538,620.00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640B0" w14:textId="77777777" w:rsidR="008C5A31" w:rsidRDefault="008C5A31">
            <w:pPr>
              <w:jc w:val="right"/>
            </w:pPr>
            <w:r>
              <w:rPr>
                <w:rFonts w:ascii="宋体" w:hAnsi="宋体" w:hint="eastAsia"/>
                <w:szCs w:val="24"/>
                <w:lang w:eastAsia="zh-Hans"/>
              </w:rPr>
              <w:t>3.13</w:t>
            </w:r>
          </w:p>
        </w:tc>
      </w:tr>
      <w:tr w:rsidR="00496D67" w14:paraId="61F7C145"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F5176" w14:textId="77777777" w:rsidR="008C5A31" w:rsidRDefault="008C5A3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512C8" w14:textId="77777777" w:rsidR="008C5A31" w:rsidRDefault="008C5A31">
            <w:pPr>
              <w:jc w:val="center"/>
            </w:pPr>
            <w:r>
              <w:rPr>
                <w:rFonts w:ascii="宋体" w:hAnsi="宋体" w:hint="eastAsia"/>
                <w:szCs w:val="24"/>
                <w:lang w:eastAsia="zh-Hans"/>
              </w:rPr>
              <w:t>300759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E4040" w14:textId="77777777" w:rsidR="008C5A31" w:rsidRDefault="008C5A31">
            <w:pPr>
              <w:jc w:val="center"/>
            </w:pPr>
            <w:r>
              <w:rPr>
                <w:rFonts w:ascii="宋体" w:hAnsi="宋体" w:hint="eastAsia"/>
                <w:szCs w:val="24"/>
                <w:lang w:eastAsia="zh-Hans"/>
              </w:rPr>
              <w:t>康龙化成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39690" w14:textId="77777777" w:rsidR="008C5A31" w:rsidRDefault="008C5A31">
            <w:pPr>
              <w:jc w:val="right"/>
            </w:pPr>
            <w:r>
              <w:rPr>
                <w:rFonts w:ascii="宋体" w:hAnsi="宋体" w:hint="eastAsia"/>
                <w:szCs w:val="24"/>
                <w:lang w:eastAsia="zh-Hans"/>
              </w:rPr>
              <w:t>151,425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3FED0" w14:textId="77777777" w:rsidR="008C5A31" w:rsidRDefault="008C5A31">
            <w:pPr>
              <w:jc w:val="right"/>
            </w:pPr>
            <w:r>
              <w:rPr>
                <w:rFonts w:ascii="宋体" w:hAnsi="宋体" w:hint="eastAsia"/>
                <w:szCs w:val="24"/>
                <w:lang w:eastAsia="zh-Hans"/>
              </w:rPr>
              <w:t>4,236,871.50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325A3" w14:textId="77777777" w:rsidR="008C5A31" w:rsidRDefault="008C5A31">
            <w:pPr>
              <w:jc w:val="right"/>
            </w:pPr>
            <w:r>
              <w:rPr>
                <w:rFonts w:ascii="宋体" w:hAnsi="宋体" w:hint="eastAsia"/>
                <w:szCs w:val="24"/>
                <w:lang w:eastAsia="zh-Hans"/>
              </w:rPr>
              <w:t>2.92</w:t>
            </w:r>
          </w:p>
        </w:tc>
      </w:tr>
      <w:tr w:rsidR="00496D67" w14:paraId="2A96AE19"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E52D9" w14:textId="77777777" w:rsidR="008C5A31" w:rsidRDefault="008C5A3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D466B" w14:textId="77777777" w:rsidR="008C5A31" w:rsidRDefault="008C5A31">
            <w:pPr>
              <w:jc w:val="center"/>
            </w:pPr>
            <w:r>
              <w:rPr>
                <w:rFonts w:ascii="宋体" w:hAnsi="宋体" w:hint="eastAsia"/>
                <w:szCs w:val="24"/>
                <w:lang w:eastAsia="zh-Hans"/>
              </w:rPr>
              <w:t>000661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34CD1" w14:textId="77777777" w:rsidR="008C5A31" w:rsidRDefault="008C5A31">
            <w:pPr>
              <w:jc w:val="center"/>
            </w:pPr>
            <w:r>
              <w:rPr>
                <w:rFonts w:ascii="宋体" w:hAnsi="宋体" w:hint="eastAsia"/>
                <w:szCs w:val="24"/>
                <w:lang w:eastAsia="zh-Hans"/>
              </w:rPr>
              <w:t>长春高新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6AE83" w14:textId="77777777" w:rsidR="008C5A31" w:rsidRDefault="008C5A31">
            <w:pPr>
              <w:jc w:val="right"/>
            </w:pPr>
            <w:r>
              <w:rPr>
                <w:rFonts w:ascii="宋体" w:hAnsi="宋体" w:hint="eastAsia"/>
                <w:szCs w:val="24"/>
                <w:lang w:eastAsia="zh-Hans"/>
              </w:rPr>
              <w:t>47,800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1C775" w14:textId="77777777" w:rsidR="008C5A31" w:rsidRDefault="008C5A31">
            <w:pPr>
              <w:jc w:val="right"/>
            </w:pPr>
            <w:r>
              <w:rPr>
                <w:rFonts w:ascii="宋体" w:hAnsi="宋体" w:hint="eastAsia"/>
                <w:szCs w:val="24"/>
                <w:lang w:eastAsia="zh-Hans"/>
              </w:rPr>
              <w:t>4,104,586.00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DB49C" w14:textId="77777777" w:rsidR="008C5A31" w:rsidRDefault="008C5A31">
            <w:pPr>
              <w:jc w:val="right"/>
            </w:pPr>
            <w:r>
              <w:rPr>
                <w:rFonts w:ascii="宋体" w:hAnsi="宋体" w:hint="eastAsia"/>
                <w:szCs w:val="24"/>
                <w:lang w:eastAsia="zh-Hans"/>
              </w:rPr>
              <w:t>2.83</w:t>
            </w:r>
          </w:p>
        </w:tc>
      </w:tr>
      <w:tr w:rsidR="00496D67" w14:paraId="14C88A0E"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1BE6F" w14:textId="77777777" w:rsidR="008C5A31" w:rsidRDefault="008C5A3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3A1DB" w14:textId="77777777" w:rsidR="008C5A31" w:rsidRDefault="008C5A31">
            <w:pPr>
              <w:jc w:val="center"/>
            </w:pPr>
            <w:r>
              <w:rPr>
                <w:rFonts w:ascii="宋体" w:hAnsi="宋体" w:hint="eastAsia"/>
                <w:szCs w:val="24"/>
                <w:lang w:eastAsia="zh-Hans"/>
              </w:rPr>
              <w:t>300347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54060" w14:textId="77777777" w:rsidR="008C5A31" w:rsidRDefault="008C5A31">
            <w:pPr>
              <w:jc w:val="center"/>
            </w:pPr>
            <w:r>
              <w:rPr>
                <w:rFonts w:ascii="宋体" w:hAnsi="宋体" w:hint="eastAsia"/>
                <w:szCs w:val="24"/>
                <w:lang w:eastAsia="zh-Hans"/>
              </w:rPr>
              <w:t>泰格医药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37958" w14:textId="77777777" w:rsidR="008C5A31" w:rsidRDefault="008C5A31">
            <w:pPr>
              <w:jc w:val="right"/>
            </w:pPr>
            <w:r>
              <w:rPr>
                <w:rFonts w:ascii="宋体" w:hAnsi="宋体" w:hint="eastAsia"/>
                <w:szCs w:val="24"/>
                <w:lang w:eastAsia="zh-Hans"/>
              </w:rPr>
              <w:t>75,500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2EFF9" w14:textId="77777777" w:rsidR="008C5A31" w:rsidRDefault="008C5A31">
            <w:pPr>
              <w:jc w:val="right"/>
            </w:pPr>
            <w:r>
              <w:rPr>
                <w:rFonts w:ascii="宋体" w:hAnsi="宋体" w:hint="eastAsia"/>
                <w:szCs w:val="24"/>
                <w:lang w:eastAsia="zh-Hans"/>
              </w:rPr>
              <w:t>4,064,165.00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CF67A" w14:textId="77777777" w:rsidR="008C5A31" w:rsidRDefault="008C5A31">
            <w:pPr>
              <w:jc w:val="right"/>
            </w:pPr>
            <w:r>
              <w:rPr>
                <w:rFonts w:ascii="宋体" w:hAnsi="宋体" w:hint="eastAsia"/>
                <w:szCs w:val="24"/>
                <w:lang w:eastAsia="zh-Hans"/>
              </w:rPr>
              <w:t>2.80</w:t>
            </w:r>
          </w:p>
        </w:tc>
      </w:tr>
      <w:tr w:rsidR="00496D67" w14:paraId="5171A931" w14:textId="77777777">
        <w:trPr>
          <w:divId w:val="17661509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4E57E" w14:textId="77777777" w:rsidR="008C5A31" w:rsidRDefault="008C5A3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50BA1" w14:textId="77777777" w:rsidR="008C5A31" w:rsidRDefault="008C5A31">
            <w:pPr>
              <w:jc w:val="center"/>
            </w:pPr>
            <w:r>
              <w:rPr>
                <w:rFonts w:ascii="宋体" w:hAnsi="宋体" w:hint="eastAsia"/>
                <w:szCs w:val="24"/>
                <w:lang w:eastAsia="zh-Hans"/>
              </w:rPr>
              <w:t>688235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C1F3E" w14:textId="77777777" w:rsidR="008C5A31" w:rsidRDefault="008C5A31">
            <w:pPr>
              <w:jc w:val="center"/>
            </w:pPr>
            <w:r>
              <w:rPr>
                <w:rFonts w:ascii="宋体" w:hAnsi="宋体" w:hint="eastAsia"/>
                <w:szCs w:val="24"/>
                <w:lang w:eastAsia="zh-Hans"/>
              </w:rPr>
              <w:t>百济神州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75BD3" w14:textId="77777777" w:rsidR="008C5A31" w:rsidRDefault="008C5A31">
            <w:pPr>
              <w:jc w:val="right"/>
            </w:pPr>
            <w:r>
              <w:rPr>
                <w:rFonts w:ascii="宋体" w:hAnsi="宋体" w:hint="eastAsia"/>
                <w:szCs w:val="24"/>
                <w:lang w:eastAsia="zh-Hans"/>
              </w:rPr>
              <w:t>16,715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A8060" w14:textId="77777777" w:rsidR="008C5A31" w:rsidRDefault="008C5A31">
            <w:pPr>
              <w:jc w:val="right"/>
            </w:pPr>
            <w:r>
              <w:rPr>
                <w:rFonts w:ascii="宋体" w:hAnsi="宋体" w:hint="eastAsia"/>
                <w:szCs w:val="24"/>
                <w:lang w:eastAsia="zh-Hans"/>
              </w:rPr>
              <w:t>3,904,456.85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BAABB" w14:textId="77777777" w:rsidR="008C5A31" w:rsidRDefault="008C5A31">
            <w:pPr>
              <w:jc w:val="right"/>
            </w:pPr>
            <w:r>
              <w:rPr>
                <w:rFonts w:ascii="宋体" w:hAnsi="宋体" w:hint="eastAsia"/>
                <w:szCs w:val="24"/>
                <w:lang w:eastAsia="zh-Hans"/>
              </w:rPr>
              <w:t>2.69</w:t>
            </w:r>
          </w:p>
        </w:tc>
      </w:tr>
    </w:tbl>
    <w:p w14:paraId="10748DCD" w14:textId="77777777" w:rsidR="008C5A31" w:rsidRDefault="008C5A31">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3"/>
      <w:bookmarkEnd w:id="144"/>
      <w:proofErr w:type="spellEnd"/>
    </w:p>
    <w:p w14:paraId="6270B282" w14:textId="77777777" w:rsidR="008C5A31" w:rsidRDefault="008C5A31">
      <w:pPr>
        <w:spacing w:line="360" w:lineRule="auto"/>
        <w:ind w:firstLineChars="200" w:firstLine="420"/>
        <w:jc w:val="left"/>
        <w:divId w:val="1004092746"/>
      </w:pPr>
      <w:r>
        <w:rPr>
          <w:rFonts w:ascii="宋体" w:hAnsi="宋体" w:hint="eastAsia"/>
          <w:color w:val="000000"/>
          <w:szCs w:val="21"/>
          <w:lang w:eastAsia="zh-Hans"/>
        </w:rPr>
        <w:t>本基金本报告期末未持有积极投资股票。</w:t>
      </w:r>
    </w:p>
    <w:p w14:paraId="187D188B" w14:textId="77777777" w:rsidR="008C5A31" w:rsidRDefault="008C5A31">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p w14:paraId="122354E1" w14:textId="77777777" w:rsidR="008C5A31" w:rsidRDefault="008C5A31">
      <w:pPr>
        <w:spacing w:line="360" w:lineRule="auto"/>
        <w:ind w:firstLineChars="200" w:firstLine="420"/>
        <w:jc w:val="left"/>
        <w:divId w:val="1284728600"/>
      </w:pPr>
      <w:r>
        <w:rPr>
          <w:rFonts w:ascii="宋体" w:hAnsi="宋体" w:hint="eastAsia"/>
        </w:rPr>
        <w:t>本基金本报告期末未持有债券。</w:t>
      </w:r>
      <w:bookmarkStart w:id="146" w:name="m08QD_06"/>
      <w:bookmarkEnd w:id="146"/>
      <w:r>
        <w:rPr>
          <w:rFonts w:ascii="宋体" w:hAnsi="宋体" w:hint="eastAsia"/>
        </w:rPr>
        <w:t xml:space="preserve"> </w:t>
      </w:r>
    </w:p>
    <w:p w14:paraId="707C010B" w14:textId="77777777" w:rsidR="008C5A31" w:rsidRDefault="008C5A31">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604103DF" w14:textId="77777777" w:rsidR="008C5A31" w:rsidRDefault="008C5A31">
      <w:pPr>
        <w:spacing w:line="360" w:lineRule="auto"/>
        <w:ind w:firstLineChars="200" w:firstLine="420"/>
        <w:jc w:val="left"/>
        <w:divId w:val="704872242"/>
      </w:pPr>
      <w:r>
        <w:rPr>
          <w:rFonts w:ascii="宋体" w:hAnsi="宋体" w:hint="eastAsia"/>
          <w:color w:val="000000"/>
          <w:szCs w:val="21"/>
          <w:lang w:eastAsia="zh-Hans"/>
        </w:rPr>
        <w:t>本基金本报告期末未持有债券。</w:t>
      </w:r>
    </w:p>
    <w:p w14:paraId="393E6C09" w14:textId="77777777" w:rsidR="008C5A31" w:rsidRDefault="008C5A31">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2AC36FEF" w14:textId="77777777" w:rsidR="008C5A31" w:rsidRDefault="008C5A31">
      <w:pPr>
        <w:spacing w:line="360" w:lineRule="auto"/>
        <w:ind w:firstLineChars="200" w:firstLine="420"/>
        <w:jc w:val="left"/>
        <w:divId w:val="1384256973"/>
      </w:pPr>
      <w:r>
        <w:rPr>
          <w:rFonts w:ascii="宋体" w:hAnsi="宋体" w:hint="eastAsia"/>
          <w:color w:val="000000"/>
          <w:szCs w:val="21"/>
          <w:lang w:eastAsia="zh-Hans"/>
        </w:rPr>
        <w:t>本基金本报告期末未持有资产支持证券。</w:t>
      </w:r>
    </w:p>
    <w:p w14:paraId="26A9F56C" w14:textId="77777777" w:rsidR="008C5A31" w:rsidRDefault="008C5A31">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613902A7" w14:textId="77777777" w:rsidR="008C5A31" w:rsidRDefault="008C5A31">
      <w:pPr>
        <w:spacing w:line="360" w:lineRule="auto"/>
        <w:ind w:firstLineChars="200" w:firstLine="420"/>
      </w:pPr>
      <w:r>
        <w:rPr>
          <w:rFonts w:ascii="宋体" w:hAnsi="宋体" w:hint="eastAsia"/>
          <w:szCs w:val="21"/>
          <w:lang w:eastAsia="zh-Hans"/>
        </w:rPr>
        <w:t>本基金本报告期末未持有贵金属。</w:t>
      </w:r>
    </w:p>
    <w:p w14:paraId="6327B960" w14:textId="77777777" w:rsidR="008C5A31" w:rsidRDefault="008C5A31">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lastRenderedPageBreak/>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05FF899F" w14:textId="77777777" w:rsidR="008C5A31" w:rsidRDefault="008C5A31">
      <w:pPr>
        <w:spacing w:line="360" w:lineRule="auto"/>
        <w:ind w:firstLineChars="200" w:firstLine="420"/>
      </w:pPr>
      <w:r>
        <w:rPr>
          <w:rFonts w:ascii="宋体" w:hAnsi="宋体" w:hint="eastAsia"/>
          <w:szCs w:val="21"/>
          <w:lang w:eastAsia="zh-Hans"/>
        </w:rPr>
        <w:t>本基金本报告期末未持有权证。</w:t>
      </w:r>
    </w:p>
    <w:p w14:paraId="374F41E6" w14:textId="77777777" w:rsidR="008C5A31" w:rsidRDefault="008C5A31">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769FE3AD" w14:textId="77777777" w:rsidR="008C5A31" w:rsidRDefault="008C5A31">
      <w:pPr>
        <w:spacing w:line="360" w:lineRule="auto"/>
        <w:ind w:firstLineChars="200" w:firstLine="420"/>
      </w:pPr>
      <w:r>
        <w:rPr>
          <w:rFonts w:ascii="宋体" w:hAnsi="宋体" w:hint="eastAsia"/>
          <w:szCs w:val="21"/>
          <w:lang w:eastAsia="zh-Hans"/>
        </w:rPr>
        <w:t>本基金本报告期末未持有股指期货。</w:t>
      </w:r>
    </w:p>
    <w:p w14:paraId="6EEE5CDB" w14:textId="77777777" w:rsidR="008C5A31" w:rsidRDefault="008C5A31">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496D24E2" w14:textId="77777777" w:rsidR="008C5A31" w:rsidRDefault="008C5A31">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7B2CDE85" w14:textId="77777777" w:rsidR="008C5A31" w:rsidRDefault="008C5A31">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03618E27" w14:textId="77777777" w:rsidR="008C5A31" w:rsidRDefault="008C5A31">
      <w:pPr>
        <w:pStyle w:val="XBRLTitle3"/>
        <w:spacing w:before="156"/>
        <w:ind w:left="0"/>
      </w:pPr>
      <w:bookmarkStart w:id="186" w:name="_Toc512519515"/>
      <w:bookmarkStart w:id="187" w:name="_Toc481075083"/>
      <w:bookmarkStart w:id="188" w:name="_Toc490050036"/>
      <w:bookmarkStart w:id="189" w:name="_Toc513295927"/>
      <w:r>
        <w:rPr>
          <w:rFonts w:hAnsi="宋体" w:hint="eastAsia"/>
        </w:rPr>
        <w:t> </w:t>
      </w:r>
      <w:bookmarkStart w:id="190" w:name="_Toc514507543"/>
      <w:bookmarkEnd w:id="186"/>
      <w:bookmarkEnd w:id="187"/>
      <w:bookmarkEnd w:id="188"/>
      <w:bookmarkEnd w:id="189"/>
      <w:r>
        <w:rPr>
          <w:rFonts w:hint="eastAsia"/>
          <w:lang w:eastAsia="zh-CN"/>
        </w:rPr>
        <w:t xml:space="preserve"> </w:t>
      </w:r>
      <w:bookmarkEnd w:id="190"/>
    </w:p>
    <w:p w14:paraId="50972F21" w14:textId="77777777" w:rsidR="008C5A31" w:rsidRDefault="008C5A31">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2F7F155" w14:textId="77777777" w:rsidR="008C5A31" w:rsidRDefault="008C5A31">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r>
        <w:rPr>
          <w:rFonts w:hint="eastAsia"/>
          <w:lang w:eastAsia="zh-CN"/>
        </w:rPr>
        <w:t xml:space="preserve"> </w:t>
      </w:r>
      <w:bookmarkEnd w:id="195"/>
    </w:p>
    <w:p w14:paraId="0CF23CBF" w14:textId="77777777" w:rsidR="008C5A31" w:rsidRDefault="008C5A31">
      <w:pPr>
        <w:spacing w:line="360" w:lineRule="auto"/>
        <w:ind w:firstLineChars="200" w:firstLine="420"/>
      </w:pPr>
      <w:r>
        <w:rPr>
          <w:rFonts w:ascii="宋体" w:hAnsi="宋体" w:hint="eastAsia"/>
        </w:rPr>
        <w:t>报告期内本基金投资的前十名股票中没有在基金合同规定备选股票库之外的股票。</w:t>
      </w:r>
    </w:p>
    <w:p w14:paraId="44113052" w14:textId="77777777" w:rsidR="008C5A31" w:rsidRDefault="008C5A31">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96D67" w14:paraId="203D711A" w14:textId="77777777">
        <w:trPr>
          <w:divId w:val="113903017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797D3" w14:textId="77777777" w:rsidR="008C5A31" w:rsidRDefault="008C5A3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851EC" w14:textId="77777777" w:rsidR="008C5A31" w:rsidRDefault="008C5A3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B7D29" w14:textId="77777777" w:rsidR="008C5A31" w:rsidRDefault="008C5A31">
            <w:pPr>
              <w:jc w:val="center"/>
            </w:pPr>
            <w:r>
              <w:rPr>
                <w:rFonts w:ascii="宋体" w:hAnsi="宋体" w:hint="eastAsia"/>
              </w:rPr>
              <w:t>金额（元）</w:t>
            </w:r>
            <w:r>
              <w:t xml:space="preserve"> </w:t>
            </w:r>
          </w:p>
        </w:tc>
      </w:tr>
      <w:tr w:rsidR="00496D67" w14:paraId="59418C0C" w14:textId="77777777">
        <w:trPr>
          <w:divId w:val="113903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8B8CD" w14:textId="77777777" w:rsidR="008C5A31" w:rsidRDefault="008C5A3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67FD0" w14:textId="77777777" w:rsidR="008C5A31" w:rsidRDefault="008C5A3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24BC4" w14:textId="77777777" w:rsidR="008C5A31" w:rsidRDefault="008C5A31">
            <w:pPr>
              <w:jc w:val="right"/>
            </w:pPr>
            <w:r>
              <w:rPr>
                <w:rFonts w:ascii="宋体" w:hAnsi="宋体" w:hint="eastAsia"/>
              </w:rPr>
              <w:t>72,061.99</w:t>
            </w:r>
          </w:p>
        </w:tc>
      </w:tr>
      <w:tr w:rsidR="00496D67" w14:paraId="4EB45C33" w14:textId="77777777">
        <w:trPr>
          <w:divId w:val="113903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68D23" w14:textId="77777777" w:rsidR="008C5A31" w:rsidRDefault="008C5A3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15D52" w14:textId="77777777" w:rsidR="008C5A31" w:rsidRDefault="008C5A3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5D1F5" w14:textId="77777777" w:rsidR="008C5A31" w:rsidRDefault="008C5A31">
            <w:pPr>
              <w:jc w:val="right"/>
            </w:pPr>
            <w:r>
              <w:rPr>
                <w:rFonts w:ascii="宋体" w:hAnsi="宋体" w:hint="eastAsia"/>
              </w:rPr>
              <w:t>-</w:t>
            </w:r>
          </w:p>
        </w:tc>
      </w:tr>
      <w:tr w:rsidR="00496D67" w14:paraId="4737375D" w14:textId="77777777">
        <w:trPr>
          <w:divId w:val="113903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1F334" w14:textId="77777777" w:rsidR="008C5A31" w:rsidRDefault="008C5A3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C1A90" w14:textId="77777777" w:rsidR="008C5A31" w:rsidRDefault="008C5A3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3C5C6" w14:textId="77777777" w:rsidR="008C5A31" w:rsidRDefault="008C5A31">
            <w:pPr>
              <w:jc w:val="right"/>
            </w:pPr>
            <w:r>
              <w:rPr>
                <w:rFonts w:ascii="宋体" w:hAnsi="宋体" w:hint="eastAsia"/>
              </w:rPr>
              <w:t>-</w:t>
            </w:r>
          </w:p>
        </w:tc>
      </w:tr>
      <w:tr w:rsidR="00496D67" w14:paraId="6B7DBE72" w14:textId="77777777">
        <w:trPr>
          <w:divId w:val="113903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3BD22" w14:textId="77777777" w:rsidR="008C5A31" w:rsidRDefault="008C5A3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B8CBB" w14:textId="77777777" w:rsidR="008C5A31" w:rsidRDefault="008C5A3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2B16F" w14:textId="77777777" w:rsidR="008C5A31" w:rsidRDefault="008C5A31">
            <w:pPr>
              <w:jc w:val="right"/>
            </w:pPr>
            <w:r>
              <w:rPr>
                <w:rFonts w:ascii="宋体" w:hAnsi="宋体" w:hint="eastAsia"/>
              </w:rPr>
              <w:t>-</w:t>
            </w:r>
          </w:p>
        </w:tc>
      </w:tr>
      <w:tr w:rsidR="00496D67" w14:paraId="62A38C1C" w14:textId="77777777">
        <w:trPr>
          <w:divId w:val="113903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0146C" w14:textId="77777777" w:rsidR="008C5A31" w:rsidRDefault="008C5A3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C5A8F" w14:textId="77777777" w:rsidR="008C5A31" w:rsidRDefault="008C5A3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B0C4C" w14:textId="77777777" w:rsidR="008C5A31" w:rsidRDefault="008C5A31">
            <w:pPr>
              <w:jc w:val="right"/>
            </w:pPr>
            <w:r>
              <w:rPr>
                <w:rFonts w:ascii="宋体" w:hAnsi="宋体" w:hint="eastAsia"/>
              </w:rPr>
              <w:t>-</w:t>
            </w:r>
          </w:p>
        </w:tc>
      </w:tr>
      <w:tr w:rsidR="00496D67" w14:paraId="0EAC1AE8" w14:textId="77777777">
        <w:trPr>
          <w:divId w:val="113903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2F978" w14:textId="77777777" w:rsidR="008C5A31" w:rsidRDefault="008C5A3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94EA2" w14:textId="77777777" w:rsidR="008C5A31" w:rsidRDefault="008C5A3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A4EC1" w14:textId="77777777" w:rsidR="008C5A31" w:rsidRDefault="008C5A31">
            <w:pPr>
              <w:jc w:val="right"/>
            </w:pPr>
            <w:r>
              <w:rPr>
                <w:rFonts w:ascii="宋体" w:hAnsi="宋体" w:hint="eastAsia"/>
              </w:rPr>
              <w:t>-</w:t>
            </w:r>
          </w:p>
        </w:tc>
      </w:tr>
      <w:tr w:rsidR="00496D67" w14:paraId="55CD659B" w14:textId="77777777">
        <w:trPr>
          <w:divId w:val="113903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0F31F" w14:textId="77777777" w:rsidR="008C5A31" w:rsidRDefault="008C5A3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BD8FD" w14:textId="77777777" w:rsidR="008C5A31" w:rsidRDefault="008C5A3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0049A" w14:textId="77777777" w:rsidR="008C5A31" w:rsidRDefault="008C5A31">
            <w:pPr>
              <w:jc w:val="right"/>
            </w:pPr>
            <w:r>
              <w:rPr>
                <w:rFonts w:ascii="宋体" w:hAnsi="宋体" w:hint="eastAsia"/>
              </w:rPr>
              <w:t>-</w:t>
            </w:r>
          </w:p>
        </w:tc>
      </w:tr>
      <w:tr w:rsidR="00496D67" w14:paraId="0B8818DE" w14:textId="77777777">
        <w:trPr>
          <w:divId w:val="113903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FDE19" w14:textId="77777777" w:rsidR="008C5A31" w:rsidRDefault="008C5A3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8496A" w14:textId="77777777" w:rsidR="008C5A31" w:rsidRDefault="008C5A3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5234C" w14:textId="77777777" w:rsidR="008C5A31" w:rsidRDefault="008C5A31">
            <w:pPr>
              <w:jc w:val="right"/>
            </w:pPr>
            <w:r>
              <w:rPr>
                <w:rFonts w:ascii="宋体" w:hAnsi="宋体" w:hint="eastAsia"/>
              </w:rPr>
              <w:t>72,061.99</w:t>
            </w:r>
          </w:p>
        </w:tc>
      </w:tr>
    </w:tbl>
    <w:p w14:paraId="7F2EB298" w14:textId="77777777" w:rsidR="008C5A31" w:rsidRDefault="008C5A31">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3D866908" w14:textId="77777777" w:rsidR="008C5A31" w:rsidRDefault="008C5A31">
      <w:pPr>
        <w:spacing w:line="360" w:lineRule="auto"/>
        <w:ind w:firstLineChars="200" w:firstLine="420"/>
        <w:jc w:val="left"/>
        <w:divId w:val="1888837964"/>
      </w:pPr>
      <w:r>
        <w:rPr>
          <w:rFonts w:ascii="宋体" w:hAnsi="宋体" w:hint="eastAsia"/>
        </w:rPr>
        <w:t xml:space="preserve">本基金本报告期末未持有处于转股期的可转换债券。 </w:t>
      </w:r>
    </w:p>
    <w:p w14:paraId="68781C77" w14:textId="77777777" w:rsidR="008C5A31" w:rsidRDefault="008C5A31">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62E8E2C9" w14:textId="77777777" w:rsidR="008C5A31" w:rsidRDefault="008C5A31">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1B5125E5" w14:textId="77777777" w:rsidR="008C5A31" w:rsidRDefault="008C5A31">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132772BF" w14:textId="77777777" w:rsidR="008C5A31" w:rsidRDefault="008C5A31">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6B69D7D6" w14:textId="77777777" w:rsidR="008C5A31" w:rsidRDefault="008C5A31">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568A0D66" w14:textId="77777777" w:rsidR="008C5A31" w:rsidRDefault="008C5A31">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lastRenderedPageBreak/>
        <w:t>投资组合报告附注的其他文字描述部分</w:t>
      </w:r>
      <w:bookmarkEnd w:id="213"/>
      <w:bookmarkEnd w:id="214"/>
      <w:bookmarkEnd w:id="215"/>
      <w:bookmarkEnd w:id="216"/>
      <w:proofErr w:type="spellEnd"/>
      <w:r>
        <w:rPr>
          <w:rFonts w:hint="eastAsia"/>
          <w:sz w:val="21"/>
        </w:rPr>
        <w:t xml:space="preserve"> </w:t>
      </w:r>
    </w:p>
    <w:p w14:paraId="0930E830" w14:textId="77777777" w:rsidR="008C5A31" w:rsidRDefault="008C5A31">
      <w:pPr>
        <w:spacing w:line="360" w:lineRule="auto"/>
        <w:ind w:firstLineChars="200" w:firstLine="420"/>
        <w:jc w:val="left"/>
      </w:pPr>
      <w:r>
        <w:rPr>
          <w:rFonts w:ascii="宋体" w:hAnsi="宋体" w:hint="eastAsia"/>
        </w:rPr>
        <w:t>因四舍五入原因，投资组合报告中分项之和与合计可能存在尾差。</w:t>
      </w:r>
    </w:p>
    <w:p w14:paraId="34481CA8" w14:textId="77777777" w:rsidR="008C5A31" w:rsidRDefault="008C5A31">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4D801ABE" w14:textId="77777777" w:rsidR="008C5A31" w:rsidRDefault="008C5A31">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496D67" w14:paraId="3D3C90A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468ED054" w14:textId="77777777" w:rsidR="008C5A31" w:rsidRDefault="008C5A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DAF02B" w14:textId="77777777" w:rsidR="008C5A31" w:rsidRDefault="008C5A31">
            <w:pPr>
              <w:jc w:val="right"/>
            </w:pPr>
            <w:r>
              <w:rPr>
                <w:rFonts w:ascii="宋体" w:hAnsi="宋体" w:hint="eastAsia"/>
                <w:kern w:val="0"/>
                <w:szCs w:val="24"/>
                <w:lang w:eastAsia="zh-Hans"/>
              </w:rPr>
              <w:t>131,969,080.00</w:t>
            </w:r>
          </w:p>
        </w:tc>
      </w:tr>
      <w:tr w:rsidR="00496D67" w14:paraId="14FB521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86AB17" w14:textId="77777777" w:rsidR="008C5A31" w:rsidRDefault="008C5A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5E6952" w14:textId="77777777" w:rsidR="008C5A31" w:rsidRDefault="008C5A31">
            <w:pPr>
              <w:jc w:val="right"/>
            </w:pPr>
            <w:r>
              <w:rPr>
                <w:rFonts w:ascii="宋体" w:hAnsi="宋体" w:hint="eastAsia"/>
                <w:lang w:eastAsia="zh-Hans"/>
              </w:rPr>
              <w:t>56,000,000.00</w:t>
            </w:r>
          </w:p>
        </w:tc>
      </w:tr>
      <w:tr w:rsidR="00496D67" w14:paraId="1815E84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8849DE" w14:textId="77777777" w:rsidR="008C5A31" w:rsidRDefault="008C5A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868E81" w14:textId="77777777" w:rsidR="008C5A31" w:rsidRDefault="008C5A31">
            <w:pPr>
              <w:jc w:val="right"/>
            </w:pPr>
            <w:r>
              <w:rPr>
                <w:rFonts w:ascii="宋体" w:hAnsi="宋体" w:hint="eastAsia"/>
                <w:lang w:eastAsia="zh-Hans"/>
              </w:rPr>
              <w:t>24,000,000.00</w:t>
            </w:r>
          </w:p>
        </w:tc>
      </w:tr>
      <w:tr w:rsidR="00496D67" w14:paraId="5BC8573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7D61C9" w14:textId="77777777" w:rsidR="008C5A31" w:rsidRDefault="008C5A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1D1C02" w14:textId="77777777" w:rsidR="008C5A31" w:rsidRDefault="008C5A31">
            <w:pPr>
              <w:jc w:val="right"/>
            </w:pPr>
            <w:r>
              <w:rPr>
                <w:rFonts w:ascii="宋体" w:hAnsi="宋体" w:hint="eastAsia"/>
                <w:lang w:eastAsia="zh-Hans"/>
              </w:rPr>
              <w:t>-</w:t>
            </w:r>
          </w:p>
        </w:tc>
      </w:tr>
      <w:tr w:rsidR="00496D67" w14:paraId="47968D0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C68E55" w14:textId="77777777" w:rsidR="008C5A31" w:rsidRDefault="008C5A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4F12F1" w14:textId="77777777" w:rsidR="008C5A31" w:rsidRDefault="008C5A31">
            <w:pPr>
              <w:jc w:val="right"/>
            </w:pPr>
            <w:r>
              <w:rPr>
                <w:rFonts w:ascii="宋体" w:hAnsi="宋体" w:hint="eastAsia"/>
                <w:szCs w:val="24"/>
                <w:lang w:eastAsia="zh-Hans"/>
              </w:rPr>
              <w:t>163,969,080.00</w:t>
            </w:r>
            <w:r>
              <w:rPr>
                <w:rFonts w:ascii="宋体" w:hAnsi="宋体" w:hint="eastAsia"/>
                <w:lang w:eastAsia="zh-Hans"/>
              </w:rPr>
              <w:t xml:space="preserve"> </w:t>
            </w:r>
          </w:p>
        </w:tc>
      </w:tr>
    </w:tbl>
    <w:p w14:paraId="75AC371A" w14:textId="77777777" w:rsidR="008C5A31" w:rsidRDefault="008C5A31">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6ACAD52E" w14:textId="77777777" w:rsidR="008C5A31" w:rsidRDefault="008C5A31">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026145EB" w14:textId="77777777" w:rsidR="008C5A31" w:rsidRDefault="008C5A31">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68C3F3C1" w14:textId="77777777" w:rsidR="008C5A31" w:rsidRDefault="008C5A31">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406B1379" w14:textId="77777777" w:rsidR="008C5A31" w:rsidRDefault="008C5A31">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6D6EA10" w14:textId="77777777" w:rsidR="008C5A31" w:rsidRDefault="008C5A31">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5DDE513C" w14:textId="77777777" w:rsidR="008C5A31" w:rsidRDefault="008C5A31">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18"/>
    <w:bookmarkEnd w:id="31"/>
    <w:bookmarkEnd w:id="32"/>
    <w:p w14:paraId="34DF5A71" w14:textId="77777777" w:rsidR="008C5A31" w:rsidRDefault="008C5A31">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79D6D40" w14:textId="77777777" w:rsidR="008C5A31" w:rsidRDefault="008C5A31">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6D752609" w14:textId="77777777" w:rsidR="008C5A31" w:rsidRDefault="008C5A31">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424115CA" w14:textId="77777777" w:rsidR="008C5A31" w:rsidRDefault="008C5A31">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5EDBD39" w14:textId="77777777" w:rsidR="008C5A31" w:rsidRDefault="008C5A31">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lastRenderedPageBreak/>
        <w:t>存放地点</w:t>
      </w:r>
      <w:bookmarkEnd w:id="263"/>
      <w:bookmarkEnd w:id="264"/>
      <w:bookmarkEnd w:id="265"/>
      <w:bookmarkEnd w:id="266"/>
      <w:bookmarkEnd w:id="267"/>
      <w:proofErr w:type="spellEnd"/>
      <w:r>
        <w:rPr>
          <w:rFonts w:hAnsi="宋体" w:hint="eastAsia"/>
        </w:rPr>
        <w:t xml:space="preserve"> </w:t>
      </w:r>
    </w:p>
    <w:p w14:paraId="1C81218E" w14:textId="77777777" w:rsidR="008C5A31" w:rsidRDefault="008C5A31">
      <w:pPr>
        <w:spacing w:line="360" w:lineRule="auto"/>
        <w:ind w:firstLineChars="200" w:firstLine="420"/>
        <w:jc w:val="left"/>
      </w:pPr>
      <w:r>
        <w:rPr>
          <w:rFonts w:ascii="宋体" w:hAnsi="宋体" w:cs="宋体" w:hint="eastAsia"/>
          <w:color w:val="000000"/>
          <w:kern w:val="0"/>
        </w:rPr>
        <w:t>基金管理人或基金托管人住所。</w:t>
      </w:r>
    </w:p>
    <w:p w14:paraId="20F10301" w14:textId="77777777" w:rsidR="008C5A31" w:rsidRDefault="008C5A31">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590CFC9A" w14:textId="77777777" w:rsidR="008C5A31" w:rsidRDefault="008C5A3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62438579" w14:textId="77777777" w:rsidR="008C5A31" w:rsidRDefault="008C5A31">
      <w:pPr>
        <w:spacing w:line="360" w:lineRule="auto"/>
        <w:ind w:firstLineChars="600" w:firstLine="1687"/>
        <w:jc w:val="left"/>
      </w:pPr>
      <w:r>
        <w:rPr>
          <w:rFonts w:ascii="宋体" w:hAnsi="宋体" w:hint="eastAsia"/>
          <w:b/>
          <w:bCs/>
          <w:sz w:val="28"/>
          <w:szCs w:val="30"/>
        </w:rPr>
        <w:t xml:space="preserve">　 </w:t>
      </w:r>
    </w:p>
    <w:p w14:paraId="53645184" w14:textId="77777777" w:rsidR="008C5A31" w:rsidRDefault="008C5A31">
      <w:pPr>
        <w:spacing w:line="360" w:lineRule="auto"/>
        <w:ind w:firstLineChars="600" w:firstLine="1687"/>
        <w:jc w:val="left"/>
      </w:pPr>
      <w:r>
        <w:rPr>
          <w:rFonts w:ascii="宋体" w:hAnsi="宋体" w:hint="eastAsia"/>
          <w:b/>
          <w:bCs/>
          <w:sz w:val="28"/>
          <w:szCs w:val="30"/>
        </w:rPr>
        <w:t xml:space="preserve">　 </w:t>
      </w:r>
    </w:p>
    <w:p w14:paraId="4A9817A2" w14:textId="77777777" w:rsidR="008C5A31" w:rsidRDefault="008C5A31">
      <w:pPr>
        <w:spacing w:line="360" w:lineRule="auto"/>
        <w:ind w:firstLineChars="600" w:firstLine="1446"/>
        <w:jc w:val="right"/>
      </w:pPr>
      <w:r>
        <w:rPr>
          <w:rFonts w:ascii="宋体" w:hAnsi="宋体" w:hint="eastAsia"/>
          <w:b/>
          <w:bCs/>
          <w:sz w:val="24"/>
          <w:szCs w:val="24"/>
        </w:rPr>
        <w:t>摩根基金管理（中国）有限公司</w:t>
      </w:r>
    </w:p>
    <w:p w14:paraId="47CF8428" w14:textId="77777777" w:rsidR="008C5A31" w:rsidRDefault="008C5A31">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19"/>
    </w:p>
    <w:p w14:paraId="7973C853" w14:textId="77777777" w:rsidR="00A52F5A" w:rsidRDefault="00A52F5A">
      <w:pPr>
        <w:spacing w:line="360" w:lineRule="auto"/>
        <w:ind w:firstLineChars="600" w:firstLine="1260"/>
        <w:jc w:val="right"/>
        <w:rPr>
          <w:rFonts w:hint="eastAsia"/>
        </w:rPr>
      </w:pPr>
    </w:p>
    <w:sectPr w:rsidR="00A52F5A">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70D2" w14:textId="77777777" w:rsidR="00757890" w:rsidRDefault="00757890">
      <w:pPr>
        <w:rPr>
          <w:szCs w:val="21"/>
        </w:rPr>
      </w:pPr>
      <w:r>
        <w:rPr>
          <w:szCs w:val="21"/>
        </w:rPr>
        <w:separator/>
      </w:r>
      <w:r>
        <w:rPr>
          <w:szCs w:val="21"/>
        </w:rPr>
        <w:t xml:space="preserve"> </w:t>
      </w:r>
    </w:p>
  </w:endnote>
  <w:endnote w:type="continuationSeparator" w:id="0">
    <w:p w14:paraId="560F9268" w14:textId="77777777" w:rsidR="00757890" w:rsidRDefault="0075789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23CD" w14:textId="77777777" w:rsidR="008C5A31" w:rsidRDefault="008C5A3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2921" w14:textId="77777777" w:rsidR="00757890" w:rsidRDefault="00757890">
      <w:pPr>
        <w:rPr>
          <w:szCs w:val="21"/>
        </w:rPr>
      </w:pPr>
      <w:r>
        <w:rPr>
          <w:szCs w:val="21"/>
        </w:rPr>
        <w:separator/>
      </w:r>
      <w:r>
        <w:rPr>
          <w:szCs w:val="21"/>
        </w:rPr>
        <w:t xml:space="preserve"> </w:t>
      </w:r>
    </w:p>
  </w:footnote>
  <w:footnote w:type="continuationSeparator" w:id="0">
    <w:p w14:paraId="63678F27" w14:textId="77777777" w:rsidR="00757890" w:rsidRDefault="0075789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CC87" w14:textId="77777777" w:rsidR="008C5A31" w:rsidRDefault="008C5A31">
    <w:pPr>
      <w:pStyle w:val="a8"/>
      <w:jc w:val="right"/>
    </w:pPr>
    <w:r>
      <w:rPr>
        <w:rFonts w:ascii="宋体" w:hAnsi="宋体" w:hint="eastAsia"/>
      </w:rPr>
      <w:t>摩根中</w:t>
    </w:r>
    <w:proofErr w:type="gramStart"/>
    <w:r>
      <w:rPr>
        <w:rFonts w:ascii="宋体" w:hAnsi="宋体" w:hint="eastAsia"/>
      </w:rPr>
      <w:t>证创新药产业</w:t>
    </w:r>
    <w:proofErr w:type="gramEnd"/>
    <w:r>
      <w:rPr>
        <w:rFonts w:ascii="宋体" w:hAnsi="宋体" w:hint="eastAsia"/>
      </w:rPr>
      <w:t>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84428181">
    <w:abstractNumId w:val="0"/>
  </w:num>
  <w:num w:numId="2" w16cid:durableId="1139685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3F"/>
    <w:rsid w:val="00074D69"/>
    <w:rsid w:val="000C02A4"/>
    <w:rsid w:val="0039732F"/>
    <w:rsid w:val="0043063F"/>
    <w:rsid w:val="00496D67"/>
    <w:rsid w:val="00700D48"/>
    <w:rsid w:val="00757890"/>
    <w:rsid w:val="008C5A31"/>
    <w:rsid w:val="00A52F5A"/>
    <w:rsid w:val="00E7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84BA078"/>
  <w15:chartTrackingRefBased/>
  <w15:docId w15:val="{D2E0968D-43F5-4648-8D63-3885933E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328">
      <w:marLeft w:val="0"/>
      <w:marRight w:val="0"/>
      <w:marTop w:val="0"/>
      <w:marBottom w:val="0"/>
      <w:divBdr>
        <w:top w:val="none" w:sz="0" w:space="0" w:color="auto"/>
        <w:left w:val="none" w:sz="0" w:space="0" w:color="auto"/>
        <w:bottom w:val="none" w:sz="0" w:space="0" w:color="auto"/>
        <w:right w:val="none" w:sz="0" w:space="0" w:color="auto"/>
      </w:divBdr>
    </w:div>
    <w:div w:id="109252642">
      <w:marLeft w:val="0"/>
      <w:marRight w:val="0"/>
      <w:marTop w:val="0"/>
      <w:marBottom w:val="0"/>
      <w:divBdr>
        <w:top w:val="none" w:sz="0" w:space="0" w:color="auto"/>
        <w:left w:val="none" w:sz="0" w:space="0" w:color="auto"/>
        <w:bottom w:val="none" w:sz="0" w:space="0" w:color="auto"/>
        <w:right w:val="none" w:sz="0" w:space="0" w:color="auto"/>
      </w:divBdr>
    </w:div>
    <w:div w:id="306516399">
      <w:marLeft w:val="0"/>
      <w:marRight w:val="0"/>
      <w:marTop w:val="0"/>
      <w:marBottom w:val="0"/>
      <w:divBdr>
        <w:top w:val="none" w:sz="0" w:space="0" w:color="auto"/>
        <w:left w:val="none" w:sz="0" w:space="0" w:color="auto"/>
        <w:bottom w:val="none" w:sz="0" w:space="0" w:color="auto"/>
        <w:right w:val="none" w:sz="0" w:space="0" w:color="auto"/>
      </w:divBdr>
    </w:div>
    <w:div w:id="425928011">
      <w:marLeft w:val="0"/>
      <w:marRight w:val="0"/>
      <w:marTop w:val="0"/>
      <w:marBottom w:val="0"/>
      <w:divBdr>
        <w:top w:val="none" w:sz="0" w:space="0" w:color="auto"/>
        <w:left w:val="none" w:sz="0" w:space="0" w:color="auto"/>
        <w:bottom w:val="none" w:sz="0" w:space="0" w:color="auto"/>
        <w:right w:val="none" w:sz="0" w:space="0" w:color="auto"/>
      </w:divBdr>
    </w:div>
    <w:div w:id="592973186">
      <w:marLeft w:val="0"/>
      <w:marRight w:val="0"/>
      <w:marTop w:val="0"/>
      <w:marBottom w:val="0"/>
      <w:divBdr>
        <w:top w:val="none" w:sz="0" w:space="0" w:color="auto"/>
        <w:left w:val="none" w:sz="0" w:space="0" w:color="auto"/>
        <w:bottom w:val="none" w:sz="0" w:space="0" w:color="auto"/>
        <w:right w:val="none" w:sz="0" w:space="0" w:color="auto"/>
      </w:divBdr>
      <w:divsChild>
        <w:div w:id="1766150934">
          <w:marLeft w:val="0"/>
          <w:marRight w:val="0"/>
          <w:marTop w:val="0"/>
          <w:marBottom w:val="0"/>
          <w:divBdr>
            <w:top w:val="none" w:sz="0" w:space="0" w:color="auto"/>
            <w:left w:val="none" w:sz="0" w:space="0" w:color="auto"/>
            <w:bottom w:val="none" w:sz="0" w:space="0" w:color="auto"/>
            <w:right w:val="none" w:sz="0" w:space="0" w:color="auto"/>
          </w:divBdr>
        </w:div>
      </w:divsChild>
    </w:div>
    <w:div w:id="704872242">
      <w:marLeft w:val="0"/>
      <w:marRight w:val="0"/>
      <w:marTop w:val="0"/>
      <w:marBottom w:val="0"/>
      <w:divBdr>
        <w:top w:val="none" w:sz="0" w:space="0" w:color="auto"/>
        <w:left w:val="none" w:sz="0" w:space="0" w:color="auto"/>
        <w:bottom w:val="none" w:sz="0" w:space="0" w:color="auto"/>
        <w:right w:val="none" w:sz="0" w:space="0" w:color="auto"/>
      </w:divBdr>
    </w:div>
    <w:div w:id="777022257">
      <w:marLeft w:val="0"/>
      <w:marRight w:val="0"/>
      <w:marTop w:val="0"/>
      <w:marBottom w:val="0"/>
      <w:divBdr>
        <w:top w:val="none" w:sz="0" w:space="0" w:color="auto"/>
        <w:left w:val="none" w:sz="0" w:space="0" w:color="auto"/>
        <w:bottom w:val="none" w:sz="0" w:space="0" w:color="auto"/>
        <w:right w:val="none" w:sz="0" w:space="0" w:color="auto"/>
      </w:divBdr>
    </w:div>
    <w:div w:id="1004092746">
      <w:marLeft w:val="0"/>
      <w:marRight w:val="0"/>
      <w:marTop w:val="0"/>
      <w:marBottom w:val="0"/>
      <w:divBdr>
        <w:top w:val="none" w:sz="0" w:space="0" w:color="auto"/>
        <w:left w:val="none" w:sz="0" w:space="0" w:color="auto"/>
        <w:bottom w:val="none" w:sz="0" w:space="0" w:color="auto"/>
        <w:right w:val="none" w:sz="0" w:space="0" w:color="auto"/>
      </w:divBdr>
    </w:div>
    <w:div w:id="1139030173">
      <w:marLeft w:val="0"/>
      <w:marRight w:val="0"/>
      <w:marTop w:val="0"/>
      <w:marBottom w:val="0"/>
      <w:divBdr>
        <w:top w:val="none" w:sz="0" w:space="0" w:color="auto"/>
        <w:left w:val="none" w:sz="0" w:space="0" w:color="auto"/>
        <w:bottom w:val="none" w:sz="0" w:space="0" w:color="auto"/>
        <w:right w:val="none" w:sz="0" w:space="0" w:color="auto"/>
      </w:divBdr>
    </w:div>
    <w:div w:id="1284728600">
      <w:marLeft w:val="0"/>
      <w:marRight w:val="0"/>
      <w:marTop w:val="0"/>
      <w:marBottom w:val="0"/>
      <w:divBdr>
        <w:top w:val="none" w:sz="0" w:space="0" w:color="auto"/>
        <w:left w:val="none" w:sz="0" w:space="0" w:color="auto"/>
        <w:bottom w:val="none" w:sz="0" w:space="0" w:color="auto"/>
        <w:right w:val="none" w:sz="0" w:space="0" w:color="auto"/>
      </w:divBdr>
    </w:div>
    <w:div w:id="1303080778">
      <w:marLeft w:val="0"/>
      <w:marRight w:val="0"/>
      <w:marTop w:val="0"/>
      <w:marBottom w:val="0"/>
      <w:divBdr>
        <w:top w:val="none" w:sz="0" w:space="0" w:color="auto"/>
        <w:left w:val="none" w:sz="0" w:space="0" w:color="auto"/>
        <w:bottom w:val="none" w:sz="0" w:space="0" w:color="auto"/>
        <w:right w:val="none" w:sz="0" w:space="0" w:color="auto"/>
      </w:divBdr>
      <w:divsChild>
        <w:div w:id="842352200">
          <w:marLeft w:val="0"/>
          <w:marRight w:val="0"/>
          <w:marTop w:val="0"/>
          <w:marBottom w:val="0"/>
          <w:divBdr>
            <w:top w:val="none" w:sz="0" w:space="0" w:color="auto"/>
            <w:left w:val="none" w:sz="0" w:space="0" w:color="auto"/>
            <w:bottom w:val="none" w:sz="0" w:space="0" w:color="auto"/>
            <w:right w:val="none" w:sz="0" w:space="0" w:color="auto"/>
          </w:divBdr>
        </w:div>
      </w:divsChild>
    </w:div>
    <w:div w:id="1384256973">
      <w:marLeft w:val="0"/>
      <w:marRight w:val="0"/>
      <w:marTop w:val="0"/>
      <w:marBottom w:val="0"/>
      <w:divBdr>
        <w:top w:val="none" w:sz="0" w:space="0" w:color="auto"/>
        <w:left w:val="none" w:sz="0" w:space="0" w:color="auto"/>
        <w:bottom w:val="none" w:sz="0" w:space="0" w:color="auto"/>
        <w:right w:val="none" w:sz="0" w:space="0" w:color="auto"/>
      </w:divBdr>
    </w:div>
    <w:div w:id="1414011922">
      <w:marLeft w:val="0"/>
      <w:marRight w:val="0"/>
      <w:marTop w:val="0"/>
      <w:marBottom w:val="0"/>
      <w:divBdr>
        <w:top w:val="none" w:sz="0" w:space="0" w:color="auto"/>
        <w:left w:val="none" w:sz="0" w:space="0" w:color="auto"/>
        <w:bottom w:val="none" w:sz="0" w:space="0" w:color="auto"/>
        <w:right w:val="none" w:sz="0" w:space="0" w:color="auto"/>
      </w:divBdr>
    </w:div>
    <w:div w:id="1659073659">
      <w:marLeft w:val="0"/>
      <w:marRight w:val="0"/>
      <w:marTop w:val="0"/>
      <w:marBottom w:val="0"/>
      <w:divBdr>
        <w:top w:val="none" w:sz="0" w:space="0" w:color="auto"/>
        <w:left w:val="none" w:sz="0" w:space="0" w:color="auto"/>
        <w:bottom w:val="none" w:sz="0" w:space="0" w:color="auto"/>
        <w:right w:val="none" w:sz="0" w:space="0" w:color="auto"/>
      </w:divBdr>
    </w:div>
    <w:div w:id="1682003102">
      <w:marLeft w:val="0"/>
      <w:marRight w:val="0"/>
      <w:marTop w:val="0"/>
      <w:marBottom w:val="0"/>
      <w:divBdr>
        <w:top w:val="none" w:sz="0" w:space="0" w:color="auto"/>
        <w:left w:val="none" w:sz="0" w:space="0" w:color="auto"/>
        <w:bottom w:val="none" w:sz="0" w:space="0" w:color="auto"/>
        <w:right w:val="none" w:sz="0" w:space="0" w:color="auto"/>
      </w:divBdr>
    </w:div>
    <w:div w:id="18888379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2026-04-14T10:10:00Z</dcterms:created>
  <dcterms:modified xsi:type="dcterms:W3CDTF">2026-04-21T07:36:00Z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