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摩根中证创新药产业交易型开放式指数证券投资基金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2023</w:t>
      </w:r>
      <w:r w:rsidRPr="00473486">
        <w:rPr>
          <w:rFonts w:eastAsiaTheme="minorEastAsia"/>
          <w:b/>
          <w:color w:val="000000" w:themeColor="text1"/>
          <w:sz w:val="36"/>
          <w:szCs w:val="36"/>
        </w:rPr>
        <w:t>年第</w:t>
      </w:r>
      <w:r w:rsidRPr="00473486">
        <w:rPr>
          <w:rFonts w:eastAsiaTheme="minorEastAsia"/>
          <w:b/>
          <w:color w:val="000000" w:themeColor="text1"/>
          <w:sz w:val="36"/>
          <w:szCs w:val="36"/>
        </w:rPr>
        <w:t>4</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2023</w:t>
      </w:r>
      <w:r w:rsidRPr="00473486">
        <w:rPr>
          <w:rFonts w:eastAsiaTheme="minorEastAsia"/>
          <w:b/>
          <w:color w:val="000000" w:themeColor="text1"/>
          <w:sz w:val="36"/>
          <w:szCs w:val="36"/>
        </w:rPr>
        <w:t>年</w:t>
      </w:r>
      <w:r w:rsidRPr="00473486">
        <w:rPr>
          <w:rFonts w:eastAsiaTheme="minorEastAsia"/>
          <w:b/>
          <w:color w:val="000000" w:themeColor="text1"/>
          <w:sz w:val="36"/>
          <w:szCs w:val="36"/>
        </w:rPr>
        <w:t>12</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基金托管人：中信建投证券股份有限公司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报告送出日期：二〇二四年一月二十二日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基金托管人中信建投证券股份有限公司根据本基金合同规定，于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摩根中证创新药产业</w:t>
            </w:r>
            <w:r w:rsidRPr="00473486">
              <w:rPr>
                <w:rFonts w:eastAsiaTheme="minorEastAsia"/>
                <w:color w:val="000000" w:themeColor="text1"/>
                <w:kern w:val="0"/>
                <w:szCs w:val="21"/>
              </w:rPr>
              <w:t>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560900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560900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19</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235,969,080.00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本基金进行被动式指数化投资，紧密跟踪标的指数，追求跟踪偏离度和跟踪误差最小化。本基金力争日均跟踪偏离度的绝对值不超过</w:t>
            </w:r>
            <w:r w:rsidRPr="00473486">
              <w:rPr>
                <w:rFonts w:eastAsiaTheme="minorEastAsia"/>
                <w:color w:val="000000" w:themeColor="text1"/>
                <w:kern w:val="0"/>
                <w:szCs w:val="21"/>
              </w:rPr>
              <w:t>0.2%</w:t>
            </w:r>
            <w:r w:rsidRPr="00473486">
              <w:rPr>
                <w:rFonts w:eastAsiaTheme="minorEastAsia"/>
                <w:color w:val="000000" w:themeColor="text1"/>
                <w:kern w:val="0"/>
                <w:szCs w:val="21"/>
              </w:rPr>
              <w:t>，年跟踪误差不超过</w:t>
            </w:r>
            <w:r w:rsidRPr="00473486">
              <w:rPr>
                <w:rFonts w:eastAsiaTheme="minorEastAsia"/>
                <w:color w:val="000000" w:themeColor="text1"/>
                <w:kern w:val="0"/>
                <w:szCs w:val="21"/>
              </w:rPr>
              <w:t>2%</w:t>
            </w:r>
            <w:r w:rsidRPr="00473486">
              <w:rPr>
                <w:rFonts w:eastAsiaTheme="minorEastAsia"/>
                <w:color w:val="000000" w:themeColor="text1"/>
                <w:kern w:val="0"/>
                <w:szCs w:val="21"/>
              </w:rPr>
              <w:t>。</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w:t>
            </w:r>
            <w:r>
              <w:rPr>
                <w:rFonts w:eastAsiaTheme="minorEastAsia"/>
                <w:color w:val="000000" w:themeColor="text1"/>
                <w:kern w:val="0"/>
                <w:szCs w:val="21"/>
              </w:rPr>
              <w:t>指数中其他成份股或备选成份股进行替代，以期在规定的风险承受限度内，尽量缩小跟踪误差。</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w:t>
            </w:r>
            <w:r>
              <w:rPr>
                <w:rFonts w:eastAsiaTheme="minorEastAsia"/>
                <w:color w:val="000000" w:themeColor="text1"/>
                <w:kern w:val="0"/>
                <w:szCs w:val="21"/>
              </w:rPr>
              <w:lastRenderedPageBreak/>
              <w:t>整，保证基金正常运行，从而有效跟踪标的指数。</w:t>
            </w:r>
          </w:p>
          <w:p w:rsidR="00DA795E" w:rsidRDefault="00AE1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本基金的业绩比较基准为标的指数，即中证创新药产业指数收益率。本基金标的指数变更的，相应更换基金名称和业绩比较基准，并在履行适当程序后及时公告。</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中信建投证券股份有限公司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AE19D4" w:rsidRPr="00473486" w:rsidTr="00AE19D4">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AE19D4" w:rsidRPr="00473486" w:rsidTr="00AE19D4">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-3,112,874.44</w:t>
            </w:r>
          </w:p>
        </w:tc>
      </w:tr>
      <w:tr w:rsidR="00AE19D4" w:rsidRPr="00473486" w:rsidTr="00AE19D4">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-4,741,296.11</w:t>
            </w:r>
          </w:p>
        </w:tc>
      </w:tr>
      <w:tr w:rsidR="00AE19D4" w:rsidRPr="00473486" w:rsidTr="00AE19D4">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-0.0205</w:t>
            </w:r>
          </w:p>
        </w:tc>
      </w:tr>
      <w:tr w:rsidR="00AE19D4" w:rsidRPr="00473486" w:rsidTr="00AE19D4">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209,690,843.38</w:t>
            </w:r>
          </w:p>
        </w:tc>
      </w:tr>
      <w:tr w:rsidR="00AE19D4" w:rsidRPr="00473486" w:rsidTr="00AE19D4">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0.8886</w:t>
            </w:r>
          </w:p>
        </w:tc>
      </w:tr>
    </w:tbl>
    <w:p w:rsidR="00DA795E" w:rsidRDefault="00AE19D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DA795E">
        <w:tc>
          <w:tcPr>
            <w:tcW w:w="1395" w:type="dxa"/>
            <w:vAlign w:val="center"/>
          </w:tcPr>
          <w:p w:rsidR="00DA795E" w:rsidRDefault="00AE19D4">
            <w:pPr>
              <w:jc w:val="left"/>
            </w:pPr>
            <w:r>
              <w:rPr>
                <w:rFonts w:eastAsiaTheme="minorEastAsia"/>
                <w:color w:val="000000" w:themeColor="text1"/>
                <w:szCs w:val="21"/>
              </w:rPr>
              <w:t>过去三个月</w:t>
            </w:r>
          </w:p>
        </w:tc>
        <w:tc>
          <w:tcPr>
            <w:tcW w:w="1092" w:type="dxa"/>
            <w:vAlign w:val="center"/>
          </w:tcPr>
          <w:p w:rsidR="00DA795E" w:rsidRDefault="00AE19D4">
            <w:pPr>
              <w:jc w:val="center"/>
            </w:pPr>
            <w:r>
              <w:rPr>
                <w:rFonts w:eastAsiaTheme="minorEastAsia"/>
                <w:color w:val="000000" w:themeColor="text1"/>
                <w:szCs w:val="21"/>
              </w:rPr>
              <w:t>-2.09%</w:t>
            </w:r>
          </w:p>
        </w:tc>
        <w:tc>
          <w:tcPr>
            <w:tcW w:w="1161" w:type="dxa"/>
            <w:vAlign w:val="center"/>
          </w:tcPr>
          <w:p w:rsidR="00DA795E" w:rsidRDefault="00AE19D4">
            <w:pPr>
              <w:jc w:val="center"/>
            </w:pPr>
            <w:r>
              <w:rPr>
                <w:rFonts w:eastAsiaTheme="minorEastAsia"/>
                <w:color w:val="000000" w:themeColor="text1"/>
                <w:szCs w:val="21"/>
              </w:rPr>
              <w:t>1.40%</w:t>
            </w:r>
          </w:p>
        </w:tc>
        <w:tc>
          <w:tcPr>
            <w:tcW w:w="1181" w:type="dxa"/>
            <w:vAlign w:val="center"/>
          </w:tcPr>
          <w:p w:rsidR="00DA795E" w:rsidRDefault="00AE19D4">
            <w:pPr>
              <w:jc w:val="center"/>
            </w:pPr>
            <w:r>
              <w:rPr>
                <w:rFonts w:eastAsiaTheme="minorEastAsia"/>
                <w:color w:val="000000" w:themeColor="text1"/>
                <w:szCs w:val="21"/>
              </w:rPr>
              <w:t>-1.96%</w:t>
            </w:r>
          </w:p>
        </w:tc>
        <w:tc>
          <w:tcPr>
            <w:tcW w:w="1188" w:type="dxa"/>
            <w:vAlign w:val="center"/>
          </w:tcPr>
          <w:p w:rsidR="00DA795E" w:rsidRDefault="00AE19D4">
            <w:pPr>
              <w:jc w:val="center"/>
            </w:pPr>
            <w:r>
              <w:rPr>
                <w:rFonts w:eastAsiaTheme="minorEastAsia"/>
                <w:color w:val="000000" w:themeColor="text1"/>
                <w:szCs w:val="21"/>
              </w:rPr>
              <w:t>1.40%</w:t>
            </w:r>
          </w:p>
        </w:tc>
        <w:tc>
          <w:tcPr>
            <w:tcW w:w="1199" w:type="dxa"/>
            <w:vAlign w:val="center"/>
          </w:tcPr>
          <w:p w:rsidR="00DA795E" w:rsidRDefault="00AE19D4">
            <w:pPr>
              <w:jc w:val="center"/>
            </w:pPr>
            <w:r>
              <w:rPr>
                <w:rFonts w:eastAsiaTheme="minorEastAsia"/>
                <w:color w:val="000000" w:themeColor="text1"/>
                <w:szCs w:val="21"/>
              </w:rPr>
              <w:t>-0.13%</w:t>
            </w:r>
          </w:p>
        </w:tc>
        <w:tc>
          <w:tcPr>
            <w:tcW w:w="1204" w:type="dxa"/>
            <w:vAlign w:val="center"/>
          </w:tcPr>
          <w:p w:rsidR="00DA795E" w:rsidRDefault="00AE19D4">
            <w:pPr>
              <w:jc w:val="center"/>
            </w:pPr>
            <w:r>
              <w:rPr>
                <w:rFonts w:eastAsiaTheme="minorEastAsia"/>
                <w:color w:val="000000" w:themeColor="text1"/>
                <w:szCs w:val="21"/>
              </w:rPr>
              <w:t>0.00%</w:t>
            </w:r>
          </w:p>
        </w:tc>
      </w:tr>
      <w:tr w:rsidR="00DA795E">
        <w:tc>
          <w:tcPr>
            <w:tcW w:w="1395" w:type="dxa"/>
            <w:vAlign w:val="center"/>
          </w:tcPr>
          <w:p w:rsidR="00DA795E" w:rsidRDefault="00AE19D4">
            <w:pPr>
              <w:jc w:val="left"/>
            </w:pPr>
            <w:r>
              <w:rPr>
                <w:rFonts w:eastAsiaTheme="minorEastAsia"/>
                <w:color w:val="000000" w:themeColor="text1"/>
                <w:szCs w:val="21"/>
              </w:rPr>
              <w:t>过去六个月</w:t>
            </w:r>
          </w:p>
        </w:tc>
        <w:tc>
          <w:tcPr>
            <w:tcW w:w="1092" w:type="dxa"/>
            <w:vAlign w:val="center"/>
          </w:tcPr>
          <w:p w:rsidR="00DA795E" w:rsidRDefault="00AE19D4">
            <w:pPr>
              <w:jc w:val="center"/>
            </w:pPr>
            <w:r>
              <w:rPr>
                <w:rFonts w:eastAsiaTheme="minorEastAsia"/>
                <w:color w:val="000000" w:themeColor="text1"/>
                <w:szCs w:val="21"/>
              </w:rPr>
              <w:t>0.86%</w:t>
            </w:r>
          </w:p>
        </w:tc>
        <w:tc>
          <w:tcPr>
            <w:tcW w:w="1161" w:type="dxa"/>
            <w:vAlign w:val="center"/>
          </w:tcPr>
          <w:p w:rsidR="00DA795E" w:rsidRDefault="00AE19D4">
            <w:pPr>
              <w:jc w:val="center"/>
            </w:pPr>
            <w:r>
              <w:rPr>
                <w:rFonts w:eastAsiaTheme="minorEastAsia"/>
                <w:color w:val="000000" w:themeColor="text1"/>
                <w:szCs w:val="21"/>
              </w:rPr>
              <w:t>1.40%</w:t>
            </w:r>
          </w:p>
        </w:tc>
        <w:tc>
          <w:tcPr>
            <w:tcW w:w="1181" w:type="dxa"/>
            <w:vAlign w:val="center"/>
          </w:tcPr>
          <w:p w:rsidR="00DA795E" w:rsidRDefault="00AE19D4">
            <w:pPr>
              <w:jc w:val="center"/>
            </w:pPr>
            <w:r>
              <w:rPr>
                <w:rFonts w:eastAsiaTheme="minorEastAsia"/>
                <w:color w:val="000000" w:themeColor="text1"/>
                <w:szCs w:val="21"/>
              </w:rPr>
              <w:t>0.72%</w:t>
            </w:r>
          </w:p>
        </w:tc>
        <w:tc>
          <w:tcPr>
            <w:tcW w:w="1188" w:type="dxa"/>
            <w:vAlign w:val="center"/>
          </w:tcPr>
          <w:p w:rsidR="00DA795E" w:rsidRDefault="00AE19D4">
            <w:pPr>
              <w:jc w:val="center"/>
            </w:pPr>
            <w:r>
              <w:rPr>
                <w:rFonts w:eastAsiaTheme="minorEastAsia"/>
                <w:color w:val="000000" w:themeColor="text1"/>
                <w:szCs w:val="21"/>
              </w:rPr>
              <w:t>1.40%</w:t>
            </w:r>
          </w:p>
        </w:tc>
        <w:tc>
          <w:tcPr>
            <w:tcW w:w="1199" w:type="dxa"/>
            <w:vAlign w:val="center"/>
          </w:tcPr>
          <w:p w:rsidR="00DA795E" w:rsidRDefault="00AE19D4">
            <w:pPr>
              <w:jc w:val="center"/>
            </w:pPr>
            <w:r>
              <w:rPr>
                <w:rFonts w:eastAsiaTheme="minorEastAsia"/>
                <w:color w:val="000000" w:themeColor="text1"/>
                <w:szCs w:val="21"/>
              </w:rPr>
              <w:t>0.14%</w:t>
            </w:r>
          </w:p>
        </w:tc>
        <w:tc>
          <w:tcPr>
            <w:tcW w:w="1204" w:type="dxa"/>
            <w:vAlign w:val="center"/>
          </w:tcPr>
          <w:p w:rsidR="00DA795E" w:rsidRDefault="00AE19D4">
            <w:pPr>
              <w:jc w:val="center"/>
            </w:pPr>
            <w:r>
              <w:rPr>
                <w:rFonts w:eastAsiaTheme="minorEastAsia"/>
                <w:color w:val="000000" w:themeColor="text1"/>
                <w:szCs w:val="21"/>
              </w:rPr>
              <w:t>0.00%</w:t>
            </w:r>
          </w:p>
        </w:tc>
      </w:tr>
      <w:tr w:rsidR="00DA795E">
        <w:tc>
          <w:tcPr>
            <w:tcW w:w="1395" w:type="dxa"/>
            <w:vAlign w:val="center"/>
          </w:tcPr>
          <w:p w:rsidR="00DA795E" w:rsidRDefault="00AE19D4">
            <w:pPr>
              <w:jc w:val="left"/>
            </w:pPr>
            <w:r>
              <w:rPr>
                <w:rFonts w:eastAsiaTheme="minorEastAsia"/>
                <w:color w:val="000000" w:themeColor="text1"/>
                <w:szCs w:val="21"/>
              </w:rPr>
              <w:t>过去一年</w:t>
            </w:r>
          </w:p>
        </w:tc>
        <w:tc>
          <w:tcPr>
            <w:tcW w:w="1092" w:type="dxa"/>
            <w:vAlign w:val="center"/>
          </w:tcPr>
          <w:p w:rsidR="00DA795E" w:rsidRDefault="00AE19D4">
            <w:pPr>
              <w:jc w:val="center"/>
            </w:pPr>
            <w:r>
              <w:rPr>
                <w:rFonts w:eastAsiaTheme="minorEastAsia"/>
                <w:color w:val="000000" w:themeColor="text1"/>
                <w:szCs w:val="21"/>
              </w:rPr>
              <w:t>-11.79%</w:t>
            </w:r>
          </w:p>
        </w:tc>
        <w:tc>
          <w:tcPr>
            <w:tcW w:w="1161" w:type="dxa"/>
            <w:vAlign w:val="center"/>
          </w:tcPr>
          <w:p w:rsidR="00DA795E" w:rsidRDefault="00AE19D4">
            <w:pPr>
              <w:jc w:val="center"/>
            </w:pPr>
            <w:r>
              <w:rPr>
                <w:rFonts w:eastAsiaTheme="minorEastAsia"/>
                <w:color w:val="000000" w:themeColor="text1"/>
                <w:szCs w:val="21"/>
              </w:rPr>
              <w:t>1.35%</w:t>
            </w:r>
          </w:p>
        </w:tc>
        <w:tc>
          <w:tcPr>
            <w:tcW w:w="1181" w:type="dxa"/>
            <w:vAlign w:val="center"/>
          </w:tcPr>
          <w:p w:rsidR="00DA795E" w:rsidRDefault="00AE19D4">
            <w:pPr>
              <w:jc w:val="center"/>
            </w:pPr>
            <w:r>
              <w:rPr>
                <w:rFonts w:eastAsiaTheme="minorEastAsia"/>
                <w:color w:val="000000" w:themeColor="text1"/>
                <w:szCs w:val="21"/>
              </w:rPr>
              <w:t>-11.91%</w:t>
            </w:r>
          </w:p>
        </w:tc>
        <w:tc>
          <w:tcPr>
            <w:tcW w:w="1188" w:type="dxa"/>
            <w:vAlign w:val="center"/>
          </w:tcPr>
          <w:p w:rsidR="00DA795E" w:rsidRDefault="00AE19D4">
            <w:pPr>
              <w:jc w:val="center"/>
            </w:pPr>
            <w:r>
              <w:rPr>
                <w:rFonts w:eastAsiaTheme="minorEastAsia"/>
                <w:color w:val="000000" w:themeColor="text1"/>
                <w:szCs w:val="21"/>
              </w:rPr>
              <w:t>1.36%</w:t>
            </w:r>
          </w:p>
        </w:tc>
        <w:tc>
          <w:tcPr>
            <w:tcW w:w="1199" w:type="dxa"/>
            <w:vAlign w:val="center"/>
          </w:tcPr>
          <w:p w:rsidR="00DA795E" w:rsidRDefault="00AE19D4">
            <w:pPr>
              <w:jc w:val="center"/>
            </w:pPr>
            <w:r>
              <w:rPr>
                <w:rFonts w:eastAsiaTheme="minorEastAsia"/>
                <w:color w:val="000000" w:themeColor="text1"/>
                <w:szCs w:val="21"/>
              </w:rPr>
              <w:t>0.12%</w:t>
            </w:r>
          </w:p>
        </w:tc>
        <w:tc>
          <w:tcPr>
            <w:tcW w:w="1204" w:type="dxa"/>
            <w:vAlign w:val="center"/>
          </w:tcPr>
          <w:p w:rsidR="00DA795E" w:rsidRDefault="00AE19D4">
            <w:pPr>
              <w:jc w:val="center"/>
            </w:pPr>
            <w:r>
              <w:rPr>
                <w:rFonts w:eastAsiaTheme="minorEastAsia"/>
                <w:color w:val="000000" w:themeColor="text1"/>
                <w:szCs w:val="21"/>
              </w:rPr>
              <w:t>-0.01%</w:t>
            </w:r>
          </w:p>
        </w:tc>
      </w:tr>
      <w:tr w:rsidR="00DA795E">
        <w:tc>
          <w:tcPr>
            <w:tcW w:w="1395" w:type="dxa"/>
            <w:vAlign w:val="center"/>
          </w:tcPr>
          <w:p w:rsidR="00DA795E" w:rsidRDefault="00AE19D4">
            <w:pPr>
              <w:jc w:val="left"/>
            </w:pPr>
            <w:r>
              <w:rPr>
                <w:rFonts w:eastAsiaTheme="minorEastAsia"/>
                <w:color w:val="000000" w:themeColor="text1"/>
                <w:szCs w:val="21"/>
              </w:rPr>
              <w:t>过去三年</w:t>
            </w:r>
          </w:p>
        </w:tc>
        <w:tc>
          <w:tcPr>
            <w:tcW w:w="1092" w:type="dxa"/>
            <w:vAlign w:val="center"/>
          </w:tcPr>
          <w:p w:rsidR="00DA795E" w:rsidRDefault="00AE19D4">
            <w:pPr>
              <w:jc w:val="center"/>
            </w:pPr>
            <w:r>
              <w:rPr>
                <w:rFonts w:eastAsiaTheme="minorEastAsia"/>
                <w:color w:val="000000" w:themeColor="text1"/>
                <w:szCs w:val="21"/>
              </w:rPr>
              <w:t>-</w:t>
            </w:r>
          </w:p>
        </w:tc>
        <w:tc>
          <w:tcPr>
            <w:tcW w:w="1161" w:type="dxa"/>
            <w:vAlign w:val="center"/>
          </w:tcPr>
          <w:p w:rsidR="00DA795E" w:rsidRDefault="00AE19D4">
            <w:pPr>
              <w:jc w:val="center"/>
            </w:pPr>
            <w:r>
              <w:rPr>
                <w:rFonts w:eastAsiaTheme="minorEastAsia"/>
                <w:color w:val="000000" w:themeColor="text1"/>
                <w:szCs w:val="21"/>
              </w:rPr>
              <w:t>-</w:t>
            </w:r>
          </w:p>
        </w:tc>
        <w:tc>
          <w:tcPr>
            <w:tcW w:w="1181" w:type="dxa"/>
            <w:vAlign w:val="center"/>
          </w:tcPr>
          <w:p w:rsidR="00DA795E" w:rsidRDefault="00AE19D4">
            <w:pPr>
              <w:jc w:val="center"/>
            </w:pPr>
            <w:r>
              <w:rPr>
                <w:rFonts w:eastAsiaTheme="minorEastAsia"/>
                <w:color w:val="000000" w:themeColor="text1"/>
                <w:szCs w:val="21"/>
              </w:rPr>
              <w:t>-</w:t>
            </w:r>
          </w:p>
        </w:tc>
        <w:tc>
          <w:tcPr>
            <w:tcW w:w="1188" w:type="dxa"/>
            <w:vAlign w:val="center"/>
          </w:tcPr>
          <w:p w:rsidR="00DA795E" w:rsidRDefault="00AE19D4">
            <w:pPr>
              <w:jc w:val="center"/>
            </w:pPr>
            <w:r>
              <w:rPr>
                <w:rFonts w:eastAsiaTheme="minorEastAsia"/>
                <w:color w:val="000000" w:themeColor="text1"/>
                <w:szCs w:val="21"/>
              </w:rPr>
              <w:t>-</w:t>
            </w:r>
          </w:p>
        </w:tc>
        <w:tc>
          <w:tcPr>
            <w:tcW w:w="1199" w:type="dxa"/>
            <w:vAlign w:val="center"/>
          </w:tcPr>
          <w:p w:rsidR="00DA795E" w:rsidRDefault="00AE19D4">
            <w:pPr>
              <w:jc w:val="center"/>
            </w:pPr>
            <w:r>
              <w:rPr>
                <w:rFonts w:eastAsiaTheme="minorEastAsia"/>
                <w:color w:val="000000" w:themeColor="text1"/>
                <w:szCs w:val="21"/>
              </w:rPr>
              <w:t>-</w:t>
            </w:r>
          </w:p>
        </w:tc>
        <w:tc>
          <w:tcPr>
            <w:tcW w:w="1204" w:type="dxa"/>
            <w:vAlign w:val="center"/>
          </w:tcPr>
          <w:p w:rsidR="00DA795E" w:rsidRDefault="00AE19D4">
            <w:pPr>
              <w:jc w:val="center"/>
            </w:pPr>
            <w:r>
              <w:rPr>
                <w:rFonts w:eastAsiaTheme="minorEastAsia"/>
                <w:color w:val="000000" w:themeColor="text1"/>
                <w:szCs w:val="21"/>
              </w:rPr>
              <w:t>-</w:t>
            </w:r>
          </w:p>
        </w:tc>
      </w:tr>
      <w:tr w:rsidR="00DA795E">
        <w:tc>
          <w:tcPr>
            <w:tcW w:w="1395" w:type="dxa"/>
            <w:vAlign w:val="center"/>
          </w:tcPr>
          <w:p w:rsidR="00DA795E" w:rsidRDefault="00AE19D4">
            <w:pPr>
              <w:jc w:val="left"/>
            </w:pPr>
            <w:r>
              <w:rPr>
                <w:rFonts w:eastAsiaTheme="minorEastAsia"/>
                <w:color w:val="000000" w:themeColor="text1"/>
                <w:szCs w:val="21"/>
              </w:rPr>
              <w:t>过去五年</w:t>
            </w:r>
          </w:p>
        </w:tc>
        <w:tc>
          <w:tcPr>
            <w:tcW w:w="1092" w:type="dxa"/>
            <w:vAlign w:val="center"/>
          </w:tcPr>
          <w:p w:rsidR="00DA795E" w:rsidRDefault="00AE19D4">
            <w:pPr>
              <w:jc w:val="center"/>
            </w:pPr>
            <w:r>
              <w:rPr>
                <w:rFonts w:eastAsiaTheme="minorEastAsia"/>
                <w:color w:val="000000" w:themeColor="text1"/>
                <w:szCs w:val="21"/>
              </w:rPr>
              <w:t>-</w:t>
            </w:r>
          </w:p>
        </w:tc>
        <w:tc>
          <w:tcPr>
            <w:tcW w:w="1161" w:type="dxa"/>
            <w:vAlign w:val="center"/>
          </w:tcPr>
          <w:p w:rsidR="00DA795E" w:rsidRDefault="00AE19D4">
            <w:pPr>
              <w:jc w:val="center"/>
            </w:pPr>
            <w:r>
              <w:rPr>
                <w:rFonts w:eastAsiaTheme="minorEastAsia"/>
                <w:color w:val="000000" w:themeColor="text1"/>
                <w:szCs w:val="21"/>
              </w:rPr>
              <w:t>-</w:t>
            </w:r>
          </w:p>
        </w:tc>
        <w:tc>
          <w:tcPr>
            <w:tcW w:w="1181" w:type="dxa"/>
            <w:vAlign w:val="center"/>
          </w:tcPr>
          <w:p w:rsidR="00DA795E" w:rsidRDefault="00AE19D4">
            <w:pPr>
              <w:jc w:val="center"/>
            </w:pPr>
            <w:r>
              <w:rPr>
                <w:rFonts w:eastAsiaTheme="minorEastAsia"/>
                <w:color w:val="000000" w:themeColor="text1"/>
                <w:szCs w:val="21"/>
              </w:rPr>
              <w:t>-</w:t>
            </w:r>
          </w:p>
        </w:tc>
        <w:tc>
          <w:tcPr>
            <w:tcW w:w="1188" w:type="dxa"/>
            <w:vAlign w:val="center"/>
          </w:tcPr>
          <w:p w:rsidR="00DA795E" w:rsidRDefault="00AE19D4">
            <w:pPr>
              <w:jc w:val="center"/>
            </w:pPr>
            <w:r>
              <w:rPr>
                <w:rFonts w:eastAsiaTheme="minorEastAsia"/>
                <w:color w:val="000000" w:themeColor="text1"/>
                <w:szCs w:val="21"/>
              </w:rPr>
              <w:t>-</w:t>
            </w:r>
          </w:p>
        </w:tc>
        <w:tc>
          <w:tcPr>
            <w:tcW w:w="1199" w:type="dxa"/>
            <w:vAlign w:val="center"/>
          </w:tcPr>
          <w:p w:rsidR="00DA795E" w:rsidRDefault="00AE19D4">
            <w:pPr>
              <w:jc w:val="center"/>
            </w:pPr>
            <w:r>
              <w:rPr>
                <w:rFonts w:eastAsiaTheme="minorEastAsia"/>
                <w:color w:val="000000" w:themeColor="text1"/>
                <w:szCs w:val="21"/>
              </w:rPr>
              <w:t>-</w:t>
            </w:r>
          </w:p>
        </w:tc>
        <w:tc>
          <w:tcPr>
            <w:tcW w:w="1204" w:type="dxa"/>
            <w:vAlign w:val="center"/>
          </w:tcPr>
          <w:p w:rsidR="00DA795E" w:rsidRDefault="00AE19D4">
            <w:pPr>
              <w:jc w:val="center"/>
            </w:pPr>
            <w:r>
              <w:rPr>
                <w:rFonts w:eastAsiaTheme="minorEastAsia"/>
                <w:color w:val="000000" w:themeColor="text1"/>
                <w:szCs w:val="21"/>
              </w:rPr>
              <w:t>-</w:t>
            </w:r>
          </w:p>
        </w:tc>
      </w:tr>
      <w:tr w:rsidR="00DA795E">
        <w:tc>
          <w:tcPr>
            <w:tcW w:w="1395" w:type="dxa"/>
            <w:vAlign w:val="center"/>
          </w:tcPr>
          <w:p w:rsidR="00DA795E" w:rsidRDefault="00AE19D4">
            <w:pPr>
              <w:jc w:val="left"/>
            </w:pPr>
            <w:r>
              <w:rPr>
                <w:rFonts w:eastAsiaTheme="minorEastAsia"/>
                <w:color w:val="000000" w:themeColor="text1"/>
                <w:szCs w:val="21"/>
              </w:rPr>
              <w:t>自基金合同生效起至今</w:t>
            </w:r>
          </w:p>
        </w:tc>
        <w:tc>
          <w:tcPr>
            <w:tcW w:w="1092" w:type="dxa"/>
            <w:vAlign w:val="center"/>
          </w:tcPr>
          <w:p w:rsidR="00DA795E" w:rsidRDefault="00AE19D4">
            <w:pPr>
              <w:jc w:val="center"/>
            </w:pPr>
            <w:r>
              <w:rPr>
                <w:rFonts w:eastAsiaTheme="minorEastAsia"/>
                <w:color w:val="000000" w:themeColor="text1"/>
                <w:szCs w:val="21"/>
              </w:rPr>
              <w:t>-11.14%</w:t>
            </w:r>
          </w:p>
        </w:tc>
        <w:tc>
          <w:tcPr>
            <w:tcW w:w="1161" w:type="dxa"/>
            <w:vAlign w:val="center"/>
          </w:tcPr>
          <w:p w:rsidR="00DA795E" w:rsidRDefault="00AE19D4">
            <w:pPr>
              <w:jc w:val="center"/>
            </w:pPr>
            <w:r>
              <w:rPr>
                <w:rFonts w:eastAsiaTheme="minorEastAsia"/>
                <w:color w:val="000000" w:themeColor="text1"/>
                <w:szCs w:val="21"/>
              </w:rPr>
              <w:t>1.53%</w:t>
            </w:r>
          </w:p>
        </w:tc>
        <w:tc>
          <w:tcPr>
            <w:tcW w:w="1181" w:type="dxa"/>
            <w:vAlign w:val="center"/>
          </w:tcPr>
          <w:p w:rsidR="00DA795E" w:rsidRDefault="00AE19D4">
            <w:pPr>
              <w:jc w:val="center"/>
            </w:pPr>
            <w:r>
              <w:rPr>
                <w:rFonts w:eastAsiaTheme="minorEastAsia"/>
                <w:color w:val="000000" w:themeColor="text1"/>
                <w:szCs w:val="21"/>
              </w:rPr>
              <w:t>-12.49%</w:t>
            </w:r>
          </w:p>
        </w:tc>
        <w:tc>
          <w:tcPr>
            <w:tcW w:w="1188" w:type="dxa"/>
            <w:vAlign w:val="center"/>
          </w:tcPr>
          <w:p w:rsidR="00DA795E" w:rsidRDefault="00AE19D4">
            <w:pPr>
              <w:jc w:val="center"/>
            </w:pPr>
            <w:r>
              <w:rPr>
                <w:rFonts w:eastAsiaTheme="minorEastAsia"/>
                <w:color w:val="000000" w:themeColor="text1"/>
                <w:szCs w:val="21"/>
              </w:rPr>
              <w:t>1.60%</w:t>
            </w:r>
          </w:p>
        </w:tc>
        <w:tc>
          <w:tcPr>
            <w:tcW w:w="1199" w:type="dxa"/>
            <w:vAlign w:val="center"/>
          </w:tcPr>
          <w:p w:rsidR="00DA795E" w:rsidRDefault="00AE19D4">
            <w:pPr>
              <w:jc w:val="center"/>
            </w:pPr>
            <w:r>
              <w:rPr>
                <w:rFonts w:eastAsiaTheme="minorEastAsia"/>
                <w:color w:val="000000" w:themeColor="text1"/>
                <w:szCs w:val="21"/>
              </w:rPr>
              <w:t>1.35%</w:t>
            </w:r>
          </w:p>
        </w:tc>
        <w:tc>
          <w:tcPr>
            <w:tcW w:w="1204" w:type="dxa"/>
            <w:vAlign w:val="center"/>
          </w:tcPr>
          <w:p w:rsidR="00DA795E" w:rsidRDefault="00AE19D4">
            <w:pPr>
              <w:jc w:val="center"/>
            </w:pPr>
            <w:r>
              <w:rPr>
                <w:rFonts w:eastAsiaTheme="minorEastAsia"/>
                <w:color w:val="000000" w:themeColor="text1"/>
                <w:szCs w:val="21"/>
              </w:rPr>
              <w:t>-0.07%</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摩根中证创新药产业交易型开放式指数证券投资基金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19</w:t>
      </w:r>
      <w:r w:rsidRPr="00473486">
        <w:rPr>
          <w:rFonts w:eastAsiaTheme="minorEastAsia"/>
          <w:color w:val="000000" w:themeColor="text1"/>
          <w:kern w:val="0"/>
          <w:szCs w:val="21"/>
        </w:rPr>
        <w:t>日至</w:t>
      </w: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lastRenderedPageBreak/>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DA795E" w:rsidRDefault="00AE19D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6</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DA795E">
        <w:tc>
          <w:tcPr>
            <w:tcW w:w="851" w:type="dxa"/>
            <w:vAlign w:val="center"/>
          </w:tcPr>
          <w:p w:rsidR="00DA795E" w:rsidRDefault="00AE19D4">
            <w:pPr>
              <w:jc w:val="center"/>
            </w:pPr>
            <w:r>
              <w:rPr>
                <w:rFonts w:eastAsiaTheme="minorEastAsia"/>
                <w:color w:val="000000" w:themeColor="text1"/>
                <w:szCs w:val="21"/>
              </w:rPr>
              <w:t>胡迪</w:t>
            </w:r>
          </w:p>
        </w:tc>
        <w:tc>
          <w:tcPr>
            <w:tcW w:w="850" w:type="dxa"/>
            <w:vAlign w:val="center"/>
          </w:tcPr>
          <w:p w:rsidR="00DA795E" w:rsidRDefault="00AE19D4">
            <w:pPr>
              <w:jc w:val="center"/>
            </w:pPr>
            <w:r>
              <w:rPr>
                <w:rFonts w:eastAsiaTheme="minorEastAsia"/>
                <w:color w:val="000000" w:themeColor="text1"/>
                <w:szCs w:val="21"/>
              </w:rPr>
              <w:t>本基金基金经理、指数及量化投资部总监</w:t>
            </w:r>
          </w:p>
        </w:tc>
        <w:tc>
          <w:tcPr>
            <w:tcW w:w="1560" w:type="dxa"/>
            <w:vAlign w:val="center"/>
          </w:tcPr>
          <w:p w:rsidR="00DA795E" w:rsidRDefault="00AE19D4">
            <w:pPr>
              <w:jc w:val="center"/>
            </w:pPr>
            <w:r>
              <w:rPr>
                <w:rFonts w:eastAsiaTheme="minorEastAsia"/>
                <w:color w:val="000000" w:themeColor="text1"/>
                <w:szCs w:val="21"/>
              </w:rPr>
              <w:t>2022-05-19</w:t>
            </w:r>
          </w:p>
        </w:tc>
        <w:tc>
          <w:tcPr>
            <w:tcW w:w="1559" w:type="dxa"/>
            <w:vAlign w:val="center"/>
          </w:tcPr>
          <w:p w:rsidR="00DA795E" w:rsidRDefault="00AE19D4">
            <w:pPr>
              <w:jc w:val="center"/>
            </w:pPr>
            <w:r>
              <w:rPr>
                <w:rFonts w:eastAsiaTheme="minorEastAsia"/>
                <w:color w:val="000000" w:themeColor="text1"/>
                <w:szCs w:val="21"/>
              </w:rPr>
              <w:t>-</w:t>
            </w:r>
          </w:p>
        </w:tc>
        <w:tc>
          <w:tcPr>
            <w:tcW w:w="1417" w:type="dxa"/>
            <w:vAlign w:val="center"/>
          </w:tcPr>
          <w:p w:rsidR="00DA795E" w:rsidRDefault="00AE19D4">
            <w:pPr>
              <w:jc w:val="center"/>
            </w:pPr>
            <w:r>
              <w:rPr>
                <w:rFonts w:eastAsiaTheme="minorEastAsia"/>
                <w:color w:val="000000" w:themeColor="text1"/>
                <w:szCs w:val="21"/>
              </w:rPr>
              <w:t>16</w:t>
            </w:r>
            <w:r>
              <w:rPr>
                <w:rFonts w:eastAsiaTheme="minorEastAsia"/>
                <w:color w:val="000000" w:themeColor="text1"/>
                <w:szCs w:val="21"/>
              </w:rPr>
              <w:t>年</w:t>
            </w:r>
          </w:p>
        </w:tc>
        <w:tc>
          <w:tcPr>
            <w:tcW w:w="2694" w:type="dxa"/>
            <w:vAlign w:val="center"/>
          </w:tcPr>
          <w:p w:rsidR="00DA795E" w:rsidRDefault="00AE19D4">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DA795E">
        <w:tc>
          <w:tcPr>
            <w:tcW w:w="851" w:type="dxa"/>
            <w:vAlign w:val="center"/>
          </w:tcPr>
          <w:p w:rsidR="00DA795E" w:rsidRDefault="00AE19D4">
            <w:pPr>
              <w:jc w:val="center"/>
            </w:pPr>
            <w:r>
              <w:rPr>
                <w:rFonts w:eastAsiaTheme="minorEastAsia"/>
                <w:color w:val="000000" w:themeColor="text1"/>
                <w:szCs w:val="21"/>
              </w:rPr>
              <w:t>毛时超</w:t>
            </w:r>
          </w:p>
        </w:tc>
        <w:tc>
          <w:tcPr>
            <w:tcW w:w="850" w:type="dxa"/>
            <w:vAlign w:val="center"/>
          </w:tcPr>
          <w:p w:rsidR="00DA795E" w:rsidRDefault="00AE19D4">
            <w:pPr>
              <w:jc w:val="center"/>
            </w:pPr>
            <w:r>
              <w:rPr>
                <w:rFonts w:eastAsiaTheme="minorEastAsia"/>
                <w:color w:val="000000" w:themeColor="text1"/>
                <w:szCs w:val="21"/>
              </w:rPr>
              <w:t>本基金基金经</w:t>
            </w:r>
            <w:r>
              <w:rPr>
                <w:rFonts w:eastAsiaTheme="minorEastAsia"/>
                <w:color w:val="000000" w:themeColor="text1"/>
                <w:szCs w:val="21"/>
              </w:rPr>
              <w:lastRenderedPageBreak/>
              <w:t>理</w:t>
            </w:r>
          </w:p>
        </w:tc>
        <w:tc>
          <w:tcPr>
            <w:tcW w:w="1560" w:type="dxa"/>
            <w:vAlign w:val="center"/>
          </w:tcPr>
          <w:p w:rsidR="00DA795E" w:rsidRDefault="00AE19D4">
            <w:pPr>
              <w:jc w:val="center"/>
            </w:pPr>
            <w:r>
              <w:rPr>
                <w:rFonts w:eastAsiaTheme="minorEastAsia"/>
                <w:color w:val="000000" w:themeColor="text1"/>
                <w:szCs w:val="21"/>
              </w:rPr>
              <w:lastRenderedPageBreak/>
              <w:t>2022-06-08</w:t>
            </w:r>
          </w:p>
        </w:tc>
        <w:tc>
          <w:tcPr>
            <w:tcW w:w="1559" w:type="dxa"/>
            <w:vAlign w:val="center"/>
          </w:tcPr>
          <w:p w:rsidR="00DA795E" w:rsidRDefault="00AE19D4">
            <w:pPr>
              <w:jc w:val="center"/>
            </w:pPr>
            <w:r>
              <w:rPr>
                <w:rFonts w:eastAsiaTheme="minorEastAsia"/>
                <w:color w:val="000000" w:themeColor="text1"/>
                <w:szCs w:val="21"/>
              </w:rPr>
              <w:t>-</w:t>
            </w:r>
          </w:p>
        </w:tc>
        <w:tc>
          <w:tcPr>
            <w:tcW w:w="1417" w:type="dxa"/>
            <w:vAlign w:val="center"/>
          </w:tcPr>
          <w:p w:rsidR="00DA795E" w:rsidRDefault="00AE19D4">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rsidR="00DA795E" w:rsidRDefault="00AE19D4">
            <w:r>
              <w:rPr>
                <w:rFonts w:eastAsiaTheme="minorEastAsia"/>
                <w:color w:val="000000" w:themeColor="text1"/>
                <w:szCs w:val="21"/>
              </w:rPr>
              <w:t>毛时超先生曾任平安基金管理有限公司量化研究员、</w:t>
            </w:r>
            <w:r>
              <w:rPr>
                <w:rFonts w:eastAsiaTheme="minorEastAsia"/>
                <w:color w:val="000000" w:themeColor="text1"/>
                <w:szCs w:val="21"/>
              </w:rPr>
              <w:lastRenderedPageBreak/>
              <w:t>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rsidR="00DA795E" w:rsidRDefault="00AE19D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A795E" w:rsidRDefault="00AE19D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胡迪女士为本基金首任基金经理，其任职日期指本基金基金合同生效之日。</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 xml:space="preserve">3. </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w:t>
      </w:r>
      <w:r>
        <w:rPr>
          <w:rFonts w:eastAsiaTheme="minorEastAsia"/>
          <w:color w:val="000000" w:themeColor="text1"/>
          <w:szCs w:val="21"/>
        </w:rPr>
        <w:lastRenderedPageBreak/>
        <w:t>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创新药行业相关股票，在经历长达三年的大幅持续调整之后，无论是估值水平还是机构投资者持有占比，均处于历史相对低位。加上减肥药在全球受到消费者关注，提升产业链相关公司的乐观业绩预期。此外美国中长期国债收益率下降，医药行业投融资项目开始活跃，也有利于提升医药公司的业绩。本基金跟踪的创新药指数，在底部位置出现了一定幅度的反弹之后，由于</w:t>
      </w:r>
      <w:r>
        <w:rPr>
          <w:rFonts w:eastAsiaTheme="minorEastAsia"/>
          <w:color w:val="000000" w:themeColor="text1"/>
          <w:szCs w:val="21"/>
        </w:rPr>
        <w:t>A</w:t>
      </w:r>
      <w:r>
        <w:rPr>
          <w:rFonts w:eastAsiaTheme="minorEastAsia"/>
          <w:color w:val="000000" w:themeColor="text1"/>
          <w:szCs w:val="21"/>
        </w:rPr>
        <w:t>股整体表现较差，最终还是</w:t>
      </w:r>
      <w:r>
        <w:rPr>
          <w:rFonts w:eastAsiaTheme="minorEastAsia"/>
          <w:color w:val="000000" w:themeColor="text1"/>
          <w:szCs w:val="21"/>
        </w:rPr>
        <w:t>跟随回落。</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从中长期视角来看，伴随着人口老龄化、国家人均医疗卫生支出持续增加等背景，内部医疗改革持续引导产业升级，鼓励高质量创新药研发的总体基调不变。我国创新药企业国际化程度及全球竞争力逐步提升，持续高强度的研发投入，带来了国产新药临床申请数量逐年攀升，预计未来几年会有较多国产创新药在国内外获批上市，龙头创新药企业有望凭借强大的原研创新及商业化变现能力，在国内以及全球市场中迎来业绩爆发。</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本基金采用复制标的指数的投资策略，基于多套系统处理日常的申购赎回等行为，力争将跟踪误差控制在合理水平。</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本基金投资跟踪的标的指数估值水平，当前依然处于历史上的较低位置，而且创新药产业链发展空间巨大，在人口老龄化与人均医疗卫生支出不断提升的背景下，相关企业具有较好的投资机会和配置价值。</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本报告期摩根中证创新药产业</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:-2.09%</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:-1.96%</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209,649,547.79</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99.84</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209,649,547.79</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99.84</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311,992.43</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0.15</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22,672.54</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0.01</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209,984,212.76</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注：本基金本报告期末通过转融通证券出借业务出借证券的公允价值为</w:t>
      </w:r>
      <w:r w:rsidRPr="00473486">
        <w:rPr>
          <w:rFonts w:eastAsiaTheme="minorEastAsia"/>
          <w:color w:val="000000" w:themeColor="text1"/>
          <w:szCs w:val="21"/>
        </w:rPr>
        <w:t>14,781,667.00</w:t>
      </w:r>
      <w:r w:rsidRPr="00473486">
        <w:rPr>
          <w:rFonts w:eastAsiaTheme="minorEastAsia"/>
          <w:color w:val="000000" w:themeColor="text1"/>
          <w:szCs w:val="21"/>
        </w:rPr>
        <w:t>元</w:t>
      </w:r>
      <w:r w:rsidRPr="00473486">
        <w:rPr>
          <w:rFonts w:eastAsiaTheme="minorEastAsia"/>
          <w:color w:val="000000" w:themeColor="text1"/>
          <w:szCs w:val="21"/>
        </w:rPr>
        <w:t>,</w:t>
      </w:r>
      <w:r w:rsidRPr="00473486">
        <w:rPr>
          <w:rFonts w:eastAsiaTheme="minorEastAsia"/>
          <w:color w:val="000000" w:themeColor="text1"/>
          <w:szCs w:val="21"/>
        </w:rPr>
        <w:t>占期末净值比例为</w:t>
      </w:r>
      <w:r w:rsidRPr="00473486">
        <w:rPr>
          <w:rFonts w:eastAsiaTheme="minorEastAsia"/>
          <w:color w:val="000000" w:themeColor="text1"/>
          <w:szCs w:val="21"/>
        </w:rPr>
        <w:t>7.05%</w:t>
      </w:r>
      <w:r w:rsidRPr="00473486">
        <w:rPr>
          <w:rFonts w:eastAsiaTheme="minorEastAsia"/>
          <w:color w:val="000000" w:themeColor="text1"/>
          <w:szCs w:val="21"/>
        </w:rPr>
        <w:t>。</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160,161,812.63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76.38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12,294,403.00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5.86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37,193,332.16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17.74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209,649,547.79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99.98</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DA795E">
        <w:tc>
          <w:tcPr>
            <w:tcW w:w="817" w:type="dxa"/>
            <w:vAlign w:val="center"/>
          </w:tcPr>
          <w:p w:rsidR="00DA795E" w:rsidRDefault="00AE19D4">
            <w:pPr>
              <w:jc w:val="center"/>
            </w:pPr>
            <w:r>
              <w:rPr>
                <w:rFonts w:eastAsiaTheme="minorEastAsia"/>
                <w:color w:val="000000" w:themeColor="text1"/>
                <w:szCs w:val="21"/>
              </w:rPr>
              <w:t>1</w:t>
            </w:r>
          </w:p>
        </w:tc>
        <w:tc>
          <w:tcPr>
            <w:tcW w:w="1276" w:type="dxa"/>
            <w:vAlign w:val="center"/>
          </w:tcPr>
          <w:p w:rsidR="00DA795E" w:rsidRDefault="00AE19D4">
            <w:pPr>
              <w:jc w:val="center"/>
            </w:pPr>
            <w:r>
              <w:rPr>
                <w:rFonts w:eastAsiaTheme="minorEastAsia"/>
                <w:color w:val="000000" w:themeColor="text1"/>
                <w:szCs w:val="21"/>
              </w:rPr>
              <w:t>600276</w:t>
            </w:r>
          </w:p>
        </w:tc>
        <w:tc>
          <w:tcPr>
            <w:tcW w:w="1701" w:type="dxa"/>
            <w:vAlign w:val="center"/>
          </w:tcPr>
          <w:p w:rsidR="00DA795E" w:rsidRDefault="00AE19D4">
            <w:pPr>
              <w:jc w:val="center"/>
            </w:pPr>
            <w:r>
              <w:rPr>
                <w:rFonts w:eastAsiaTheme="minorEastAsia"/>
                <w:color w:val="000000" w:themeColor="text1"/>
                <w:szCs w:val="21"/>
              </w:rPr>
              <w:t>恒瑞医药</w:t>
            </w:r>
          </w:p>
        </w:tc>
        <w:tc>
          <w:tcPr>
            <w:tcW w:w="1276" w:type="dxa"/>
            <w:vAlign w:val="center"/>
          </w:tcPr>
          <w:p w:rsidR="00DA795E" w:rsidRDefault="00AE19D4">
            <w:pPr>
              <w:jc w:val="right"/>
            </w:pPr>
            <w:r>
              <w:rPr>
                <w:rFonts w:eastAsiaTheme="minorEastAsia"/>
                <w:color w:val="000000" w:themeColor="text1"/>
                <w:szCs w:val="21"/>
              </w:rPr>
              <w:t>467,260.00</w:t>
            </w:r>
          </w:p>
        </w:tc>
        <w:tc>
          <w:tcPr>
            <w:tcW w:w="1842" w:type="dxa"/>
            <w:vAlign w:val="center"/>
          </w:tcPr>
          <w:p w:rsidR="00DA795E" w:rsidRDefault="00AE19D4">
            <w:pPr>
              <w:jc w:val="right"/>
            </w:pPr>
            <w:r>
              <w:rPr>
                <w:rFonts w:eastAsiaTheme="minorEastAsia"/>
                <w:color w:val="000000" w:themeColor="text1"/>
                <w:szCs w:val="21"/>
              </w:rPr>
              <w:t>21,134,169.80</w:t>
            </w:r>
          </w:p>
        </w:tc>
        <w:tc>
          <w:tcPr>
            <w:tcW w:w="1616" w:type="dxa"/>
            <w:vAlign w:val="center"/>
          </w:tcPr>
          <w:p w:rsidR="00DA795E" w:rsidRDefault="00AE19D4">
            <w:pPr>
              <w:jc w:val="right"/>
            </w:pPr>
            <w:r>
              <w:rPr>
                <w:rFonts w:eastAsiaTheme="minorEastAsia"/>
                <w:color w:val="000000" w:themeColor="text1"/>
                <w:szCs w:val="21"/>
              </w:rPr>
              <w:t>10.08</w:t>
            </w:r>
          </w:p>
        </w:tc>
      </w:tr>
      <w:tr w:rsidR="00DA795E">
        <w:tc>
          <w:tcPr>
            <w:tcW w:w="817" w:type="dxa"/>
            <w:vAlign w:val="center"/>
          </w:tcPr>
          <w:p w:rsidR="00DA795E" w:rsidRDefault="00AE19D4">
            <w:pPr>
              <w:jc w:val="center"/>
            </w:pPr>
            <w:r>
              <w:rPr>
                <w:rFonts w:eastAsiaTheme="minorEastAsia"/>
                <w:color w:val="000000" w:themeColor="text1"/>
                <w:szCs w:val="21"/>
              </w:rPr>
              <w:t>2</w:t>
            </w:r>
          </w:p>
        </w:tc>
        <w:tc>
          <w:tcPr>
            <w:tcW w:w="1276" w:type="dxa"/>
            <w:vAlign w:val="center"/>
          </w:tcPr>
          <w:p w:rsidR="00DA795E" w:rsidRDefault="00AE19D4">
            <w:pPr>
              <w:jc w:val="center"/>
            </w:pPr>
            <w:r>
              <w:rPr>
                <w:rFonts w:eastAsiaTheme="minorEastAsia"/>
                <w:color w:val="000000" w:themeColor="text1"/>
                <w:szCs w:val="21"/>
              </w:rPr>
              <w:t>603259</w:t>
            </w:r>
          </w:p>
        </w:tc>
        <w:tc>
          <w:tcPr>
            <w:tcW w:w="1701" w:type="dxa"/>
            <w:vAlign w:val="center"/>
          </w:tcPr>
          <w:p w:rsidR="00DA795E" w:rsidRDefault="00AE19D4">
            <w:pPr>
              <w:jc w:val="center"/>
            </w:pPr>
            <w:r>
              <w:rPr>
                <w:rFonts w:eastAsiaTheme="minorEastAsia"/>
                <w:color w:val="000000" w:themeColor="text1"/>
                <w:szCs w:val="21"/>
              </w:rPr>
              <w:t>药明康德</w:t>
            </w:r>
          </w:p>
        </w:tc>
        <w:tc>
          <w:tcPr>
            <w:tcW w:w="1276" w:type="dxa"/>
            <w:vAlign w:val="center"/>
          </w:tcPr>
          <w:p w:rsidR="00DA795E" w:rsidRDefault="00AE19D4">
            <w:pPr>
              <w:jc w:val="right"/>
            </w:pPr>
            <w:r>
              <w:rPr>
                <w:rFonts w:eastAsiaTheme="minorEastAsia"/>
                <w:color w:val="000000" w:themeColor="text1"/>
                <w:szCs w:val="21"/>
              </w:rPr>
              <w:t>278,165.00</w:t>
            </w:r>
          </w:p>
        </w:tc>
        <w:tc>
          <w:tcPr>
            <w:tcW w:w="1842" w:type="dxa"/>
            <w:vAlign w:val="center"/>
          </w:tcPr>
          <w:p w:rsidR="00DA795E" w:rsidRDefault="00AE19D4">
            <w:pPr>
              <w:jc w:val="right"/>
            </w:pPr>
            <w:r>
              <w:rPr>
                <w:rFonts w:eastAsiaTheme="minorEastAsia"/>
                <w:color w:val="000000" w:themeColor="text1"/>
                <w:szCs w:val="21"/>
              </w:rPr>
              <w:t>20,239,285.40</w:t>
            </w:r>
          </w:p>
        </w:tc>
        <w:tc>
          <w:tcPr>
            <w:tcW w:w="1616" w:type="dxa"/>
            <w:vAlign w:val="center"/>
          </w:tcPr>
          <w:p w:rsidR="00DA795E" w:rsidRDefault="00AE19D4">
            <w:pPr>
              <w:jc w:val="right"/>
            </w:pPr>
            <w:r>
              <w:rPr>
                <w:rFonts w:eastAsiaTheme="minorEastAsia"/>
                <w:color w:val="000000" w:themeColor="text1"/>
                <w:szCs w:val="21"/>
              </w:rPr>
              <w:t>9.65</w:t>
            </w:r>
          </w:p>
        </w:tc>
      </w:tr>
      <w:tr w:rsidR="00DA795E">
        <w:tc>
          <w:tcPr>
            <w:tcW w:w="817" w:type="dxa"/>
            <w:vAlign w:val="center"/>
          </w:tcPr>
          <w:p w:rsidR="00DA795E" w:rsidRDefault="00AE19D4">
            <w:pPr>
              <w:jc w:val="center"/>
            </w:pPr>
            <w:r>
              <w:rPr>
                <w:rFonts w:eastAsiaTheme="minorEastAsia"/>
                <w:color w:val="000000" w:themeColor="text1"/>
                <w:szCs w:val="21"/>
              </w:rPr>
              <w:t>3</w:t>
            </w:r>
          </w:p>
        </w:tc>
        <w:tc>
          <w:tcPr>
            <w:tcW w:w="1276" w:type="dxa"/>
            <w:vAlign w:val="center"/>
          </w:tcPr>
          <w:p w:rsidR="00DA795E" w:rsidRDefault="00AE19D4">
            <w:pPr>
              <w:jc w:val="center"/>
            </w:pPr>
            <w:r>
              <w:rPr>
                <w:rFonts w:eastAsiaTheme="minorEastAsia"/>
                <w:color w:val="000000" w:themeColor="text1"/>
                <w:szCs w:val="21"/>
              </w:rPr>
              <w:t>300122</w:t>
            </w:r>
          </w:p>
        </w:tc>
        <w:tc>
          <w:tcPr>
            <w:tcW w:w="1701" w:type="dxa"/>
            <w:vAlign w:val="center"/>
          </w:tcPr>
          <w:p w:rsidR="00DA795E" w:rsidRDefault="00AE19D4">
            <w:pPr>
              <w:jc w:val="center"/>
            </w:pPr>
            <w:r>
              <w:rPr>
                <w:rFonts w:eastAsiaTheme="minorEastAsia"/>
                <w:color w:val="000000" w:themeColor="text1"/>
                <w:szCs w:val="21"/>
              </w:rPr>
              <w:t>智飞生物</w:t>
            </w:r>
          </w:p>
        </w:tc>
        <w:tc>
          <w:tcPr>
            <w:tcW w:w="1276" w:type="dxa"/>
            <w:vAlign w:val="center"/>
          </w:tcPr>
          <w:p w:rsidR="00DA795E" w:rsidRDefault="00AE19D4">
            <w:pPr>
              <w:jc w:val="right"/>
            </w:pPr>
            <w:r>
              <w:rPr>
                <w:rFonts w:eastAsiaTheme="minorEastAsia"/>
                <w:color w:val="000000" w:themeColor="text1"/>
                <w:szCs w:val="21"/>
              </w:rPr>
              <w:t>268,150.00</w:t>
            </w:r>
          </w:p>
        </w:tc>
        <w:tc>
          <w:tcPr>
            <w:tcW w:w="1842" w:type="dxa"/>
            <w:vAlign w:val="center"/>
          </w:tcPr>
          <w:p w:rsidR="00DA795E" w:rsidRDefault="00AE19D4">
            <w:pPr>
              <w:jc w:val="right"/>
            </w:pPr>
            <w:r>
              <w:rPr>
                <w:rFonts w:eastAsiaTheme="minorEastAsia"/>
                <w:color w:val="000000" w:themeColor="text1"/>
                <w:szCs w:val="21"/>
              </w:rPr>
              <w:t>16,386,646.50</w:t>
            </w:r>
          </w:p>
        </w:tc>
        <w:tc>
          <w:tcPr>
            <w:tcW w:w="1616" w:type="dxa"/>
            <w:vAlign w:val="center"/>
          </w:tcPr>
          <w:p w:rsidR="00DA795E" w:rsidRDefault="00AE19D4">
            <w:pPr>
              <w:jc w:val="right"/>
            </w:pPr>
            <w:r>
              <w:rPr>
                <w:rFonts w:eastAsiaTheme="minorEastAsia"/>
                <w:color w:val="000000" w:themeColor="text1"/>
                <w:szCs w:val="21"/>
              </w:rPr>
              <w:t>7.81</w:t>
            </w:r>
          </w:p>
        </w:tc>
      </w:tr>
      <w:tr w:rsidR="00DA795E">
        <w:tc>
          <w:tcPr>
            <w:tcW w:w="817" w:type="dxa"/>
            <w:vAlign w:val="center"/>
          </w:tcPr>
          <w:p w:rsidR="00DA795E" w:rsidRDefault="00AE19D4">
            <w:pPr>
              <w:jc w:val="center"/>
            </w:pPr>
            <w:r>
              <w:rPr>
                <w:rFonts w:eastAsiaTheme="minorEastAsia"/>
                <w:color w:val="000000" w:themeColor="text1"/>
                <w:szCs w:val="21"/>
              </w:rPr>
              <w:t>4</w:t>
            </w:r>
          </w:p>
        </w:tc>
        <w:tc>
          <w:tcPr>
            <w:tcW w:w="1276" w:type="dxa"/>
            <w:vAlign w:val="center"/>
          </w:tcPr>
          <w:p w:rsidR="00DA795E" w:rsidRDefault="00AE19D4">
            <w:pPr>
              <w:jc w:val="center"/>
            </w:pPr>
            <w:r>
              <w:rPr>
                <w:rFonts w:eastAsiaTheme="minorEastAsia"/>
                <w:color w:val="000000" w:themeColor="text1"/>
                <w:szCs w:val="21"/>
              </w:rPr>
              <w:t>300142</w:t>
            </w:r>
          </w:p>
        </w:tc>
        <w:tc>
          <w:tcPr>
            <w:tcW w:w="1701" w:type="dxa"/>
            <w:vAlign w:val="center"/>
          </w:tcPr>
          <w:p w:rsidR="00DA795E" w:rsidRDefault="00AE19D4">
            <w:pPr>
              <w:jc w:val="center"/>
            </w:pPr>
            <w:r>
              <w:rPr>
                <w:rFonts w:eastAsiaTheme="minorEastAsia"/>
                <w:color w:val="000000" w:themeColor="text1"/>
                <w:szCs w:val="21"/>
              </w:rPr>
              <w:t>沃森生物</w:t>
            </w:r>
          </w:p>
        </w:tc>
        <w:tc>
          <w:tcPr>
            <w:tcW w:w="1276" w:type="dxa"/>
            <w:vAlign w:val="center"/>
          </w:tcPr>
          <w:p w:rsidR="00DA795E" w:rsidRDefault="00AE19D4">
            <w:pPr>
              <w:jc w:val="right"/>
            </w:pPr>
            <w:r>
              <w:rPr>
                <w:rFonts w:eastAsiaTheme="minorEastAsia"/>
                <w:color w:val="000000" w:themeColor="text1"/>
                <w:szCs w:val="21"/>
              </w:rPr>
              <w:t>359,200.00</w:t>
            </w:r>
          </w:p>
        </w:tc>
        <w:tc>
          <w:tcPr>
            <w:tcW w:w="1842" w:type="dxa"/>
            <w:vAlign w:val="center"/>
          </w:tcPr>
          <w:p w:rsidR="00DA795E" w:rsidRDefault="00AE19D4">
            <w:pPr>
              <w:jc w:val="right"/>
            </w:pPr>
            <w:r>
              <w:rPr>
                <w:rFonts w:eastAsiaTheme="minorEastAsia"/>
                <w:color w:val="000000" w:themeColor="text1"/>
                <w:szCs w:val="21"/>
              </w:rPr>
              <w:t>8,444,792.00</w:t>
            </w:r>
          </w:p>
        </w:tc>
        <w:tc>
          <w:tcPr>
            <w:tcW w:w="1616" w:type="dxa"/>
            <w:vAlign w:val="center"/>
          </w:tcPr>
          <w:p w:rsidR="00DA795E" w:rsidRDefault="00AE19D4">
            <w:pPr>
              <w:jc w:val="right"/>
            </w:pPr>
            <w:r>
              <w:rPr>
                <w:rFonts w:eastAsiaTheme="minorEastAsia"/>
                <w:color w:val="000000" w:themeColor="text1"/>
                <w:szCs w:val="21"/>
              </w:rPr>
              <w:t>4.03</w:t>
            </w:r>
          </w:p>
        </w:tc>
      </w:tr>
      <w:tr w:rsidR="00DA795E">
        <w:tc>
          <w:tcPr>
            <w:tcW w:w="817" w:type="dxa"/>
            <w:vAlign w:val="center"/>
          </w:tcPr>
          <w:p w:rsidR="00DA795E" w:rsidRDefault="00AE19D4">
            <w:pPr>
              <w:jc w:val="center"/>
            </w:pPr>
            <w:r>
              <w:rPr>
                <w:rFonts w:eastAsiaTheme="minorEastAsia"/>
                <w:color w:val="000000" w:themeColor="text1"/>
                <w:szCs w:val="21"/>
              </w:rPr>
              <w:t>5</w:t>
            </w:r>
          </w:p>
        </w:tc>
        <w:tc>
          <w:tcPr>
            <w:tcW w:w="1276" w:type="dxa"/>
            <w:vAlign w:val="center"/>
          </w:tcPr>
          <w:p w:rsidR="00DA795E" w:rsidRDefault="00AE19D4">
            <w:pPr>
              <w:jc w:val="center"/>
            </w:pPr>
            <w:r>
              <w:rPr>
                <w:rFonts w:eastAsiaTheme="minorEastAsia"/>
                <w:color w:val="000000" w:themeColor="text1"/>
                <w:szCs w:val="21"/>
              </w:rPr>
              <w:t>000963</w:t>
            </w:r>
          </w:p>
        </w:tc>
        <w:tc>
          <w:tcPr>
            <w:tcW w:w="1701" w:type="dxa"/>
            <w:vAlign w:val="center"/>
          </w:tcPr>
          <w:p w:rsidR="00DA795E" w:rsidRDefault="00AE19D4">
            <w:pPr>
              <w:jc w:val="center"/>
            </w:pPr>
            <w:r>
              <w:rPr>
                <w:rFonts w:eastAsiaTheme="minorEastAsia"/>
                <w:color w:val="000000" w:themeColor="text1"/>
                <w:szCs w:val="21"/>
              </w:rPr>
              <w:t>华东医药</w:t>
            </w:r>
          </w:p>
        </w:tc>
        <w:tc>
          <w:tcPr>
            <w:tcW w:w="1276" w:type="dxa"/>
            <w:vAlign w:val="center"/>
          </w:tcPr>
          <w:p w:rsidR="00DA795E" w:rsidRDefault="00AE19D4">
            <w:pPr>
              <w:jc w:val="right"/>
            </w:pPr>
            <w:r>
              <w:rPr>
                <w:rFonts w:eastAsiaTheme="minorEastAsia"/>
                <w:color w:val="000000" w:themeColor="text1"/>
                <w:szCs w:val="21"/>
              </w:rPr>
              <w:t>196,100.00</w:t>
            </w:r>
          </w:p>
        </w:tc>
        <w:tc>
          <w:tcPr>
            <w:tcW w:w="1842" w:type="dxa"/>
            <w:vAlign w:val="center"/>
          </w:tcPr>
          <w:p w:rsidR="00DA795E" w:rsidRDefault="00AE19D4">
            <w:pPr>
              <w:jc w:val="right"/>
            </w:pPr>
            <w:r>
              <w:rPr>
                <w:rFonts w:eastAsiaTheme="minorEastAsia"/>
                <w:color w:val="000000" w:themeColor="text1"/>
                <w:szCs w:val="21"/>
              </w:rPr>
              <w:t>8,130,306.00</w:t>
            </w:r>
          </w:p>
        </w:tc>
        <w:tc>
          <w:tcPr>
            <w:tcW w:w="1616" w:type="dxa"/>
            <w:vAlign w:val="center"/>
          </w:tcPr>
          <w:p w:rsidR="00DA795E" w:rsidRDefault="00AE19D4">
            <w:pPr>
              <w:jc w:val="right"/>
            </w:pPr>
            <w:r>
              <w:rPr>
                <w:rFonts w:eastAsiaTheme="minorEastAsia"/>
                <w:color w:val="000000" w:themeColor="text1"/>
                <w:szCs w:val="21"/>
              </w:rPr>
              <w:t>3.88</w:t>
            </w:r>
          </w:p>
        </w:tc>
      </w:tr>
      <w:tr w:rsidR="00DA795E">
        <w:tc>
          <w:tcPr>
            <w:tcW w:w="817" w:type="dxa"/>
            <w:vAlign w:val="center"/>
          </w:tcPr>
          <w:p w:rsidR="00DA795E" w:rsidRDefault="00AE19D4">
            <w:pPr>
              <w:jc w:val="center"/>
            </w:pPr>
            <w:r>
              <w:rPr>
                <w:rFonts w:eastAsiaTheme="minorEastAsia"/>
                <w:color w:val="000000" w:themeColor="text1"/>
                <w:szCs w:val="21"/>
              </w:rPr>
              <w:t>6</w:t>
            </w:r>
          </w:p>
        </w:tc>
        <w:tc>
          <w:tcPr>
            <w:tcW w:w="1276" w:type="dxa"/>
            <w:vAlign w:val="center"/>
          </w:tcPr>
          <w:p w:rsidR="00DA795E" w:rsidRDefault="00AE19D4">
            <w:pPr>
              <w:jc w:val="center"/>
            </w:pPr>
            <w:r>
              <w:rPr>
                <w:rFonts w:eastAsiaTheme="minorEastAsia"/>
                <w:color w:val="000000" w:themeColor="text1"/>
                <w:szCs w:val="21"/>
              </w:rPr>
              <w:t>002422</w:t>
            </w:r>
          </w:p>
        </w:tc>
        <w:tc>
          <w:tcPr>
            <w:tcW w:w="1701" w:type="dxa"/>
            <w:vAlign w:val="center"/>
          </w:tcPr>
          <w:p w:rsidR="00DA795E" w:rsidRDefault="00AE19D4">
            <w:pPr>
              <w:jc w:val="center"/>
            </w:pPr>
            <w:r>
              <w:rPr>
                <w:rFonts w:eastAsiaTheme="minorEastAsia"/>
                <w:color w:val="000000" w:themeColor="text1"/>
                <w:szCs w:val="21"/>
              </w:rPr>
              <w:t>科伦药业</w:t>
            </w:r>
          </w:p>
        </w:tc>
        <w:tc>
          <w:tcPr>
            <w:tcW w:w="1276" w:type="dxa"/>
            <w:vAlign w:val="center"/>
          </w:tcPr>
          <w:p w:rsidR="00DA795E" w:rsidRDefault="00AE19D4">
            <w:pPr>
              <w:jc w:val="right"/>
            </w:pPr>
            <w:r>
              <w:rPr>
                <w:rFonts w:eastAsiaTheme="minorEastAsia"/>
                <w:color w:val="000000" w:themeColor="text1"/>
                <w:szCs w:val="21"/>
              </w:rPr>
              <w:t>263,700.00</w:t>
            </w:r>
          </w:p>
        </w:tc>
        <w:tc>
          <w:tcPr>
            <w:tcW w:w="1842" w:type="dxa"/>
            <w:vAlign w:val="center"/>
          </w:tcPr>
          <w:p w:rsidR="00DA795E" w:rsidRDefault="00AE19D4">
            <w:pPr>
              <w:jc w:val="right"/>
            </w:pPr>
            <w:r>
              <w:rPr>
                <w:rFonts w:eastAsiaTheme="minorEastAsia"/>
                <w:color w:val="000000" w:themeColor="text1"/>
                <w:szCs w:val="21"/>
              </w:rPr>
              <w:t>7,660,485.00</w:t>
            </w:r>
          </w:p>
        </w:tc>
        <w:tc>
          <w:tcPr>
            <w:tcW w:w="1616" w:type="dxa"/>
            <w:vAlign w:val="center"/>
          </w:tcPr>
          <w:p w:rsidR="00DA795E" w:rsidRDefault="00AE19D4">
            <w:pPr>
              <w:jc w:val="right"/>
            </w:pPr>
            <w:r>
              <w:rPr>
                <w:rFonts w:eastAsiaTheme="minorEastAsia"/>
                <w:color w:val="000000" w:themeColor="text1"/>
                <w:szCs w:val="21"/>
              </w:rPr>
              <w:t>3.65</w:t>
            </w:r>
          </w:p>
        </w:tc>
      </w:tr>
      <w:tr w:rsidR="00DA795E">
        <w:tc>
          <w:tcPr>
            <w:tcW w:w="817" w:type="dxa"/>
            <w:vAlign w:val="center"/>
          </w:tcPr>
          <w:p w:rsidR="00DA795E" w:rsidRDefault="00AE19D4">
            <w:pPr>
              <w:jc w:val="center"/>
            </w:pPr>
            <w:r>
              <w:rPr>
                <w:rFonts w:eastAsiaTheme="minorEastAsia"/>
                <w:color w:val="000000" w:themeColor="text1"/>
                <w:szCs w:val="21"/>
              </w:rPr>
              <w:t>7</w:t>
            </w:r>
          </w:p>
        </w:tc>
        <w:tc>
          <w:tcPr>
            <w:tcW w:w="1276" w:type="dxa"/>
            <w:vAlign w:val="center"/>
          </w:tcPr>
          <w:p w:rsidR="00DA795E" w:rsidRDefault="00AE19D4">
            <w:pPr>
              <w:jc w:val="center"/>
            </w:pPr>
            <w:r>
              <w:rPr>
                <w:rFonts w:eastAsiaTheme="minorEastAsia"/>
                <w:color w:val="000000" w:themeColor="text1"/>
                <w:szCs w:val="21"/>
              </w:rPr>
              <w:t>600196</w:t>
            </w:r>
          </w:p>
        </w:tc>
        <w:tc>
          <w:tcPr>
            <w:tcW w:w="1701" w:type="dxa"/>
            <w:vAlign w:val="center"/>
          </w:tcPr>
          <w:p w:rsidR="00DA795E" w:rsidRDefault="00AE19D4">
            <w:pPr>
              <w:jc w:val="center"/>
            </w:pPr>
            <w:r>
              <w:rPr>
                <w:rFonts w:eastAsiaTheme="minorEastAsia"/>
                <w:color w:val="000000" w:themeColor="text1"/>
                <w:szCs w:val="21"/>
              </w:rPr>
              <w:t>复星医药</w:t>
            </w:r>
          </w:p>
        </w:tc>
        <w:tc>
          <w:tcPr>
            <w:tcW w:w="1276" w:type="dxa"/>
            <w:vAlign w:val="center"/>
          </w:tcPr>
          <w:p w:rsidR="00DA795E" w:rsidRDefault="00AE19D4">
            <w:pPr>
              <w:jc w:val="right"/>
            </w:pPr>
            <w:r>
              <w:rPr>
                <w:rFonts w:eastAsiaTheme="minorEastAsia"/>
                <w:color w:val="000000" w:themeColor="text1"/>
                <w:szCs w:val="21"/>
              </w:rPr>
              <w:t>284,300.00</w:t>
            </w:r>
          </w:p>
        </w:tc>
        <w:tc>
          <w:tcPr>
            <w:tcW w:w="1842" w:type="dxa"/>
            <w:vAlign w:val="center"/>
          </w:tcPr>
          <w:p w:rsidR="00DA795E" w:rsidRDefault="00AE19D4">
            <w:pPr>
              <w:jc w:val="right"/>
            </w:pPr>
            <w:r>
              <w:rPr>
                <w:rFonts w:eastAsiaTheme="minorEastAsia"/>
                <w:color w:val="000000" w:themeColor="text1"/>
                <w:szCs w:val="21"/>
              </w:rPr>
              <w:t>7,116,029.00</w:t>
            </w:r>
          </w:p>
        </w:tc>
        <w:tc>
          <w:tcPr>
            <w:tcW w:w="1616" w:type="dxa"/>
            <w:vAlign w:val="center"/>
          </w:tcPr>
          <w:p w:rsidR="00DA795E" w:rsidRDefault="00AE19D4">
            <w:pPr>
              <w:jc w:val="right"/>
            </w:pPr>
            <w:r>
              <w:rPr>
                <w:rFonts w:eastAsiaTheme="minorEastAsia"/>
                <w:color w:val="000000" w:themeColor="text1"/>
                <w:szCs w:val="21"/>
              </w:rPr>
              <w:t>3.39</w:t>
            </w:r>
          </w:p>
        </w:tc>
      </w:tr>
      <w:tr w:rsidR="00DA795E">
        <w:tc>
          <w:tcPr>
            <w:tcW w:w="817" w:type="dxa"/>
            <w:vAlign w:val="center"/>
          </w:tcPr>
          <w:p w:rsidR="00DA795E" w:rsidRDefault="00AE19D4">
            <w:pPr>
              <w:jc w:val="center"/>
            </w:pPr>
            <w:r>
              <w:rPr>
                <w:rFonts w:eastAsiaTheme="minorEastAsia"/>
                <w:color w:val="000000" w:themeColor="text1"/>
                <w:szCs w:val="21"/>
              </w:rPr>
              <w:t>8</w:t>
            </w:r>
          </w:p>
        </w:tc>
        <w:tc>
          <w:tcPr>
            <w:tcW w:w="1276" w:type="dxa"/>
            <w:vAlign w:val="center"/>
          </w:tcPr>
          <w:p w:rsidR="00DA795E" w:rsidRDefault="00AE19D4">
            <w:pPr>
              <w:jc w:val="center"/>
            </w:pPr>
            <w:r>
              <w:rPr>
                <w:rFonts w:eastAsiaTheme="minorEastAsia"/>
                <w:color w:val="000000" w:themeColor="text1"/>
                <w:szCs w:val="21"/>
              </w:rPr>
              <w:t>300347</w:t>
            </w:r>
          </w:p>
        </w:tc>
        <w:tc>
          <w:tcPr>
            <w:tcW w:w="1701" w:type="dxa"/>
            <w:vAlign w:val="center"/>
          </w:tcPr>
          <w:p w:rsidR="00DA795E" w:rsidRDefault="00AE19D4">
            <w:pPr>
              <w:jc w:val="center"/>
            </w:pPr>
            <w:r>
              <w:rPr>
                <w:rFonts w:eastAsiaTheme="minorEastAsia"/>
                <w:color w:val="000000" w:themeColor="text1"/>
                <w:szCs w:val="21"/>
              </w:rPr>
              <w:t>泰格医药</w:t>
            </w:r>
          </w:p>
        </w:tc>
        <w:tc>
          <w:tcPr>
            <w:tcW w:w="1276" w:type="dxa"/>
            <w:vAlign w:val="center"/>
          </w:tcPr>
          <w:p w:rsidR="00DA795E" w:rsidRDefault="00AE19D4">
            <w:pPr>
              <w:jc w:val="right"/>
            </w:pPr>
            <w:r>
              <w:rPr>
                <w:rFonts w:eastAsiaTheme="minorEastAsia"/>
                <w:color w:val="000000" w:themeColor="text1"/>
                <w:szCs w:val="21"/>
              </w:rPr>
              <w:t>117,200.00</w:t>
            </w:r>
          </w:p>
        </w:tc>
        <w:tc>
          <w:tcPr>
            <w:tcW w:w="1842" w:type="dxa"/>
            <w:vAlign w:val="center"/>
          </w:tcPr>
          <w:p w:rsidR="00DA795E" w:rsidRDefault="00AE19D4">
            <w:pPr>
              <w:jc w:val="right"/>
            </w:pPr>
            <w:r>
              <w:rPr>
                <w:rFonts w:eastAsiaTheme="minorEastAsia"/>
                <w:color w:val="000000" w:themeColor="text1"/>
                <w:szCs w:val="21"/>
              </w:rPr>
              <w:t>6,442,484.00</w:t>
            </w:r>
          </w:p>
        </w:tc>
        <w:tc>
          <w:tcPr>
            <w:tcW w:w="1616" w:type="dxa"/>
            <w:vAlign w:val="center"/>
          </w:tcPr>
          <w:p w:rsidR="00DA795E" w:rsidRDefault="00AE19D4">
            <w:pPr>
              <w:jc w:val="right"/>
            </w:pPr>
            <w:r>
              <w:rPr>
                <w:rFonts w:eastAsiaTheme="minorEastAsia"/>
                <w:color w:val="000000" w:themeColor="text1"/>
                <w:szCs w:val="21"/>
              </w:rPr>
              <w:t>3.07</w:t>
            </w:r>
          </w:p>
        </w:tc>
      </w:tr>
      <w:tr w:rsidR="00DA795E">
        <w:tc>
          <w:tcPr>
            <w:tcW w:w="817" w:type="dxa"/>
            <w:vAlign w:val="center"/>
          </w:tcPr>
          <w:p w:rsidR="00DA795E" w:rsidRDefault="00AE19D4">
            <w:pPr>
              <w:jc w:val="center"/>
            </w:pPr>
            <w:r>
              <w:rPr>
                <w:rFonts w:eastAsiaTheme="minorEastAsia"/>
                <w:color w:val="000000" w:themeColor="text1"/>
                <w:szCs w:val="21"/>
              </w:rPr>
              <w:t>9</w:t>
            </w:r>
          </w:p>
        </w:tc>
        <w:tc>
          <w:tcPr>
            <w:tcW w:w="1276" w:type="dxa"/>
            <w:vAlign w:val="center"/>
          </w:tcPr>
          <w:p w:rsidR="00DA795E" w:rsidRDefault="00AE19D4">
            <w:pPr>
              <w:jc w:val="center"/>
            </w:pPr>
            <w:r>
              <w:rPr>
                <w:rFonts w:eastAsiaTheme="minorEastAsia"/>
                <w:color w:val="000000" w:themeColor="text1"/>
                <w:szCs w:val="21"/>
              </w:rPr>
              <w:t>603392</w:t>
            </w:r>
          </w:p>
        </w:tc>
        <w:tc>
          <w:tcPr>
            <w:tcW w:w="1701" w:type="dxa"/>
            <w:vAlign w:val="center"/>
          </w:tcPr>
          <w:p w:rsidR="00DA795E" w:rsidRDefault="00AE19D4">
            <w:pPr>
              <w:jc w:val="center"/>
            </w:pPr>
            <w:r>
              <w:rPr>
                <w:rFonts w:eastAsiaTheme="minorEastAsia"/>
                <w:color w:val="000000" w:themeColor="text1"/>
                <w:szCs w:val="21"/>
              </w:rPr>
              <w:t>万泰生物</w:t>
            </w:r>
          </w:p>
        </w:tc>
        <w:tc>
          <w:tcPr>
            <w:tcW w:w="1276" w:type="dxa"/>
            <w:vAlign w:val="center"/>
          </w:tcPr>
          <w:p w:rsidR="00DA795E" w:rsidRDefault="00AE19D4">
            <w:pPr>
              <w:jc w:val="right"/>
            </w:pPr>
            <w:r>
              <w:rPr>
                <w:rFonts w:eastAsiaTheme="minorEastAsia"/>
                <w:color w:val="000000" w:themeColor="text1"/>
                <w:szCs w:val="21"/>
              </w:rPr>
              <w:t>85,019.00</w:t>
            </w:r>
          </w:p>
        </w:tc>
        <w:tc>
          <w:tcPr>
            <w:tcW w:w="1842" w:type="dxa"/>
            <w:vAlign w:val="center"/>
          </w:tcPr>
          <w:p w:rsidR="00DA795E" w:rsidRDefault="00AE19D4">
            <w:pPr>
              <w:jc w:val="right"/>
            </w:pPr>
            <w:r>
              <w:rPr>
                <w:rFonts w:eastAsiaTheme="minorEastAsia"/>
                <w:color w:val="000000" w:themeColor="text1"/>
                <w:szCs w:val="21"/>
              </w:rPr>
              <w:t>6,387,477.47</w:t>
            </w:r>
          </w:p>
        </w:tc>
        <w:tc>
          <w:tcPr>
            <w:tcW w:w="1616" w:type="dxa"/>
            <w:vAlign w:val="center"/>
          </w:tcPr>
          <w:p w:rsidR="00DA795E" w:rsidRDefault="00AE19D4">
            <w:pPr>
              <w:jc w:val="right"/>
            </w:pPr>
            <w:r>
              <w:rPr>
                <w:rFonts w:eastAsiaTheme="minorEastAsia"/>
                <w:color w:val="000000" w:themeColor="text1"/>
                <w:szCs w:val="21"/>
              </w:rPr>
              <w:t>3.05</w:t>
            </w:r>
          </w:p>
        </w:tc>
      </w:tr>
      <w:tr w:rsidR="00DA795E">
        <w:tc>
          <w:tcPr>
            <w:tcW w:w="817" w:type="dxa"/>
            <w:vAlign w:val="center"/>
          </w:tcPr>
          <w:p w:rsidR="00DA795E" w:rsidRDefault="00AE19D4">
            <w:pPr>
              <w:jc w:val="center"/>
            </w:pPr>
            <w:r>
              <w:rPr>
                <w:rFonts w:eastAsiaTheme="minorEastAsia"/>
                <w:color w:val="000000" w:themeColor="text1"/>
                <w:szCs w:val="21"/>
              </w:rPr>
              <w:t>10</w:t>
            </w:r>
          </w:p>
        </w:tc>
        <w:tc>
          <w:tcPr>
            <w:tcW w:w="1276" w:type="dxa"/>
            <w:vAlign w:val="center"/>
          </w:tcPr>
          <w:p w:rsidR="00DA795E" w:rsidRDefault="00AE19D4">
            <w:pPr>
              <w:jc w:val="center"/>
            </w:pPr>
            <w:r>
              <w:rPr>
                <w:rFonts w:eastAsiaTheme="minorEastAsia"/>
                <w:color w:val="000000" w:themeColor="text1"/>
                <w:szCs w:val="21"/>
              </w:rPr>
              <w:t>600079</w:t>
            </w:r>
          </w:p>
        </w:tc>
        <w:tc>
          <w:tcPr>
            <w:tcW w:w="1701" w:type="dxa"/>
            <w:vAlign w:val="center"/>
          </w:tcPr>
          <w:p w:rsidR="00DA795E" w:rsidRDefault="00AE19D4">
            <w:pPr>
              <w:jc w:val="center"/>
            </w:pPr>
            <w:r>
              <w:rPr>
                <w:rFonts w:eastAsiaTheme="minorEastAsia"/>
                <w:color w:val="000000" w:themeColor="text1"/>
                <w:szCs w:val="21"/>
              </w:rPr>
              <w:t>人福医药</w:t>
            </w:r>
          </w:p>
        </w:tc>
        <w:tc>
          <w:tcPr>
            <w:tcW w:w="1276" w:type="dxa"/>
            <w:vAlign w:val="center"/>
          </w:tcPr>
          <w:p w:rsidR="00DA795E" w:rsidRDefault="00AE19D4">
            <w:pPr>
              <w:jc w:val="right"/>
            </w:pPr>
            <w:r>
              <w:rPr>
                <w:rFonts w:eastAsiaTheme="minorEastAsia"/>
                <w:color w:val="000000" w:themeColor="text1"/>
                <w:szCs w:val="21"/>
              </w:rPr>
              <w:t>255,401.00</w:t>
            </w:r>
          </w:p>
        </w:tc>
        <w:tc>
          <w:tcPr>
            <w:tcW w:w="1842" w:type="dxa"/>
            <w:vAlign w:val="center"/>
          </w:tcPr>
          <w:p w:rsidR="00DA795E" w:rsidRDefault="00AE19D4">
            <w:pPr>
              <w:jc w:val="right"/>
            </w:pPr>
            <w:r>
              <w:rPr>
                <w:rFonts w:eastAsiaTheme="minorEastAsia"/>
                <w:color w:val="000000" w:themeColor="text1"/>
                <w:szCs w:val="21"/>
              </w:rPr>
              <w:t>6,349,268.86</w:t>
            </w:r>
          </w:p>
        </w:tc>
        <w:tc>
          <w:tcPr>
            <w:tcW w:w="1616" w:type="dxa"/>
            <w:vAlign w:val="center"/>
          </w:tcPr>
          <w:p w:rsidR="00DA795E" w:rsidRDefault="00AE19D4">
            <w:pPr>
              <w:jc w:val="right"/>
            </w:pPr>
            <w:r>
              <w:rPr>
                <w:rFonts w:eastAsiaTheme="minorEastAsia"/>
                <w:color w:val="000000" w:themeColor="text1"/>
                <w:szCs w:val="21"/>
              </w:rPr>
              <w:t>3.03</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lastRenderedPageBreak/>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0A0010"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本基金投资的前十名证券的发行主体中，人福医药集团股份公司（股票代码</w:t>
      </w:r>
      <w:r w:rsidRPr="00473486">
        <w:rPr>
          <w:rFonts w:eastAsiaTheme="minorEastAsia"/>
          <w:color w:val="000000" w:themeColor="text1"/>
          <w:szCs w:val="21"/>
        </w:rPr>
        <w:t>600079</w:t>
      </w:r>
      <w:r w:rsidRPr="00473486">
        <w:rPr>
          <w:rFonts w:eastAsiaTheme="minorEastAsia"/>
          <w:color w:val="000000" w:themeColor="text1"/>
          <w:szCs w:val="21"/>
        </w:rPr>
        <w:t>）在报告编制日前一年内曾受到上海证券交易所的处罚。</w:t>
      </w:r>
    </w:p>
    <w:p w:rsidR="00DA795E" w:rsidRDefault="00AE19D4">
      <w:pPr>
        <w:spacing w:line="360" w:lineRule="auto"/>
        <w:rPr>
          <w:rFonts w:eastAsiaTheme="minorEastAsia"/>
          <w:color w:val="000000" w:themeColor="text1"/>
          <w:szCs w:val="21"/>
        </w:rPr>
      </w:pPr>
      <w:r>
        <w:rPr>
          <w:rFonts w:eastAsiaTheme="minorEastAsia"/>
          <w:color w:val="000000" w:themeColor="text1"/>
          <w:szCs w:val="21"/>
        </w:rPr>
        <w:t>本基金对上述主体所发行证券的投资决策程序符合相关法律法规、基金合同及公司投资制度</w:t>
      </w:r>
      <w:r>
        <w:rPr>
          <w:rFonts w:eastAsiaTheme="minorEastAsia"/>
          <w:color w:val="000000" w:themeColor="text1"/>
          <w:szCs w:val="21"/>
        </w:rPr>
        <w:lastRenderedPageBreak/>
        <w:t>的要求。</w:t>
      </w:r>
    </w:p>
    <w:p w:rsidR="00DA795E" w:rsidRDefault="00AE19D4">
      <w:pPr>
        <w:spacing w:line="360" w:lineRule="auto"/>
        <w:rPr>
          <w:rFonts w:eastAsiaTheme="minorEastAsia"/>
          <w:color w:val="000000" w:themeColor="text1"/>
          <w:szCs w:val="21"/>
        </w:rPr>
      </w:pPr>
      <w:r>
        <w:rPr>
          <w:rFonts w:eastAsiaTheme="minorEastAsia"/>
          <w:color w:val="000000" w:themeColor="text1"/>
          <w:szCs w:val="21"/>
        </w:rPr>
        <w:t>除上述股票外，本基金投资的其余前十名证券的发行主体本期未出现被监管部门立案调查，或在报告编制日前一年内受到公开谴责、处罚的情形。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10,986.34</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11,686.20</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22,672.54</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276"/>
        <w:gridCol w:w="1417"/>
        <w:gridCol w:w="1701"/>
        <w:gridCol w:w="1560"/>
        <w:gridCol w:w="1757"/>
      </w:tblGrid>
      <w:tr w:rsidR="00881A82" w:rsidRPr="00473486" w:rsidTr="00AE19D4">
        <w:tc>
          <w:tcPr>
            <w:tcW w:w="80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41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701"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流通受限部分的公允价值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560"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流通受限情况说明</w:t>
            </w:r>
          </w:p>
        </w:tc>
      </w:tr>
      <w:tr w:rsidR="00DA795E" w:rsidTr="00AE19D4">
        <w:tc>
          <w:tcPr>
            <w:tcW w:w="802" w:type="dxa"/>
            <w:vAlign w:val="center"/>
          </w:tcPr>
          <w:p w:rsidR="00DA795E" w:rsidRDefault="00AE19D4">
            <w:pPr>
              <w:jc w:val="center"/>
            </w:pPr>
            <w:r>
              <w:rPr>
                <w:rFonts w:eastAsiaTheme="minorEastAsia"/>
                <w:color w:val="000000" w:themeColor="text1"/>
                <w:szCs w:val="21"/>
              </w:rPr>
              <w:t>1</w:t>
            </w:r>
          </w:p>
        </w:tc>
        <w:tc>
          <w:tcPr>
            <w:tcW w:w="1276" w:type="dxa"/>
            <w:vAlign w:val="center"/>
          </w:tcPr>
          <w:p w:rsidR="00DA795E" w:rsidRDefault="00AE19D4">
            <w:pPr>
              <w:jc w:val="center"/>
            </w:pPr>
            <w:r>
              <w:rPr>
                <w:rFonts w:eastAsiaTheme="minorEastAsia"/>
                <w:color w:val="000000" w:themeColor="text1"/>
                <w:szCs w:val="21"/>
              </w:rPr>
              <w:t>002422</w:t>
            </w:r>
          </w:p>
        </w:tc>
        <w:tc>
          <w:tcPr>
            <w:tcW w:w="1417" w:type="dxa"/>
            <w:vAlign w:val="center"/>
          </w:tcPr>
          <w:p w:rsidR="00DA795E" w:rsidRDefault="00AE19D4">
            <w:pPr>
              <w:jc w:val="center"/>
            </w:pPr>
            <w:r>
              <w:rPr>
                <w:rFonts w:eastAsiaTheme="minorEastAsia"/>
                <w:color w:val="000000" w:themeColor="text1"/>
                <w:szCs w:val="21"/>
              </w:rPr>
              <w:t>科伦药业</w:t>
            </w:r>
          </w:p>
        </w:tc>
        <w:tc>
          <w:tcPr>
            <w:tcW w:w="1701" w:type="dxa"/>
            <w:vAlign w:val="center"/>
          </w:tcPr>
          <w:p w:rsidR="00DA795E" w:rsidRDefault="00AE19D4">
            <w:pPr>
              <w:jc w:val="right"/>
            </w:pPr>
            <w:r>
              <w:rPr>
                <w:rFonts w:eastAsiaTheme="minorEastAsia"/>
                <w:color w:val="000000" w:themeColor="text1"/>
                <w:szCs w:val="21"/>
              </w:rPr>
              <w:t>1,748,810.00</w:t>
            </w:r>
          </w:p>
        </w:tc>
        <w:tc>
          <w:tcPr>
            <w:tcW w:w="1560" w:type="dxa"/>
            <w:vAlign w:val="center"/>
          </w:tcPr>
          <w:p w:rsidR="00DA795E" w:rsidRDefault="00AE19D4">
            <w:pPr>
              <w:jc w:val="right"/>
            </w:pPr>
            <w:r>
              <w:rPr>
                <w:rFonts w:eastAsiaTheme="minorEastAsia"/>
                <w:color w:val="000000" w:themeColor="text1"/>
                <w:szCs w:val="21"/>
              </w:rPr>
              <w:t>0.83</w:t>
            </w:r>
          </w:p>
        </w:tc>
        <w:tc>
          <w:tcPr>
            <w:tcW w:w="1757" w:type="dxa"/>
            <w:vAlign w:val="center"/>
          </w:tcPr>
          <w:p w:rsidR="00DA795E" w:rsidRDefault="00AE19D4">
            <w:pPr>
              <w:jc w:val="right"/>
            </w:pPr>
            <w:r>
              <w:rPr>
                <w:rFonts w:eastAsiaTheme="minorEastAsia"/>
                <w:color w:val="000000" w:themeColor="text1"/>
                <w:szCs w:val="21"/>
              </w:rPr>
              <w:t>转融通流通受限</w:t>
            </w:r>
          </w:p>
        </w:tc>
      </w:tr>
      <w:tr w:rsidR="00DA795E" w:rsidTr="00AE19D4">
        <w:tc>
          <w:tcPr>
            <w:tcW w:w="802" w:type="dxa"/>
            <w:vAlign w:val="center"/>
          </w:tcPr>
          <w:p w:rsidR="00DA795E" w:rsidRDefault="00AE19D4">
            <w:pPr>
              <w:jc w:val="center"/>
            </w:pPr>
            <w:r>
              <w:rPr>
                <w:rFonts w:eastAsiaTheme="minorEastAsia"/>
                <w:color w:val="000000" w:themeColor="text1"/>
                <w:szCs w:val="21"/>
              </w:rPr>
              <w:t>2</w:t>
            </w:r>
          </w:p>
        </w:tc>
        <w:tc>
          <w:tcPr>
            <w:tcW w:w="1276" w:type="dxa"/>
            <w:vAlign w:val="center"/>
          </w:tcPr>
          <w:p w:rsidR="00DA795E" w:rsidRDefault="00AE19D4">
            <w:pPr>
              <w:jc w:val="center"/>
            </w:pPr>
            <w:r>
              <w:rPr>
                <w:rFonts w:eastAsiaTheme="minorEastAsia"/>
                <w:color w:val="000000" w:themeColor="text1"/>
                <w:szCs w:val="21"/>
              </w:rPr>
              <w:t>603392</w:t>
            </w:r>
          </w:p>
        </w:tc>
        <w:tc>
          <w:tcPr>
            <w:tcW w:w="1417" w:type="dxa"/>
            <w:vAlign w:val="center"/>
          </w:tcPr>
          <w:p w:rsidR="00DA795E" w:rsidRDefault="00AE19D4">
            <w:pPr>
              <w:jc w:val="center"/>
            </w:pPr>
            <w:r>
              <w:rPr>
                <w:rFonts w:eastAsiaTheme="minorEastAsia"/>
                <w:color w:val="000000" w:themeColor="text1"/>
                <w:szCs w:val="21"/>
              </w:rPr>
              <w:t>万泰生物</w:t>
            </w:r>
          </w:p>
        </w:tc>
        <w:tc>
          <w:tcPr>
            <w:tcW w:w="1701" w:type="dxa"/>
            <w:vAlign w:val="center"/>
          </w:tcPr>
          <w:p w:rsidR="00DA795E" w:rsidRDefault="00AE19D4">
            <w:pPr>
              <w:jc w:val="right"/>
            </w:pPr>
            <w:r>
              <w:rPr>
                <w:rFonts w:eastAsiaTheme="minorEastAsia"/>
                <w:color w:val="000000" w:themeColor="text1"/>
                <w:szCs w:val="21"/>
              </w:rPr>
              <w:t>1,592,756.00</w:t>
            </w:r>
          </w:p>
        </w:tc>
        <w:tc>
          <w:tcPr>
            <w:tcW w:w="1560" w:type="dxa"/>
            <w:vAlign w:val="center"/>
          </w:tcPr>
          <w:p w:rsidR="00DA795E" w:rsidRDefault="00AE19D4">
            <w:pPr>
              <w:jc w:val="right"/>
            </w:pPr>
            <w:r>
              <w:rPr>
                <w:rFonts w:eastAsiaTheme="minorEastAsia"/>
                <w:color w:val="000000" w:themeColor="text1"/>
                <w:szCs w:val="21"/>
              </w:rPr>
              <w:t>0.76</w:t>
            </w:r>
          </w:p>
        </w:tc>
        <w:tc>
          <w:tcPr>
            <w:tcW w:w="1757" w:type="dxa"/>
            <w:vAlign w:val="center"/>
          </w:tcPr>
          <w:p w:rsidR="00DA795E" w:rsidRDefault="00AE19D4">
            <w:pPr>
              <w:jc w:val="right"/>
            </w:pPr>
            <w:r>
              <w:rPr>
                <w:rFonts w:eastAsiaTheme="minorEastAsia"/>
                <w:color w:val="000000" w:themeColor="text1"/>
                <w:szCs w:val="21"/>
              </w:rPr>
              <w:t>转融通流通受限</w:t>
            </w:r>
          </w:p>
        </w:tc>
      </w:tr>
      <w:tr w:rsidR="00DA795E" w:rsidTr="00AE19D4">
        <w:tc>
          <w:tcPr>
            <w:tcW w:w="802" w:type="dxa"/>
            <w:vAlign w:val="center"/>
          </w:tcPr>
          <w:p w:rsidR="00DA795E" w:rsidRDefault="00AE19D4">
            <w:pPr>
              <w:jc w:val="center"/>
            </w:pPr>
            <w:r>
              <w:rPr>
                <w:rFonts w:eastAsiaTheme="minorEastAsia"/>
                <w:color w:val="000000" w:themeColor="text1"/>
                <w:szCs w:val="21"/>
              </w:rPr>
              <w:t>3</w:t>
            </w:r>
          </w:p>
        </w:tc>
        <w:tc>
          <w:tcPr>
            <w:tcW w:w="1276" w:type="dxa"/>
            <w:vAlign w:val="center"/>
          </w:tcPr>
          <w:p w:rsidR="00DA795E" w:rsidRDefault="00AE19D4">
            <w:pPr>
              <w:jc w:val="center"/>
            </w:pPr>
            <w:r>
              <w:rPr>
                <w:rFonts w:eastAsiaTheme="minorEastAsia"/>
                <w:color w:val="000000" w:themeColor="text1"/>
                <w:szCs w:val="21"/>
              </w:rPr>
              <w:t>600079</w:t>
            </w:r>
          </w:p>
        </w:tc>
        <w:tc>
          <w:tcPr>
            <w:tcW w:w="1417" w:type="dxa"/>
            <w:vAlign w:val="center"/>
          </w:tcPr>
          <w:p w:rsidR="00DA795E" w:rsidRDefault="00AE19D4">
            <w:pPr>
              <w:jc w:val="center"/>
            </w:pPr>
            <w:r>
              <w:rPr>
                <w:rFonts w:eastAsiaTheme="minorEastAsia"/>
                <w:color w:val="000000" w:themeColor="text1"/>
                <w:szCs w:val="21"/>
              </w:rPr>
              <w:t>人福医药</w:t>
            </w:r>
          </w:p>
        </w:tc>
        <w:tc>
          <w:tcPr>
            <w:tcW w:w="1701" w:type="dxa"/>
            <w:vAlign w:val="center"/>
          </w:tcPr>
          <w:p w:rsidR="00DA795E" w:rsidRDefault="00AE19D4">
            <w:pPr>
              <w:jc w:val="right"/>
            </w:pPr>
            <w:r>
              <w:rPr>
                <w:rFonts w:eastAsiaTheme="minorEastAsia"/>
                <w:color w:val="000000" w:themeColor="text1"/>
                <w:szCs w:val="21"/>
              </w:rPr>
              <w:t>263,516.00</w:t>
            </w:r>
          </w:p>
        </w:tc>
        <w:tc>
          <w:tcPr>
            <w:tcW w:w="1560" w:type="dxa"/>
            <w:vAlign w:val="center"/>
          </w:tcPr>
          <w:p w:rsidR="00DA795E" w:rsidRDefault="00AE19D4">
            <w:pPr>
              <w:jc w:val="right"/>
            </w:pPr>
            <w:r>
              <w:rPr>
                <w:rFonts w:eastAsiaTheme="minorEastAsia"/>
                <w:color w:val="000000" w:themeColor="text1"/>
                <w:szCs w:val="21"/>
              </w:rPr>
              <w:t>0.13</w:t>
            </w:r>
          </w:p>
        </w:tc>
        <w:tc>
          <w:tcPr>
            <w:tcW w:w="1757" w:type="dxa"/>
            <w:vAlign w:val="center"/>
          </w:tcPr>
          <w:p w:rsidR="00DA795E" w:rsidRDefault="00AE19D4">
            <w:pPr>
              <w:jc w:val="right"/>
            </w:pPr>
            <w:r>
              <w:rPr>
                <w:rFonts w:eastAsiaTheme="minorEastAsia"/>
                <w:color w:val="000000" w:themeColor="text1"/>
                <w:szCs w:val="21"/>
              </w:rPr>
              <w:t>转融通流通受限</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lastRenderedPageBreak/>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227,969,080.00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235,969,080.00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DA795E">
        <w:tc>
          <w:tcPr>
            <w:tcW w:w="993" w:type="dxa"/>
            <w:vMerge w:val="restart"/>
            <w:vAlign w:val="center"/>
          </w:tcPr>
          <w:p w:rsidR="00DA795E" w:rsidRDefault="00AE19D4">
            <w:r>
              <w:rPr>
                <w:bCs/>
                <w:color w:val="000000"/>
                <w:kern w:val="0"/>
                <w:szCs w:val="21"/>
              </w:rPr>
              <w:t>机构</w:t>
            </w:r>
          </w:p>
        </w:tc>
        <w:tc>
          <w:tcPr>
            <w:tcW w:w="992" w:type="dxa"/>
            <w:vAlign w:val="center"/>
          </w:tcPr>
          <w:p w:rsidR="00DA795E" w:rsidRDefault="00AE19D4">
            <w:pPr>
              <w:jc w:val="center"/>
            </w:pPr>
            <w:r>
              <w:rPr>
                <w:color w:val="000000"/>
                <w:kern w:val="0"/>
                <w:szCs w:val="21"/>
              </w:rPr>
              <w:t>1</w:t>
            </w:r>
          </w:p>
        </w:tc>
        <w:tc>
          <w:tcPr>
            <w:tcW w:w="1843" w:type="dxa"/>
            <w:vAlign w:val="center"/>
          </w:tcPr>
          <w:p w:rsidR="00DA795E" w:rsidRDefault="00AE19D4">
            <w:pPr>
              <w:jc w:val="center"/>
            </w:pPr>
            <w:r>
              <w:rPr>
                <w:color w:val="000000"/>
                <w:kern w:val="0"/>
                <w:szCs w:val="21"/>
              </w:rPr>
              <w:t>20231001-20231231</w:t>
            </w:r>
          </w:p>
        </w:tc>
        <w:tc>
          <w:tcPr>
            <w:tcW w:w="851" w:type="dxa"/>
            <w:vAlign w:val="center"/>
          </w:tcPr>
          <w:p w:rsidR="00DA795E" w:rsidRDefault="00AE19D4">
            <w:pPr>
              <w:jc w:val="center"/>
            </w:pPr>
            <w:r>
              <w:rPr>
                <w:color w:val="000000"/>
                <w:kern w:val="0"/>
                <w:szCs w:val="21"/>
              </w:rPr>
              <w:t>200,000,000.00</w:t>
            </w:r>
          </w:p>
        </w:tc>
        <w:tc>
          <w:tcPr>
            <w:tcW w:w="850" w:type="dxa"/>
            <w:vAlign w:val="center"/>
          </w:tcPr>
          <w:p w:rsidR="00DA795E" w:rsidRDefault="00AE19D4">
            <w:pPr>
              <w:jc w:val="center"/>
            </w:pPr>
            <w:r>
              <w:rPr>
                <w:color w:val="000000"/>
                <w:kern w:val="0"/>
                <w:szCs w:val="21"/>
              </w:rPr>
              <w:t>0.00</w:t>
            </w:r>
          </w:p>
        </w:tc>
        <w:tc>
          <w:tcPr>
            <w:tcW w:w="1134" w:type="dxa"/>
            <w:vAlign w:val="center"/>
          </w:tcPr>
          <w:p w:rsidR="00DA795E" w:rsidRDefault="00AE19D4">
            <w:pPr>
              <w:jc w:val="center"/>
            </w:pPr>
            <w:r>
              <w:rPr>
                <w:color w:val="000000"/>
                <w:kern w:val="0"/>
                <w:szCs w:val="21"/>
              </w:rPr>
              <w:t>0.00</w:t>
            </w:r>
          </w:p>
        </w:tc>
        <w:tc>
          <w:tcPr>
            <w:tcW w:w="1419" w:type="dxa"/>
            <w:vAlign w:val="center"/>
          </w:tcPr>
          <w:p w:rsidR="00DA795E" w:rsidRDefault="00AE19D4">
            <w:pPr>
              <w:jc w:val="center"/>
            </w:pPr>
            <w:r>
              <w:rPr>
                <w:color w:val="000000"/>
                <w:kern w:val="0"/>
                <w:szCs w:val="21"/>
              </w:rPr>
              <w:t>200,000,000.00</w:t>
            </w:r>
          </w:p>
        </w:tc>
        <w:tc>
          <w:tcPr>
            <w:tcW w:w="1130" w:type="dxa"/>
            <w:vAlign w:val="center"/>
          </w:tcPr>
          <w:p w:rsidR="00DA795E" w:rsidRDefault="00AE19D4">
            <w:pPr>
              <w:jc w:val="center"/>
            </w:pPr>
            <w:r>
              <w:rPr>
                <w:color w:val="000000"/>
                <w:kern w:val="0"/>
                <w:szCs w:val="21"/>
              </w:rPr>
              <w:t>84.76%</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摩根中证创新药产业交易型开放式指数证券投资基金基金合同</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摩根中证创新药产业交易型开放式指数证券投资基金托管协议</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DA795E" w:rsidRDefault="00AE1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基金管理人或基金托管人处。</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二〇二四年一月二十二日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DF" w:rsidRDefault="007F3EDF">
      <w:r>
        <w:separator/>
      </w:r>
    </w:p>
  </w:endnote>
  <w:endnote w:type="continuationSeparator" w:id="0">
    <w:p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E19D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E19D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E19D4">
      <w:rPr>
        <w:rStyle w:val="af5"/>
        <w:noProof/>
      </w:rPr>
      <w:t>10</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DF" w:rsidRDefault="007F3EDF">
      <w:r>
        <w:separator/>
      </w:r>
    </w:p>
  </w:footnote>
  <w:footnote w:type="continuationSeparator" w:id="0">
    <w:p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摩根中证创新药产业交易型开放式指数证券投资基金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19D4"/>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A795E"/>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1175</Words>
  <Characters>6702</Characters>
  <Application>Microsoft Office Word</Application>
  <DocSecurity>0</DocSecurity>
  <Lines>55</Lines>
  <Paragraphs>15</Paragraphs>
  <ScaleCrop>false</ScaleCrop>
  <Company>TRT. Ltd. Co.</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158</cp:revision>
  <cp:lastPrinted>2007-07-19T00:46:00Z</cp:lastPrinted>
  <dcterms:created xsi:type="dcterms:W3CDTF">2012-11-21T04:46:00Z</dcterms:created>
  <dcterms:modified xsi:type="dcterms:W3CDTF">2024-01-19T06:23:00Z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