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F1529" w:rsidRDefault="005F1529">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5F1529" w:rsidRDefault="005F1529">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F1529" w:rsidRDefault="005F1529">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摩根恒生港股通</w:t>
      </w:r>
      <w:r>
        <w:rPr>
          <w:rFonts w:ascii="宋体" w:hAnsi="宋体" w:hint="eastAsia"/>
          <w:b/>
          <w:bCs/>
          <w:color w:val="000000" w:themeColor="text1"/>
          <w:sz w:val="48"/>
          <w:szCs w:val="30"/>
        </w:rPr>
        <w:t>50</w:t>
      </w:r>
      <w:r>
        <w:rPr>
          <w:rFonts w:ascii="宋体" w:hAnsi="宋体" w:hint="eastAsia"/>
          <w:b/>
          <w:bCs/>
          <w:color w:val="000000" w:themeColor="text1"/>
          <w:sz w:val="48"/>
          <w:szCs w:val="30"/>
        </w:rPr>
        <w:t>交易型开放式指数证券投资基金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F1529" w:rsidRDefault="005F152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F1529" w:rsidRDefault="005F1529">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F1529" w:rsidRDefault="005F1529">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F1529" w:rsidRDefault="005F1529">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江苏银行股份有限公</w:t>
      </w:r>
      <w:r>
        <w:rPr>
          <w:rFonts w:ascii="宋体" w:hAnsi="宋体" w:hint="eastAsia"/>
          <w:b/>
          <w:bCs/>
          <w:sz w:val="28"/>
          <w:szCs w:val="30"/>
        </w:rPr>
        <w:t>司</w:t>
      </w:r>
    </w:p>
    <w:p w:rsidR="005F1529" w:rsidRDefault="005F1529">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F1529" w:rsidRDefault="005F1529">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w:t>
      </w:r>
      <w:r>
        <w:rPr>
          <w:rFonts w:hAnsi="宋体" w:hint="eastAsia"/>
        </w:rPr>
        <w:t>示</w:t>
      </w:r>
      <w:bookmarkEnd w:id="7"/>
      <w:bookmarkEnd w:id="8"/>
      <w:bookmarkEnd w:id="9"/>
      <w:bookmarkEnd w:id="10"/>
      <w:bookmarkEnd w:id="11"/>
      <w:r>
        <w:rPr>
          <w:rFonts w:hAnsi="宋体" w:hint="eastAsia"/>
        </w:rPr>
        <w:t xml:space="preserve"> </w:t>
      </w:r>
    </w:p>
    <w:p w:rsidR="005F1529" w:rsidRDefault="005F1529">
      <w:pPr>
        <w:spacing w:line="360" w:lineRule="auto"/>
        <w:ind w:firstLineChars="200" w:firstLine="420"/>
        <w:divId w:val="1821117455"/>
        <w:rPr>
          <w:rFonts w:hint="eastAsia"/>
        </w:rPr>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基金托管人江苏银行股份有限公司根据本基金合同约定，于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F1529" w:rsidRDefault="005F1529">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w:t>
      </w:r>
      <w:r>
        <w:rPr>
          <w:rFonts w:hAnsi="宋体" w:hint="eastAsia"/>
        </w:rPr>
        <w:t>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149368846"/>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rPr>
                <w:rFonts w:hint="eastAsia"/>
              </w:rPr>
            </w:pPr>
            <w:bookmarkStart w:id="25" w:name="OLE_LINK1"/>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摩根恒生港股通</w:t>
            </w:r>
            <w:r>
              <w:rPr>
                <w:rFonts w:asciiTheme="minorEastAsia" w:eastAsiaTheme="minorEastAsia" w:hAnsiTheme="minorEastAsia" w:hint="eastAsia"/>
              </w:rPr>
              <w:t>50ET</w:t>
            </w:r>
            <w:r>
              <w:rPr>
                <w:rFonts w:asciiTheme="minorEastAsia" w:eastAsiaTheme="minorEastAsia" w:hAnsiTheme="minorEastAsia" w:hint="eastAsia"/>
              </w:rPr>
              <w:t>F</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52095</w:t>
            </w:r>
            <w:r>
              <w:rPr>
                <w:rFonts w:asciiTheme="minorEastAsia" w:eastAsiaTheme="minorEastAsia" w:hAnsiTheme="minorEastAsia" w:hint="eastAsia"/>
              </w:rPr>
              <w:t>0</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交易代码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52095</w:t>
            </w:r>
            <w:r>
              <w:rPr>
                <w:rFonts w:asciiTheme="minorEastAsia" w:eastAsiaTheme="minorEastAsia" w:hAnsiTheme="minorEastAsia" w:hint="eastAsia"/>
              </w:rPr>
              <w:t>0</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交易型开放</w:t>
            </w:r>
            <w:r>
              <w:rPr>
                <w:rFonts w:asciiTheme="minorEastAsia" w:eastAsiaTheme="minorEastAsia" w:hAnsiTheme="minorEastAsia" w:hint="eastAsia"/>
              </w:rPr>
              <w:t>式</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2025</w:t>
            </w:r>
            <w:r>
              <w:rPr>
                <w:rFonts w:asciiTheme="minorEastAsia" w:eastAsiaTheme="minorEastAsia" w:hAnsiTheme="minorEastAsia" w:hint="eastAsia"/>
              </w:rPr>
              <w:t>年</w:t>
            </w:r>
            <w:r>
              <w:rPr>
                <w:rFonts w:asciiTheme="minorEastAsia" w:eastAsiaTheme="minorEastAsia" w:hAnsiTheme="minorEastAsia" w:hint="eastAsia"/>
              </w:rPr>
              <w:t>10</w:t>
            </w:r>
            <w:r>
              <w:rPr>
                <w:rFonts w:asciiTheme="minorEastAsia" w:eastAsiaTheme="minorEastAsia" w:hAnsiTheme="minorEastAsia" w:hint="eastAsia"/>
              </w:rPr>
              <w:t>月</w:t>
            </w:r>
            <w:r>
              <w:rPr>
                <w:rFonts w:asciiTheme="minorEastAsia" w:eastAsiaTheme="minorEastAsia" w:hAnsiTheme="minorEastAsia" w:hint="eastAsia"/>
              </w:rPr>
              <w:t>29</w:t>
            </w:r>
            <w:r>
              <w:rPr>
                <w:rFonts w:asciiTheme="minorEastAsia" w:eastAsiaTheme="minorEastAsia" w:hAnsiTheme="minorEastAsia" w:hint="eastAsia"/>
              </w:rPr>
              <w:t>日</w:t>
            </w:r>
          </w:p>
        </w:tc>
      </w:tr>
      <w:tr w:rsidR="00000000">
        <w:trPr>
          <w:divId w:val="149368846"/>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351,421,000.0</w:t>
            </w:r>
            <w:r>
              <w:rPr>
                <w:rFonts w:asciiTheme="minorEastAsia" w:eastAsiaTheme="minorEastAsia" w:hAnsiTheme="minorEastAsia" w:hint="eastAsia"/>
              </w:rPr>
              <w:t>0</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149368846"/>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r>
              <w:rPr>
                <w:rFonts w:asciiTheme="minorEastAsia" w:eastAsiaTheme="minorEastAsia" w:hAnsiTheme="minorEastAsia" w:hint="eastAsia"/>
              </w:rPr>
              <w:t>。</w:t>
            </w:r>
          </w:p>
        </w:tc>
      </w:tr>
      <w:tr w:rsidR="00000000">
        <w:trPr>
          <w:divId w:val="149368846"/>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w:t>
            </w:r>
            <w:r>
              <w:rPr>
                <w:rFonts w:asciiTheme="minorEastAsia" w:eastAsiaTheme="minorEastAsia" w:hAnsiTheme="minorEastAsia" w:hint="eastAsia"/>
              </w:rPr>
              <w:t>0.35%</w:t>
            </w:r>
            <w:r>
              <w:rPr>
                <w:rFonts w:asciiTheme="minorEastAsia" w:eastAsiaTheme="minorEastAsia" w:hAnsiTheme="minorEastAsia" w:hint="eastAsia"/>
              </w:rPr>
              <w:t>，年跟踪误差不超过</w:t>
            </w:r>
            <w:r>
              <w:rPr>
                <w:rFonts w:asciiTheme="minorEastAsia" w:eastAsiaTheme="minorEastAsia" w:hAnsiTheme="minorEastAsia" w:hint="eastAsia"/>
              </w:rPr>
              <w:t>4%</w:t>
            </w:r>
            <w:r>
              <w:rPr>
                <w:rFonts w:asciiTheme="minorEastAsia" w:eastAsiaTheme="minorEastAsia" w:hAnsiTheme="minorEastAsia" w:hint="eastAsia"/>
              </w:rPr>
              <w:t>。</w:t>
            </w:r>
            <w:r>
              <w:rPr>
                <w:rFonts w:asciiTheme="minorEastAsia" w:eastAsiaTheme="minorEastAsia" w:hAnsiTheme="minorEastAsia" w:hint="eastAsia"/>
              </w:rPr>
              <w:br/>
              <w:t>1</w:t>
            </w:r>
            <w:r>
              <w:rPr>
                <w:rFonts w:asciiTheme="minorEastAsia" w:eastAsiaTheme="minorEastAsia" w:hAnsiTheme="minorEastAsia" w:hint="eastAsia"/>
              </w:rPr>
              <w:t>、复制策略</w:t>
            </w:r>
            <w:r>
              <w:rPr>
                <w:rFonts w:asciiTheme="minorEastAsia" w:eastAsiaTheme="minorEastAsia" w:hAnsiTheme="minorEastAsia" w:hint="eastAsia"/>
              </w:rPr>
              <w:br/>
            </w:r>
            <w:r>
              <w:rPr>
                <w:rFonts w:asciiTheme="minorEastAsia" w:eastAsiaTheme="minorEastAsia" w:hAnsiTheme="minorEastAsia" w:hint="eastAsia"/>
              </w:rP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）定期调整</w:t>
            </w:r>
            <w:r>
              <w:rPr>
                <w:rFonts w:asciiTheme="minorEastAsia" w:eastAsiaTheme="minorEastAsia" w:hAnsiTheme="minorEastAsia" w:hint="eastAsia"/>
              </w:rPr>
              <w:br/>
            </w:r>
            <w:r>
              <w:rPr>
                <w:rFonts w:asciiTheme="minorEastAsia" w:eastAsiaTheme="minorEastAsia" w:hAnsiTheme="minorEastAsia" w:hint="eastAsia"/>
              </w:rP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）不定期调整</w:t>
            </w:r>
            <w:r>
              <w:rPr>
                <w:rFonts w:asciiTheme="minorEastAsia" w:eastAsiaTheme="minorEastAsia" w:hAnsiTheme="minorEastAsia" w:hint="eastAsia"/>
              </w:rPr>
              <w:br/>
              <w:t>1</w:t>
            </w:r>
            <w:r>
              <w:rPr>
                <w:rFonts w:asciiTheme="minorEastAsia" w:eastAsiaTheme="minorEastAsia" w:hAnsiTheme="minorEastAsia" w:hint="eastAsia"/>
              </w:rPr>
              <w:t>）根据指数编制规则，当标的指数成份股因增发、送配等股权变动而需进行成份股权重调整时，本基金将根据标的指数权重比例的变化，进行相应调整。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t>2</w:t>
            </w:r>
            <w:r>
              <w:rPr>
                <w:rFonts w:asciiTheme="minorEastAsia" w:eastAsiaTheme="minorEastAsia" w:hAnsiTheme="minorEastAsia" w:hint="eastAsia"/>
              </w:rPr>
              <w:t>）当标的指数成份股因停牌、流动性不足等因素导致基金无法按照指数权重进行配置，基金管理人将综合考虑跟踪误差和投资者利益，选择相关股票进行适当的替代。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w:t>
            </w:r>
            <w:r>
              <w:rPr>
                <w:rFonts w:asciiTheme="minorEastAsia" w:eastAsiaTheme="minorEastAsia" w:hAnsiTheme="minorEastAsia" w:hint="eastAsia"/>
              </w:rPr>
              <w:t>）本基金将根据申购和赎回情况对股票投资组合进行调整，保证基金正常运行，从而有效跟踪标的指数。</w:t>
            </w:r>
            <w:r>
              <w:rPr>
                <w:rFonts w:asciiTheme="minorEastAsia" w:eastAsiaTheme="minorEastAsia" w:hAnsiTheme="minorEastAsia" w:hint="eastAsia"/>
              </w:rPr>
              <w:br/>
              <w:t>2</w:t>
            </w:r>
            <w:r>
              <w:rPr>
                <w:rFonts w:asciiTheme="minorEastAsia" w:eastAsiaTheme="minorEastAsia" w:hAnsiTheme="minorEastAsia" w:hint="eastAsia"/>
              </w:rPr>
              <w:t>、替代策略</w:t>
            </w:r>
            <w:r>
              <w:rPr>
                <w:rFonts w:asciiTheme="minorEastAsia" w:eastAsiaTheme="minorEastAsia" w:hAnsiTheme="minorEastAsia" w:hint="eastAsia"/>
              </w:rPr>
              <w:br/>
            </w:r>
            <w:r>
              <w:rPr>
                <w:rFonts w:asciiTheme="minorEastAsia" w:eastAsiaTheme="minorEastAsia" w:hAnsiTheme="minorEastAsia" w:hint="eastAsia"/>
              </w:rPr>
              <w:t>当预期成份股发生调整和成份股发生配股、增发、分红、长期停牌等行为时，或因基金的申购和赎回等对本基金跟踪标的指数的效果可能带来影响时，或因某些特殊情况导致流动性不足时，或法律法规的限制无法投资某</w:t>
            </w:r>
            <w:r>
              <w:rPr>
                <w:rFonts w:asciiTheme="minorEastAsia" w:eastAsiaTheme="minorEastAsia" w:hAnsiTheme="minorEastAsia" w:hint="eastAsia"/>
              </w:rPr>
              <w:t>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w:t>
            </w:r>
            <w:r>
              <w:rPr>
                <w:rFonts w:asciiTheme="minorEastAsia" w:eastAsiaTheme="minorEastAsia" w:hAnsiTheme="minorEastAsia" w:hint="eastAsia"/>
              </w:rPr>
              <w:t>、其他投资策略：包括股指期货投资策略、股票期权投资策略、债券投资策略、融资及转融通证券出借策略、存托凭证投资策略</w:t>
            </w:r>
            <w:r>
              <w:rPr>
                <w:rFonts w:asciiTheme="minorEastAsia" w:eastAsiaTheme="minorEastAsia" w:hAnsiTheme="minorEastAsia" w:hint="eastAsia"/>
              </w:rPr>
              <w:t>。</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本基金的业绩比较基准为标的指数，即恒生港股通</w:t>
            </w:r>
            <w:r>
              <w:rPr>
                <w:rFonts w:asciiTheme="minorEastAsia" w:eastAsiaTheme="minorEastAsia" w:hAnsiTheme="minorEastAsia" w:hint="eastAsia"/>
              </w:rPr>
              <w:t>50</w:t>
            </w:r>
            <w:r>
              <w:rPr>
                <w:rFonts w:asciiTheme="minorEastAsia" w:eastAsiaTheme="minorEastAsia" w:hAnsiTheme="minorEastAsia" w:hint="eastAsia"/>
              </w:rPr>
              <w:t>指数收益率（经汇率调整后）</w:t>
            </w:r>
            <w:r>
              <w:rPr>
                <w:rFonts w:asciiTheme="minorEastAsia" w:eastAsiaTheme="minorEastAsia" w:hAnsiTheme="minorEastAsia" w:hint="eastAsia"/>
              </w:rPr>
              <w:t>。</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r>
              <w:rPr>
                <w:rFonts w:asciiTheme="minorEastAsia" w:eastAsiaTheme="minorEastAsia" w:hAnsiTheme="minorEastAsia" w:hint="eastAsia"/>
              </w:rPr>
              <w:t xml:space="preserve"> </w:t>
            </w:r>
            <w:r>
              <w:rPr>
                <w:rFonts w:asciiTheme="minorEastAsia" w:eastAsiaTheme="minorEastAsia" w:hAnsiTheme="minorEastAsia" w:hint="eastAsia"/>
              </w:rPr>
              <w:br/>
            </w:r>
            <w:r>
              <w:rPr>
                <w:rFonts w:asciiTheme="minorEastAsia" w:eastAsiaTheme="minorEastAsia" w:hAnsiTheme="minorEastAsia" w:hint="eastAsia"/>
              </w:rPr>
              <w:t>本基金投资于港股通标的股票，还需承担汇率风险和港股通机制下因投资环境、投资标的、市场制度以及交易规则等差异带来的特有风险</w:t>
            </w:r>
            <w:r>
              <w:rPr>
                <w:rFonts w:asciiTheme="minorEastAsia" w:eastAsiaTheme="minorEastAsia" w:hAnsiTheme="minorEastAsia" w:hint="eastAsia"/>
              </w:rPr>
              <w:t>。</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4936884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5F1529" w:rsidRDefault="005F1529">
            <w:pPr>
              <w:widowControl/>
              <w:spacing w:line="315" w:lineRule="atLeast"/>
              <w:jc w:val="left"/>
            </w:pPr>
            <w:r>
              <w:rPr>
                <w:rFonts w:asciiTheme="minorEastAsia" w:eastAsiaTheme="minorEastAsia" w:hAnsiTheme="minorEastAsia" w:hint="eastAsia"/>
              </w:rPr>
              <w:t>江苏银行股份有限公</w:t>
            </w:r>
            <w:r>
              <w:rPr>
                <w:rFonts w:asciiTheme="minorEastAsia" w:eastAsiaTheme="minorEastAsia" w:hAnsiTheme="minorEastAsia" w:hint="eastAsia"/>
              </w:rPr>
              <w:t>司</w:t>
            </w:r>
          </w:p>
        </w:tc>
      </w:tr>
    </w:tbl>
    <w:p w:rsidR="005F1529" w:rsidRDefault="005F1529">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w:t>
      </w:r>
      <w:r>
        <w:rPr>
          <w:rFonts w:hAnsi="宋体" w:hint="eastAsia"/>
        </w:rPr>
        <w:t>现</w:t>
      </w:r>
      <w:bookmarkEnd w:id="26"/>
      <w:bookmarkEnd w:id="27"/>
      <w:bookmarkEnd w:id="28"/>
      <w:bookmarkEnd w:id="29"/>
      <w:bookmarkEnd w:id="30"/>
      <w:r>
        <w:rPr>
          <w:rFonts w:hAnsi="宋体" w:hint="eastAsia"/>
        </w:rPr>
        <w:t xml:space="preserve"> </w:t>
      </w:r>
    </w:p>
    <w:p w:rsidR="005F1529" w:rsidRDefault="005F1529">
      <w:pPr>
        <w:pStyle w:val="XBRLTitle2"/>
        <w:spacing w:before="156" w:line="360" w:lineRule="auto"/>
        <w:ind w:left="454"/>
        <w:rPr>
          <w:rFonts w:hint="eastAsia"/>
        </w:rPr>
      </w:pPr>
      <w:bookmarkStart w:id="33" w:name="_Toc513386585"/>
      <w:bookmarkStart w:id="34" w:name="_Toc490050004"/>
      <w:bookmarkStart w:id="35" w:name="_Toc438646456"/>
      <w:bookmarkStart w:id="36" w:name="_Toc481075050"/>
      <w:bookmarkStart w:id="37" w:name="_Toc512519483"/>
      <w:r>
        <w:rPr>
          <w:rFonts w:hAnsi="宋体" w:hint="eastAsia"/>
        </w:rPr>
        <w:t>主要财务指</w:t>
      </w:r>
      <w:r>
        <w:rPr>
          <w:rFonts w:hAnsi="宋体" w:hint="eastAsia"/>
        </w:rPr>
        <w:t>标</w:t>
      </w:r>
      <w:bookmarkEnd w:id="33"/>
      <w:bookmarkEnd w:id="34"/>
      <w:bookmarkEnd w:id="35"/>
      <w:bookmarkEnd w:id="36"/>
      <w:bookmarkEnd w:id="37"/>
      <w:r>
        <w:rPr>
          <w:rFonts w:hAnsi="宋体" w:hint="eastAsia"/>
        </w:rPr>
        <w:t xml:space="preserve"> </w:t>
      </w:r>
    </w:p>
    <w:p w:rsidR="005F1529" w:rsidRDefault="005F1529">
      <w:pPr>
        <w:jc w:val="right"/>
        <w:divId w:val="4221403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42214037"/>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F1529" w:rsidRDefault="005F1529">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F1529" w:rsidRDefault="005F1529">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4221403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rPr>
                <w:rFonts w:hint="eastAsia"/>
              </w:rPr>
            </w:pPr>
            <w:r>
              <w:rPr>
                <w:rFonts w:ascii="宋体" w:hAnsi="宋体" w:hint="eastAsia"/>
                <w:szCs w:val="24"/>
                <w:lang w:eastAsia="zh-Hans"/>
              </w:rPr>
              <w:t>-14,908,473.9</w:t>
            </w:r>
            <w:r>
              <w:rPr>
                <w:rFonts w:ascii="宋体" w:hAnsi="宋体" w:hint="eastAsia"/>
                <w:szCs w:val="24"/>
                <w:lang w:eastAsia="zh-Hans"/>
              </w:rPr>
              <w:t>2</w:t>
            </w:r>
          </w:p>
        </w:tc>
      </w:tr>
      <w:tr w:rsidR="00000000">
        <w:trPr>
          <w:divId w:val="4221403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rPr>
                <w:rFonts w:hint="eastAsia"/>
              </w:rPr>
            </w:pPr>
            <w:r>
              <w:rPr>
                <w:rFonts w:ascii="宋体" w:hAnsi="宋体" w:hint="eastAsia"/>
                <w:szCs w:val="24"/>
                <w:lang w:eastAsia="zh-Hans"/>
              </w:rPr>
              <w:t>-34,922,759.0</w:t>
            </w:r>
            <w:r>
              <w:rPr>
                <w:rFonts w:ascii="宋体" w:hAnsi="宋体" w:hint="eastAsia"/>
                <w:szCs w:val="24"/>
                <w:lang w:eastAsia="zh-Hans"/>
              </w:rPr>
              <w:t>7</w:t>
            </w:r>
          </w:p>
        </w:tc>
      </w:tr>
      <w:tr w:rsidR="00000000">
        <w:trPr>
          <w:divId w:val="4221403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rPr>
                <w:rFonts w:hint="eastAsia"/>
              </w:rPr>
            </w:pPr>
            <w:r>
              <w:rPr>
                <w:rFonts w:ascii="宋体" w:hAnsi="宋体" w:hint="eastAsia"/>
                <w:szCs w:val="24"/>
                <w:lang w:eastAsia="zh-Hans"/>
              </w:rPr>
              <w:t>-0.085</w:t>
            </w:r>
            <w:r>
              <w:rPr>
                <w:rFonts w:ascii="宋体" w:hAnsi="宋体" w:hint="eastAsia"/>
                <w:szCs w:val="24"/>
                <w:lang w:eastAsia="zh-Hans"/>
              </w:rPr>
              <w:t>5</w:t>
            </w:r>
          </w:p>
        </w:tc>
      </w:tr>
      <w:tr w:rsidR="00000000">
        <w:trPr>
          <w:divId w:val="4221403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rPr>
                <w:rFonts w:hint="eastAsia"/>
              </w:rPr>
            </w:pPr>
            <w:r>
              <w:rPr>
                <w:rFonts w:ascii="宋体" w:hAnsi="宋体" w:hint="eastAsia"/>
                <w:szCs w:val="24"/>
                <w:lang w:eastAsia="zh-Hans"/>
              </w:rPr>
              <w:t>269,253,750.4</w:t>
            </w:r>
            <w:r>
              <w:rPr>
                <w:rFonts w:ascii="宋体" w:hAnsi="宋体" w:hint="eastAsia"/>
                <w:szCs w:val="24"/>
                <w:lang w:eastAsia="zh-Hans"/>
              </w:rPr>
              <w:t>4</w:t>
            </w:r>
          </w:p>
        </w:tc>
      </w:tr>
      <w:tr w:rsidR="00000000">
        <w:trPr>
          <w:divId w:val="4221403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rPr>
                <w:rFonts w:hint="eastAsia"/>
              </w:rPr>
            </w:pPr>
            <w:r>
              <w:rPr>
                <w:rFonts w:ascii="宋体" w:hAnsi="宋体" w:hint="eastAsia"/>
                <w:szCs w:val="24"/>
                <w:lang w:eastAsia="zh-Hans"/>
              </w:rPr>
              <w:t>0.766</w:t>
            </w:r>
            <w:r>
              <w:rPr>
                <w:rFonts w:ascii="宋体" w:hAnsi="宋体" w:hint="eastAsia"/>
                <w:szCs w:val="24"/>
                <w:lang w:eastAsia="zh-Hans"/>
              </w:rPr>
              <w:t>2</w:t>
            </w:r>
          </w:p>
        </w:tc>
      </w:tr>
    </w:tbl>
    <w:p w:rsidR="005F1529" w:rsidRDefault="005F1529">
      <w:pPr>
        <w:spacing w:line="360" w:lineRule="auto"/>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5F1529" w:rsidRDefault="005F1529">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w:t>
      </w:r>
      <w:r>
        <w:rPr>
          <w:rFonts w:hAnsi="宋体" w:hint="eastAsia"/>
        </w:rPr>
        <w:t>现</w:t>
      </w:r>
      <w:bookmarkEnd w:id="38"/>
      <w:bookmarkEnd w:id="39"/>
      <w:bookmarkEnd w:id="40"/>
      <w:bookmarkEnd w:id="41"/>
      <w:bookmarkEnd w:id="42"/>
      <w:r>
        <w:rPr>
          <w:rFonts w:hAnsi="宋体" w:hint="eastAsia"/>
        </w:rPr>
        <w:t xml:space="preserve"> </w:t>
      </w:r>
    </w:p>
    <w:p w:rsidR="005F1529" w:rsidRDefault="005F1529">
      <w:pPr>
        <w:pStyle w:val="XBRLTitle3"/>
        <w:spacing w:before="156"/>
        <w:ind w:left="0"/>
        <w:rPr>
          <w:rFonts w:hint="eastAsia"/>
        </w:rPr>
      </w:pPr>
      <w:bookmarkStart w:id="43" w:name="_Toc513386587"/>
      <w:bookmarkStart w:id="44" w:name="_Toc490050006"/>
      <w:bookmarkStart w:id="45" w:name="_Toc481075052"/>
      <w:bookmarkStart w:id="46" w:name="_Toc512519485"/>
      <w:r>
        <w:rPr>
          <w:rFonts w:hint="eastAsia"/>
        </w:rPr>
        <w:t>基金份额净值增长率及其与同期业绩比较基准收益率的比</w:t>
      </w:r>
      <w:r>
        <w:rPr>
          <w:rFonts w:hint="eastAsia"/>
        </w:rPr>
        <w:t>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divId w:val="191502711"/>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spacing w:line="360" w:lineRule="auto"/>
              <w:jc w:val="center"/>
            </w:pPr>
            <w:r>
              <w:rPr>
                <w:rFonts w:ascii="宋体" w:hAnsi="宋体" w:hint="eastAsia"/>
              </w:rPr>
              <w:t>②－④</w:t>
            </w:r>
            <w:r>
              <w:rPr>
                <w:rFonts w:ascii="宋体" w:hAnsi="宋体" w:hint="eastAsia"/>
              </w:rPr>
              <w:t xml:space="preserve"> </w:t>
            </w:r>
          </w:p>
        </w:tc>
      </w:tr>
      <w:tr w:rsidR="00000000">
        <w:trPr>
          <w:divId w:val="19150271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-11.8</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1.3</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-12.5</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1.3</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0.6</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-0.0</w:t>
            </w:r>
            <w:r>
              <w:rPr>
                <w:rFonts w:ascii="宋体" w:hAnsi="宋体" w:hint="eastAsia"/>
              </w:rPr>
              <w:t>1</w:t>
            </w:r>
            <w:r>
              <w:rPr>
                <w:rFonts w:ascii="宋体" w:hAnsi="宋体" w:hint="eastAsia"/>
              </w:rPr>
              <w:t>%</w:t>
            </w:r>
          </w:p>
        </w:tc>
      </w:tr>
      <w:tr w:rsidR="00000000">
        <w:trPr>
          <w:divId w:val="19150271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-19.2</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1.3</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-19.7</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1.3</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0.5</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-0.0</w:t>
            </w:r>
            <w:r>
              <w:rPr>
                <w:rFonts w:ascii="宋体" w:hAnsi="宋体" w:hint="eastAsia"/>
              </w:rPr>
              <w:t>1</w:t>
            </w:r>
            <w:r>
              <w:rPr>
                <w:rFonts w:ascii="宋体" w:hAnsi="宋体" w:hint="eastAsia"/>
              </w:rPr>
              <w:t>%</w:t>
            </w:r>
          </w:p>
        </w:tc>
      </w:tr>
      <w:tr w:rsidR="00000000">
        <w:trPr>
          <w:divId w:val="191502711"/>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-23.3</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1.2</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-25.1</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1.3</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1.7</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5F1529" w:rsidRDefault="005F1529">
            <w:pPr>
              <w:spacing w:line="360" w:lineRule="auto"/>
              <w:jc w:val="right"/>
            </w:pPr>
            <w:r>
              <w:rPr>
                <w:rFonts w:ascii="宋体" w:hAnsi="宋体" w:hint="eastAsia"/>
              </w:rPr>
              <w:t>-0.0</w:t>
            </w:r>
            <w:r>
              <w:rPr>
                <w:rFonts w:ascii="宋体" w:hAnsi="宋体" w:hint="eastAsia"/>
              </w:rPr>
              <w:t>8</w:t>
            </w:r>
            <w:r>
              <w:rPr>
                <w:rFonts w:ascii="宋体" w:hAnsi="宋体" w:hint="eastAsia"/>
              </w:rPr>
              <w:t>%</w:t>
            </w:r>
          </w:p>
        </w:tc>
      </w:tr>
    </w:tbl>
    <w:p w:rsidR="005F1529" w:rsidRDefault="005F1529">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47"/>
      <w:bookmarkEnd w:id="48"/>
      <w:bookmarkEnd w:id="49"/>
      <w:bookmarkEnd w:id="50"/>
      <w:r>
        <w:rPr>
          <w:rFonts w:hint="eastAsia"/>
          <w:kern w:val="2"/>
          <w:sz w:val="21"/>
          <w:szCs w:val="20"/>
          <w:lang w:val="en-US" w:eastAsia="zh-CN"/>
        </w:rPr>
        <w:t xml:space="preserve"> </w:t>
      </w:r>
    </w:p>
    <w:p w:rsidR="005F1529" w:rsidRDefault="005F1529">
      <w:pPr>
        <w:spacing w:line="360" w:lineRule="auto"/>
        <w:jc w:val="left"/>
        <w:divId w:val="67502310"/>
        <w:rPr>
          <w:rFonts w:hint="eastAsia"/>
        </w:rPr>
      </w:pPr>
      <w:bookmarkStart w:id="51" w:name="m07_04_07_09_tab"/>
      <w:bookmarkStart w:id="52" w:name="m07_04_07_09"/>
      <w:bookmarkStart w:id="53"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F1529" w:rsidRDefault="005F1529">
      <w:pPr>
        <w:spacing w:line="360" w:lineRule="auto"/>
        <w:divId w:val="67502310"/>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2025</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29</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51"/>
      <w:bookmarkEnd w:id="52"/>
      <w:bookmarkEnd w:id="53"/>
    </w:p>
    <w:p w:rsidR="005F1529" w:rsidRDefault="005F1529">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w:t>
      </w:r>
      <w:r>
        <w:rPr>
          <w:rFonts w:hAnsi="宋体" w:hint="eastAsia"/>
        </w:rPr>
        <w:t>告</w:t>
      </w:r>
      <w:bookmarkEnd w:id="54"/>
      <w:bookmarkEnd w:id="55"/>
      <w:bookmarkEnd w:id="56"/>
      <w:bookmarkEnd w:id="57"/>
      <w:bookmarkEnd w:id="58"/>
      <w:r>
        <w:rPr>
          <w:rFonts w:hAnsi="宋体" w:hint="eastAsia"/>
        </w:rPr>
        <w:t xml:space="preserve"> </w:t>
      </w:r>
    </w:p>
    <w:p w:rsidR="005F1529" w:rsidRDefault="005F1529">
      <w:pPr>
        <w:pStyle w:val="XBRLTitle2"/>
        <w:spacing w:before="156" w:line="360" w:lineRule="auto"/>
        <w:ind w:left="454"/>
        <w:rPr>
          <w:rFonts w:hint="eastAsia"/>
        </w:rPr>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w:t>
      </w:r>
      <w:r>
        <w:rPr>
          <w:rFonts w:hAnsi="宋体" w:hint="eastAsia"/>
        </w:rPr>
        <w:t>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1400645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snapToGrid w:val="0"/>
              <w:jc w:val="center"/>
              <w:rPr>
                <w:rFonts w:hint="eastAsia"/>
              </w:rP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1400645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1529" w:rsidRDefault="005F152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1529" w:rsidRDefault="005F152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1529" w:rsidRDefault="005F152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1529" w:rsidRDefault="005F1529">
            <w:pPr>
              <w:widowControl/>
              <w:jc w:val="left"/>
            </w:pPr>
          </w:p>
        </w:tc>
      </w:tr>
      <w:tr w:rsidR="00000000">
        <w:trPr>
          <w:divId w:val="191400645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何智</w:t>
            </w:r>
            <w:r>
              <w:rPr>
                <w:rFonts w:ascii="宋体" w:hAnsi="宋体" w:hint="eastAsia"/>
                <w:szCs w:val="24"/>
                <w:lang w:eastAsia="zh-Hans"/>
              </w:rPr>
              <w:t>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szCs w:val="24"/>
                <w:lang w:eastAsia="zh-Hans"/>
              </w:rPr>
              <w:t>何智豪先生曾任中国国际金融股份有限公司组合与量化策略研究员、资产管理部高级经理。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月起加入摩根基金管理（中国）有限公司（原上投摩根基金管理有限公司），现任指数及量化投资部基金经理</w:t>
            </w:r>
            <w:r>
              <w:rPr>
                <w:rFonts w:ascii="宋体" w:hAnsi="宋体" w:hint="eastAsia"/>
                <w:szCs w:val="24"/>
                <w:lang w:eastAsia="zh-Hans"/>
              </w:rPr>
              <w:t>。</w:t>
            </w:r>
          </w:p>
        </w:tc>
      </w:tr>
      <w:tr w:rsidR="00000000">
        <w:trPr>
          <w:divId w:val="191400645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曲蕾</w:t>
            </w:r>
            <w:r>
              <w:rPr>
                <w:rFonts w:ascii="宋体" w:hAnsi="宋体" w:hint="eastAsia"/>
                <w:szCs w:val="24"/>
                <w:lang w:eastAsia="zh-Hans"/>
              </w:rPr>
              <w:t>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13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有限公司，历任投资经理，现任指数及量化投资部基金经理</w:t>
            </w:r>
            <w:r>
              <w:rPr>
                <w:rFonts w:ascii="宋体" w:hAnsi="宋体" w:hint="eastAsia"/>
                <w:szCs w:val="24"/>
                <w:lang w:eastAsia="zh-Hans"/>
              </w:rPr>
              <w:t>。</w:t>
            </w:r>
          </w:p>
        </w:tc>
      </w:tr>
    </w:tbl>
    <w:p w:rsidR="005F1529" w:rsidRDefault="005F1529">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F1529" w:rsidRDefault="005F1529">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w:t>
      </w:r>
      <w:r>
        <w:rPr>
          <w:rFonts w:hAnsi="宋体" w:hint="eastAsia"/>
        </w:rPr>
        <w:t>明</w:t>
      </w:r>
      <w:bookmarkEnd w:id="65"/>
      <w:bookmarkEnd w:id="66"/>
      <w:bookmarkEnd w:id="67"/>
      <w:bookmarkEnd w:id="68"/>
      <w:bookmarkEnd w:id="69"/>
      <w:r>
        <w:rPr>
          <w:rFonts w:hAnsi="宋体" w:hint="eastAsia"/>
        </w:rPr>
        <w:t xml:space="preserve"> </w:t>
      </w:r>
    </w:p>
    <w:p w:rsidR="005F1529" w:rsidRDefault="005F1529">
      <w:pPr>
        <w:spacing w:line="360" w:lineRule="auto"/>
        <w:ind w:firstLineChars="200" w:firstLine="420"/>
        <w:jc w:val="left"/>
        <w:rPr>
          <w:rFonts w:hint="eastAsia"/>
        </w:rPr>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F1529" w:rsidRDefault="005F1529">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w:t>
      </w:r>
      <w:r>
        <w:rPr>
          <w:rFonts w:hAnsi="宋体" w:hint="eastAsia"/>
        </w:rPr>
        <w:t>明</w:t>
      </w:r>
      <w:bookmarkEnd w:id="72"/>
      <w:bookmarkEnd w:id="73"/>
      <w:bookmarkEnd w:id="74"/>
      <w:bookmarkEnd w:id="75"/>
      <w:bookmarkEnd w:id="76"/>
      <w:r>
        <w:rPr>
          <w:rFonts w:hAnsi="宋体" w:hint="eastAsia"/>
        </w:rPr>
        <w:t xml:space="preserve"> </w:t>
      </w:r>
    </w:p>
    <w:p w:rsidR="005F1529" w:rsidRDefault="005F1529">
      <w:pPr>
        <w:pStyle w:val="XBRLTitle3"/>
        <w:spacing w:before="156"/>
        <w:ind w:left="0"/>
        <w:rPr>
          <w:rFonts w:hint="eastAsia"/>
        </w:rPr>
      </w:pPr>
      <w:bookmarkStart w:id="77" w:name="_Toc513386593"/>
      <w:bookmarkStart w:id="78" w:name="_Toc512519491"/>
      <w:bookmarkStart w:id="79" w:name="_Toc490050012"/>
      <w:bookmarkStart w:id="80" w:name="_Toc481075058"/>
      <w:bookmarkStart w:id="81" w:name="m404_01_0570"/>
      <w:r>
        <w:rPr>
          <w:rFonts w:hint="eastAsia"/>
        </w:rPr>
        <w:t>公平交易制度的执行情</w:t>
      </w:r>
      <w:r>
        <w:rPr>
          <w:rFonts w:hint="eastAsia"/>
        </w:rPr>
        <w:t>况</w:t>
      </w:r>
      <w:bookmarkEnd w:id="77"/>
      <w:bookmarkEnd w:id="78"/>
      <w:bookmarkEnd w:id="79"/>
      <w:bookmarkEnd w:id="80"/>
    </w:p>
    <w:p w:rsidR="005F1529" w:rsidRDefault="005F1529">
      <w:pPr>
        <w:spacing w:line="360" w:lineRule="auto"/>
        <w:ind w:firstLineChars="200" w:firstLine="420"/>
        <w:jc w:val="left"/>
        <w:rPr>
          <w:rFonts w:hint="eastAsia"/>
        </w:rPr>
      </w:pPr>
      <w:r>
        <w:rPr>
          <w:rFonts w:ascii="宋体" w:hAnsi="宋体" w:cs="宋体" w:hint="eastAsia"/>
          <w:color w:val="000000"/>
          <w:kern w:val="0"/>
        </w:rPr>
        <w:t>报告期内，本公司继续贯彻落实《证券投资基金管理公司公平交易制度指导</w:t>
      </w:r>
      <w:r>
        <w:rPr>
          <w:rFonts w:ascii="宋体" w:hAnsi="宋体" w:cs="宋体" w:hint="eastAsia"/>
          <w:color w:val="000000"/>
          <w:kern w:val="0"/>
        </w:rPr>
        <w:t xml:space="preserve">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F1529" w:rsidRDefault="005F1529">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w:t>
      </w:r>
      <w:r>
        <w:rPr>
          <w:rFonts w:hint="eastAsia"/>
        </w:rPr>
        <w:t>明</w:t>
      </w:r>
      <w:bookmarkEnd w:id="82"/>
      <w:bookmarkEnd w:id="83"/>
      <w:bookmarkEnd w:id="84"/>
      <w:bookmarkEnd w:id="85"/>
    </w:p>
    <w:p w:rsidR="005F1529" w:rsidRDefault="005F1529">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F1529" w:rsidRDefault="005F1529">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w:t>
      </w:r>
      <w:r>
        <w:rPr>
          <w:rFonts w:hAnsi="宋体" w:hint="eastAsia"/>
        </w:rPr>
        <w:t>析</w:t>
      </w:r>
      <w:bookmarkEnd w:id="87"/>
      <w:bookmarkEnd w:id="88"/>
      <w:bookmarkEnd w:id="89"/>
      <w:bookmarkEnd w:id="90"/>
      <w:r>
        <w:rPr>
          <w:rFonts w:hAnsi="宋体" w:hint="eastAsia"/>
        </w:rPr>
        <w:t xml:space="preserve"> </w:t>
      </w:r>
    </w:p>
    <w:p w:rsidR="005F1529" w:rsidRDefault="005F1529">
      <w:pPr>
        <w:spacing w:line="360" w:lineRule="auto"/>
        <w:ind w:firstLineChars="200" w:firstLine="420"/>
        <w:jc w:val="left"/>
        <w:rPr>
          <w:rFonts w:hint="eastAsia"/>
        </w:rPr>
      </w:pPr>
      <w:r>
        <w:rPr>
          <w:rFonts w:ascii="宋体" w:hAnsi="宋体" w:cs="宋体" w:hint="eastAsia"/>
          <w:color w:val="000000"/>
          <w:kern w:val="0"/>
        </w:rPr>
        <w:t>恒生港股通</w:t>
      </w:r>
      <w:r>
        <w:rPr>
          <w:rFonts w:ascii="宋体" w:hAnsi="宋体" w:cs="宋体" w:hint="eastAsia"/>
          <w:color w:val="000000"/>
          <w:kern w:val="0"/>
        </w:rPr>
        <w:t>50</w:t>
      </w:r>
      <w:r>
        <w:rPr>
          <w:rFonts w:ascii="宋体" w:hAnsi="宋体" w:cs="宋体" w:hint="eastAsia"/>
          <w:color w:val="000000"/>
          <w:kern w:val="0"/>
        </w:rPr>
        <w:t>指数在</w:t>
      </w:r>
      <w:r>
        <w:rPr>
          <w:rFonts w:ascii="宋体" w:hAnsi="宋体" w:cs="宋体" w:hint="eastAsia"/>
          <w:color w:val="000000"/>
          <w:kern w:val="0"/>
        </w:rPr>
        <w:t>2026</w:t>
      </w:r>
      <w:r>
        <w:rPr>
          <w:rFonts w:ascii="宋体" w:hAnsi="宋体" w:cs="宋体" w:hint="eastAsia"/>
          <w:color w:val="000000"/>
          <w:kern w:val="0"/>
        </w:rPr>
        <w:t>年二季度收跌约</w:t>
      </w:r>
      <w:r>
        <w:rPr>
          <w:rFonts w:ascii="宋体" w:hAnsi="宋体" w:cs="宋体" w:hint="eastAsia"/>
          <w:color w:val="000000"/>
          <w:kern w:val="0"/>
        </w:rPr>
        <w:t>11%</w:t>
      </w:r>
      <w:r>
        <w:rPr>
          <w:rFonts w:ascii="宋体" w:hAnsi="宋体" w:cs="宋体" w:hint="eastAsia"/>
          <w:color w:val="000000"/>
          <w:kern w:val="0"/>
        </w:rPr>
        <w:t>，经历了</w:t>
      </w:r>
      <w:r>
        <w:rPr>
          <w:rFonts w:ascii="宋体" w:hAnsi="宋体" w:cs="宋体" w:hint="eastAsia"/>
          <w:color w:val="000000"/>
          <w:kern w:val="0"/>
        </w:rPr>
        <w:t>4</w:t>
      </w:r>
      <w:r>
        <w:rPr>
          <w:rFonts w:ascii="宋体" w:hAnsi="宋体" w:cs="宋体" w:hint="eastAsia"/>
          <w:color w:val="000000"/>
          <w:kern w:val="0"/>
        </w:rPr>
        <w:t>月短暂反弹、</w:t>
      </w:r>
      <w:r>
        <w:rPr>
          <w:rFonts w:ascii="宋体" w:hAnsi="宋体" w:cs="宋体" w:hint="eastAsia"/>
          <w:color w:val="000000"/>
          <w:kern w:val="0"/>
        </w:rPr>
        <w:t>5</w:t>
      </w:r>
      <w:r>
        <w:rPr>
          <w:rFonts w:ascii="宋体" w:hAnsi="宋体" w:cs="宋体" w:hint="eastAsia"/>
          <w:color w:val="000000"/>
          <w:kern w:val="0"/>
        </w:rPr>
        <w:t>月横盘震荡和</w:t>
      </w:r>
      <w:r>
        <w:rPr>
          <w:rFonts w:ascii="宋体" w:hAnsi="宋体" w:cs="宋体" w:hint="eastAsia"/>
          <w:color w:val="000000"/>
          <w:kern w:val="0"/>
        </w:rPr>
        <w:t>6</w:t>
      </w:r>
      <w:r>
        <w:rPr>
          <w:rFonts w:ascii="宋体" w:hAnsi="宋体" w:cs="宋体" w:hint="eastAsia"/>
          <w:color w:val="000000"/>
          <w:kern w:val="0"/>
        </w:rPr>
        <w:t>月加速下行，其中</w:t>
      </w:r>
      <w:r>
        <w:rPr>
          <w:rFonts w:ascii="宋体" w:hAnsi="宋体" w:cs="宋体" w:hint="eastAsia"/>
          <w:color w:val="000000"/>
          <w:kern w:val="0"/>
        </w:rPr>
        <w:t>A</w:t>
      </w:r>
      <w:r>
        <w:rPr>
          <w:rFonts w:ascii="宋体" w:hAnsi="宋体" w:cs="宋体" w:hint="eastAsia"/>
          <w:color w:val="000000"/>
          <w:kern w:val="0"/>
        </w:rPr>
        <w:t>股相对港股的</w:t>
      </w:r>
      <w:r>
        <w:rPr>
          <w:rFonts w:ascii="宋体" w:hAnsi="宋体" w:cs="宋体" w:hint="eastAsia"/>
          <w:color w:val="000000"/>
          <w:kern w:val="0"/>
        </w:rPr>
        <w:t>"</w:t>
      </w:r>
      <w:r>
        <w:rPr>
          <w:rFonts w:ascii="宋体" w:hAnsi="宋体" w:cs="宋体" w:hint="eastAsia"/>
          <w:color w:val="000000"/>
          <w:kern w:val="0"/>
        </w:rPr>
        <w:t>科技溢价</w:t>
      </w:r>
      <w:r>
        <w:rPr>
          <w:rFonts w:ascii="宋体" w:hAnsi="宋体" w:cs="宋体" w:hint="eastAsia"/>
          <w:color w:val="000000"/>
          <w:kern w:val="0"/>
        </w:rPr>
        <w:t>"</w:t>
      </w:r>
      <w:r>
        <w:rPr>
          <w:rFonts w:ascii="宋体" w:hAnsi="宋体" w:cs="宋体" w:hint="eastAsia"/>
          <w:color w:val="000000"/>
          <w:kern w:val="0"/>
        </w:rPr>
        <w:t>持续扩大是本季度负超额收益的核心来源。</w:t>
      </w:r>
      <w:r>
        <w:rPr>
          <w:rFonts w:ascii="宋体" w:hAnsi="宋体" w:cs="宋体" w:hint="eastAsia"/>
          <w:color w:val="000000"/>
          <w:kern w:val="0"/>
        </w:rPr>
        <w:br/>
      </w:r>
      <w:r>
        <w:rPr>
          <w:rFonts w:ascii="宋体" w:hAnsi="宋体" w:cs="宋体" w:hint="eastAsia"/>
          <w:color w:val="000000"/>
          <w:kern w:val="0"/>
        </w:rPr>
        <w:t xml:space="preserve">　　指数在</w:t>
      </w:r>
      <w:r>
        <w:rPr>
          <w:rFonts w:ascii="宋体" w:hAnsi="宋体" w:cs="宋体" w:hint="eastAsia"/>
          <w:color w:val="000000"/>
          <w:kern w:val="0"/>
        </w:rPr>
        <w:t>6</w:t>
      </w:r>
      <w:r>
        <w:rPr>
          <w:rFonts w:ascii="宋体" w:hAnsi="宋体" w:cs="宋体" w:hint="eastAsia"/>
          <w:color w:val="000000"/>
          <w:kern w:val="0"/>
        </w:rPr>
        <w:t>月进行半年度调仓，调出部分地产及传统消费标的，调入生物科技、晶圆代工等新经济方向的标的。但前两大权重阿里巴巴（约</w:t>
      </w:r>
      <w:r>
        <w:rPr>
          <w:rFonts w:ascii="宋体" w:hAnsi="宋体" w:cs="宋体" w:hint="eastAsia"/>
          <w:color w:val="000000"/>
          <w:kern w:val="0"/>
        </w:rPr>
        <w:t>13%</w:t>
      </w:r>
      <w:r>
        <w:rPr>
          <w:rFonts w:ascii="宋体" w:hAnsi="宋体" w:cs="宋体" w:hint="eastAsia"/>
          <w:color w:val="000000"/>
          <w:kern w:val="0"/>
        </w:rPr>
        <w:t>）和腾讯（约</w:t>
      </w:r>
      <w:r>
        <w:rPr>
          <w:rFonts w:ascii="宋体" w:hAnsi="宋体" w:cs="宋体" w:hint="eastAsia"/>
          <w:color w:val="000000"/>
          <w:kern w:val="0"/>
        </w:rPr>
        <w:t>16%</w:t>
      </w:r>
      <w:r>
        <w:rPr>
          <w:rFonts w:ascii="宋体" w:hAnsi="宋体" w:cs="宋体" w:hint="eastAsia"/>
          <w:color w:val="000000"/>
          <w:kern w:val="0"/>
        </w:rPr>
        <w:t>）合计占比近</w:t>
      </w:r>
      <w:r>
        <w:rPr>
          <w:rFonts w:ascii="宋体" w:hAnsi="宋体" w:cs="宋体" w:hint="eastAsia"/>
          <w:color w:val="000000"/>
          <w:kern w:val="0"/>
        </w:rPr>
        <w:t>30%</w:t>
      </w:r>
      <w:r>
        <w:rPr>
          <w:rFonts w:ascii="宋体" w:hAnsi="宋体" w:cs="宋体" w:hint="eastAsia"/>
          <w:color w:val="000000"/>
          <w:kern w:val="0"/>
        </w:rPr>
        <w:t>，指数表现仍高度依赖互联网平台巨头的股价修复。</w:t>
      </w:r>
      <w:r>
        <w:rPr>
          <w:rFonts w:ascii="宋体" w:hAnsi="宋体" w:cs="宋体" w:hint="eastAsia"/>
          <w:color w:val="000000"/>
          <w:kern w:val="0"/>
        </w:rPr>
        <w:br/>
      </w:r>
      <w:r>
        <w:rPr>
          <w:rFonts w:ascii="宋体" w:hAnsi="宋体" w:cs="宋体" w:hint="eastAsia"/>
          <w:color w:val="000000"/>
          <w:kern w:val="0"/>
        </w:rPr>
        <w:t xml:space="preserve">　　本基金采用完全复制法跟踪标的指数，按照标的指数成份股及其权重构建基金的股票投资组合，并根据标的指数成份股及其权重的变动对股票投资组合进行相应调整，以实现基金的投资目标并争取将跟踪误差保持在合理范围内。</w:t>
      </w:r>
      <w:r>
        <w:rPr>
          <w:rFonts w:ascii="宋体" w:hAnsi="宋体" w:cs="宋体" w:hint="eastAsia"/>
          <w:color w:val="000000"/>
          <w:kern w:val="0"/>
        </w:rPr>
        <w:br/>
      </w:r>
      <w:r>
        <w:rPr>
          <w:rFonts w:ascii="宋体" w:hAnsi="宋体" w:cs="宋体" w:hint="eastAsia"/>
          <w:color w:val="000000"/>
          <w:kern w:val="0"/>
        </w:rPr>
        <w:t xml:space="preserve">　　展望未来，中报是三季度核心变量，互联网龙头二季度业绩能否在</w:t>
      </w:r>
      <w:r>
        <w:rPr>
          <w:rFonts w:ascii="宋体" w:hAnsi="宋体" w:cs="宋体" w:hint="eastAsia"/>
          <w:color w:val="000000"/>
          <w:kern w:val="0"/>
        </w:rPr>
        <w:t>AI</w:t>
      </w:r>
      <w:r>
        <w:rPr>
          <w:rFonts w:ascii="宋体" w:hAnsi="宋体" w:cs="宋体" w:hint="eastAsia"/>
          <w:color w:val="000000"/>
          <w:kern w:val="0"/>
        </w:rPr>
        <w:t>资本开支大幅增加的背景下守住利润底线，将决定港股互联网板块能否止跌企稳。中长期来看，恒生指数上半年累跌约</w:t>
      </w:r>
      <w:r>
        <w:rPr>
          <w:rFonts w:ascii="宋体" w:hAnsi="宋体" w:cs="宋体" w:hint="eastAsia"/>
          <w:color w:val="000000"/>
          <w:kern w:val="0"/>
        </w:rPr>
        <w:t>10.7%</w:t>
      </w:r>
      <w:r>
        <w:rPr>
          <w:rFonts w:ascii="宋体" w:hAnsi="宋体" w:cs="宋体" w:hint="eastAsia"/>
          <w:color w:val="000000"/>
          <w:kern w:val="0"/>
        </w:rPr>
        <w:t>，市盈率约</w:t>
      </w:r>
      <w:r>
        <w:rPr>
          <w:rFonts w:ascii="宋体" w:hAnsi="宋体" w:cs="宋体" w:hint="eastAsia"/>
          <w:color w:val="000000"/>
          <w:kern w:val="0"/>
        </w:rPr>
        <w:t>11.16</w:t>
      </w:r>
      <w:r>
        <w:rPr>
          <w:rFonts w:ascii="宋体" w:hAnsi="宋体" w:cs="宋体" w:hint="eastAsia"/>
          <w:color w:val="000000"/>
          <w:kern w:val="0"/>
        </w:rPr>
        <w:t>，在全球科技股中处于绝对估值洼地。中国</w:t>
      </w:r>
      <w:r>
        <w:rPr>
          <w:rFonts w:ascii="宋体" w:hAnsi="宋体" w:cs="宋体" w:hint="eastAsia"/>
          <w:color w:val="000000"/>
          <w:kern w:val="0"/>
        </w:rPr>
        <w:t>AI</w:t>
      </w:r>
      <w:r>
        <w:rPr>
          <w:rFonts w:ascii="宋体" w:hAnsi="宋体" w:cs="宋体" w:hint="eastAsia"/>
          <w:color w:val="000000"/>
          <w:kern w:val="0"/>
        </w:rPr>
        <w:t>应用的商业化闭环正在逐渐形成，政策预期叠加估值修复催化下，配置型外资有望逐步回流港股核心资产</w:t>
      </w:r>
      <w:r>
        <w:rPr>
          <w:rFonts w:ascii="宋体" w:hAnsi="宋体" w:cs="宋体" w:hint="eastAsia"/>
          <w:color w:val="000000"/>
          <w:kern w:val="0"/>
        </w:rPr>
        <w:t>。</w:t>
      </w:r>
    </w:p>
    <w:p w:rsidR="005F1529" w:rsidRDefault="005F1529">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w:t>
      </w:r>
      <w:r>
        <w:rPr>
          <w:rFonts w:hAnsi="宋体" w:hint="eastAsia"/>
        </w:rPr>
        <w:t>现</w:t>
      </w:r>
      <w:bookmarkEnd w:id="92"/>
      <w:bookmarkEnd w:id="93"/>
      <w:bookmarkEnd w:id="94"/>
      <w:bookmarkEnd w:id="95"/>
      <w:r>
        <w:rPr>
          <w:rFonts w:hAnsi="宋体" w:hint="eastAsia"/>
        </w:rPr>
        <w:t xml:space="preserve"> </w:t>
      </w:r>
      <w:bookmarkEnd w:id="96"/>
    </w:p>
    <w:p w:rsidR="005F1529" w:rsidRDefault="005F1529">
      <w:pPr>
        <w:spacing w:line="360" w:lineRule="auto"/>
        <w:ind w:firstLineChars="200" w:firstLine="420"/>
        <w:divId w:val="65274244"/>
        <w:rPr>
          <w:rFonts w:hint="eastAsia"/>
        </w:rPr>
      </w:pPr>
      <w:r>
        <w:rPr>
          <w:rFonts w:ascii="宋体" w:hAnsi="宋体" w:hint="eastAsia"/>
        </w:rPr>
        <w:t>本报告期摩根恒生港股通</w:t>
      </w:r>
      <w:r>
        <w:rPr>
          <w:rFonts w:ascii="宋体" w:hAnsi="宋体" w:hint="eastAsia"/>
        </w:rPr>
        <w:t>50ETF</w:t>
      </w:r>
      <w:r>
        <w:rPr>
          <w:rFonts w:ascii="宋体" w:hAnsi="宋体" w:hint="eastAsia"/>
        </w:rPr>
        <w:t>份额净值增长率为</w:t>
      </w:r>
      <w:r>
        <w:rPr>
          <w:rFonts w:ascii="宋体" w:hAnsi="宋体" w:hint="eastAsia"/>
        </w:rPr>
        <w:t>:-11.86%</w:t>
      </w:r>
      <w:r>
        <w:rPr>
          <w:rFonts w:ascii="宋体" w:hAnsi="宋体" w:hint="eastAsia"/>
        </w:rPr>
        <w:t>，同期业绩比较基准收益率为</w:t>
      </w:r>
      <w:r>
        <w:rPr>
          <w:rFonts w:ascii="宋体" w:hAnsi="宋体" w:hint="eastAsia"/>
        </w:rPr>
        <w:t>:-12.54%</w:t>
      </w:r>
      <w:r>
        <w:rPr>
          <w:rFonts w:ascii="宋体" w:hAnsi="宋体" w:hint="eastAsia"/>
        </w:rPr>
        <w:t>。</w:t>
      </w:r>
    </w:p>
    <w:p w:rsidR="005F1529" w:rsidRDefault="005F1529">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w:t>
      </w:r>
      <w:r>
        <w:rPr>
          <w:rFonts w:hAnsi="宋体" w:hint="eastAsia"/>
        </w:rPr>
        <w:t>明</w:t>
      </w:r>
      <w:bookmarkEnd w:id="98"/>
      <w:bookmarkEnd w:id="99"/>
      <w:bookmarkEnd w:id="100"/>
      <w:bookmarkEnd w:id="101"/>
      <w:bookmarkEnd w:id="102"/>
      <w:r>
        <w:rPr>
          <w:rFonts w:hAnsi="宋体" w:hint="eastAsia"/>
        </w:rPr>
        <w:t xml:space="preserve"> </w:t>
      </w:r>
    </w:p>
    <w:p w:rsidR="005F1529" w:rsidRDefault="005F1529">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F1529" w:rsidRDefault="005F1529">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w:t>
      </w:r>
      <w:r>
        <w:rPr>
          <w:rFonts w:hAnsi="宋体" w:hint="eastAsia"/>
        </w:rPr>
        <w:t>告</w:t>
      </w:r>
      <w:bookmarkEnd w:id="104"/>
      <w:bookmarkEnd w:id="105"/>
      <w:bookmarkEnd w:id="106"/>
      <w:bookmarkEnd w:id="107"/>
      <w:bookmarkEnd w:id="108"/>
      <w:r>
        <w:rPr>
          <w:rFonts w:hAnsi="宋体" w:hint="eastAsia"/>
        </w:rPr>
        <w:t xml:space="preserve"> </w:t>
      </w:r>
    </w:p>
    <w:p w:rsidR="005F1529" w:rsidRDefault="005F1529">
      <w:pPr>
        <w:pStyle w:val="XBRLTitle2"/>
        <w:spacing w:before="156" w:line="360" w:lineRule="auto"/>
        <w:ind w:left="454"/>
        <w:rPr>
          <w:rFonts w:hint="eastAsia"/>
        </w:rPr>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w:t>
      </w:r>
      <w:r>
        <w:rPr>
          <w:rFonts w:hAnsi="宋体" w:hint="eastAsia"/>
        </w:rPr>
        <w:t>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jc w:val="center"/>
              <w:rPr>
                <w:rFonts w:hint="eastAsia"/>
              </w:rP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265,948,377.1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97.6</w:t>
            </w:r>
            <w:r>
              <w:rPr>
                <w:rFonts w:ascii="宋体" w:hAnsi="宋体" w:hint="eastAsia"/>
                <w:szCs w:val="24"/>
                <w:lang w:eastAsia="zh-Hans"/>
              </w:rPr>
              <w:t>0</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265,948,377.1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97.6</w:t>
            </w:r>
            <w:r>
              <w:rPr>
                <w:rFonts w:ascii="宋体" w:hAnsi="宋体" w:hint="eastAsia"/>
                <w:szCs w:val="24"/>
                <w:lang w:eastAsia="zh-Hans"/>
              </w:rPr>
              <w:t>0</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4,574,500.6</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1.6</w:t>
            </w:r>
            <w:r>
              <w:rPr>
                <w:rFonts w:ascii="宋体" w:hAnsi="宋体" w:hint="eastAsia"/>
                <w:szCs w:val="24"/>
                <w:lang w:eastAsia="zh-Hans"/>
              </w:rPr>
              <w:t>8</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1,967,706.5</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0.7</w:t>
            </w:r>
            <w:r>
              <w:rPr>
                <w:rFonts w:ascii="宋体" w:hAnsi="宋体" w:hint="eastAsia"/>
                <w:szCs w:val="24"/>
                <w:lang w:eastAsia="zh-Hans"/>
              </w:rPr>
              <w:t>2</w:t>
            </w:r>
          </w:p>
        </w:tc>
      </w:tr>
      <w:tr w:rsidR="00000000">
        <w:trPr>
          <w:divId w:val="17034377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F1529" w:rsidRDefault="005F152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F1529" w:rsidRDefault="005F152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272,490,584.3</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F1529" w:rsidRDefault="005F1529">
            <w:pPr>
              <w:jc w:val="right"/>
            </w:pPr>
            <w:r>
              <w:rPr>
                <w:rFonts w:ascii="宋体" w:hAnsi="宋体" w:hint="eastAsia"/>
                <w:szCs w:val="24"/>
                <w:lang w:eastAsia="zh-Hans"/>
              </w:rPr>
              <w:t>100.0</w:t>
            </w:r>
            <w:r>
              <w:rPr>
                <w:rFonts w:ascii="宋体" w:hAnsi="宋体" w:hint="eastAsia"/>
                <w:szCs w:val="24"/>
                <w:lang w:eastAsia="zh-Hans"/>
              </w:rPr>
              <w:t>0</w:t>
            </w:r>
          </w:p>
        </w:tc>
      </w:tr>
    </w:tbl>
    <w:p w:rsidR="005F1529" w:rsidRDefault="005F1529">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265,948,377.17</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98.77%</w:t>
      </w:r>
      <w:r>
        <w:rPr>
          <w:rFonts w:ascii="宋体" w:hAnsi="宋体" w:hint="eastAsia"/>
        </w:rPr>
        <w:t>。</w:t>
      </w:r>
    </w:p>
    <w:p w:rsidR="005F1529" w:rsidRDefault="005F1529">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w:t>
      </w:r>
      <w:r>
        <w:rPr>
          <w:rFonts w:hAnsi="宋体" w:hint="eastAsia"/>
        </w:rPr>
        <w:t>合</w:t>
      </w:r>
      <w:bookmarkEnd w:id="116"/>
      <w:bookmarkEnd w:id="117"/>
      <w:bookmarkEnd w:id="118"/>
      <w:bookmarkEnd w:id="119"/>
      <w:bookmarkEnd w:id="120"/>
      <w:r>
        <w:rPr>
          <w:rFonts w:hAnsi="宋体" w:hint="eastAsia"/>
          <w:lang w:eastAsia="zh-CN"/>
        </w:rPr>
        <w:t xml:space="preserve"> </w:t>
      </w:r>
    </w:p>
    <w:p w:rsidR="005F1529" w:rsidRDefault="005F1529">
      <w:pPr>
        <w:pStyle w:val="XBRLTitle3"/>
        <w:spacing w:before="156"/>
        <w:ind w:left="0"/>
        <w:rPr>
          <w:rFonts w:hint="eastAsia"/>
        </w:rPr>
      </w:pPr>
      <w:bookmarkStart w:id="121" w:name="_Toc513386601"/>
      <w:bookmarkStart w:id="122" w:name="_Toc512519499"/>
      <w:bookmarkStart w:id="123" w:name="_Toc490050020"/>
      <w:bookmarkStart w:id="124" w:name="_Toc481075067"/>
      <w:r>
        <w:rPr>
          <w:rFonts w:hint="eastAsia"/>
        </w:rPr>
        <w:t>报告期末指数投资按行业分类的境内股票投资组</w:t>
      </w:r>
      <w:r>
        <w:rPr>
          <w:rFonts w:hint="eastAsia"/>
        </w:rPr>
        <w:t>合</w:t>
      </w:r>
      <w:bookmarkEnd w:id="121"/>
      <w:r>
        <w:rPr>
          <w:rFonts w:hint="eastAsia"/>
          <w:lang w:eastAsia="zh-CN"/>
        </w:rPr>
        <w:t xml:space="preserve"> </w:t>
      </w:r>
    </w:p>
    <w:p w:rsidR="005F1529" w:rsidRDefault="005F1529">
      <w:pPr>
        <w:spacing w:line="360" w:lineRule="auto"/>
        <w:ind w:firstLineChars="200" w:firstLine="420"/>
        <w:rPr>
          <w:rFonts w:hint="eastAsia"/>
        </w:rPr>
      </w:pPr>
      <w:r>
        <w:rPr>
          <w:rFonts w:ascii="宋体" w:hAnsi="宋体" w:hint="eastAsia"/>
          <w:szCs w:val="21"/>
          <w:lang w:eastAsia="zh-Hans"/>
        </w:rPr>
        <w:t>本基金本报告期末未持有指数投资股票</w:t>
      </w:r>
      <w:r>
        <w:rPr>
          <w:rFonts w:ascii="宋体" w:hAnsi="宋体" w:hint="eastAsia"/>
          <w:szCs w:val="21"/>
          <w:lang w:eastAsia="zh-Hans"/>
        </w:rPr>
        <w:t>。</w:t>
      </w:r>
    </w:p>
    <w:p w:rsidR="005F1529" w:rsidRDefault="005F1529">
      <w:pPr>
        <w:pStyle w:val="XBRLTitle3"/>
        <w:spacing w:before="156"/>
        <w:ind w:left="0"/>
      </w:pPr>
      <w:bookmarkStart w:id="125" w:name="_Toc513386602"/>
      <w:r>
        <w:rPr>
          <w:rFonts w:hint="eastAsia"/>
        </w:rPr>
        <w:t>报告期末积极投资按行业分类的境内股票投资组</w:t>
      </w:r>
      <w:r>
        <w:rPr>
          <w:rFonts w:hint="eastAsia"/>
        </w:rPr>
        <w:t>合</w:t>
      </w:r>
      <w:bookmarkEnd w:id="125"/>
      <w:r>
        <w:rPr>
          <w:rFonts w:hint="eastAsia"/>
          <w:lang w:eastAsia="zh-CN"/>
        </w:rPr>
        <w:t xml:space="preserve"> </w:t>
      </w:r>
      <w:bookmarkEnd w:id="122"/>
      <w:bookmarkEnd w:id="123"/>
      <w:bookmarkEnd w:id="124"/>
    </w:p>
    <w:p w:rsidR="005F1529" w:rsidRDefault="005F1529">
      <w:pPr>
        <w:spacing w:line="360" w:lineRule="auto"/>
        <w:ind w:firstLineChars="200" w:firstLine="420"/>
        <w:rPr>
          <w:rFonts w:hint="eastAsia"/>
        </w:rPr>
      </w:pPr>
      <w:r>
        <w:rPr>
          <w:rFonts w:ascii="宋体" w:hAnsi="宋体" w:hint="eastAsia"/>
          <w:szCs w:val="21"/>
          <w:lang w:eastAsia="zh-Hans"/>
        </w:rPr>
        <w:t>本基金本报告期末未持有积极投资股票</w:t>
      </w:r>
      <w:r>
        <w:rPr>
          <w:rFonts w:ascii="宋体" w:hAnsi="宋体" w:hint="eastAsia"/>
          <w:szCs w:val="21"/>
          <w:lang w:eastAsia="zh-Hans"/>
        </w:rPr>
        <w:t>。</w:t>
      </w:r>
    </w:p>
    <w:p w:rsidR="005F1529" w:rsidRDefault="005F1529">
      <w:pPr>
        <w:pStyle w:val="XBRLTitle3"/>
        <w:spacing w:before="156"/>
        <w:ind w:left="0"/>
      </w:pPr>
      <w:bookmarkStart w:id="126" w:name="_Toc513386603"/>
      <w:bookmarkStart w:id="127" w:name="_Toc512519500"/>
      <w:bookmarkStart w:id="128" w:name="_Toc490050021"/>
      <w:bookmarkStart w:id="129" w:name="_Toc481075068"/>
      <w:bookmarkStart w:id="130" w:name="m502_tab"/>
      <w:r>
        <w:rPr>
          <w:rFonts w:hint="eastAsia"/>
        </w:rPr>
        <w:t>报告期末按行业分类的港股通投资股票投资组</w:t>
      </w:r>
      <w:r>
        <w:rPr>
          <w:rFonts w:hint="eastAsia"/>
        </w:rPr>
        <w:t>合</w:t>
      </w:r>
      <w:bookmarkEnd w:id="126"/>
      <w:bookmarkEnd w:id="127"/>
      <w:bookmarkEnd w:id="128"/>
      <w:bookmarkEnd w:id="129"/>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F1529" w:rsidRDefault="005F1529">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F1529" w:rsidRDefault="005F1529">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F1529" w:rsidRDefault="005F152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5,695,933.5</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2.1</w:t>
            </w:r>
            <w:r>
              <w:rPr>
                <w:rFonts w:ascii="宋体" w:hAnsi="宋体" w:hint="eastAsia"/>
                <w:szCs w:val="24"/>
                <w:lang w:eastAsia="zh-Hans"/>
              </w:rPr>
              <w:t>2</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56,793,033.1</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21.0</w:t>
            </w:r>
            <w:r>
              <w:rPr>
                <w:rFonts w:ascii="宋体" w:hAnsi="宋体" w:hint="eastAsia"/>
                <w:szCs w:val="24"/>
                <w:lang w:eastAsia="zh-Hans"/>
              </w:rPr>
              <w:t>9</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771,552.0</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0.2</w:t>
            </w:r>
            <w:r>
              <w:rPr>
                <w:rFonts w:ascii="宋体" w:hAnsi="宋体" w:hint="eastAsia"/>
                <w:szCs w:val="24"/>
                <w:lang w:eastAsia="zh-Hans"/>
              </w:rPr>
              <w:t>9</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15,052,996.3</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5.5</w:t>
            </w:r>
            <w:r>
              <w:rPr>
                <w:rFonts w:ascii="宋体" w:hAnsi="宋体" w:hint="eastAsia"/>
                <w:szCs w:val="24"/>
                <w:lang w:eastAsia="zh-Hans"/>
              </w:rPr>
              <w:t>9</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81,144,001.4</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30.1</w:t>
            </w:r>
            <w:r>
              <w:rPr>
                <w:rFonts w:ascii="宋体" w:hAnsi="宋体" w:hint="eastAsia"/>
                <w:szCs w:val="24"/>
                <w:lang w:eastAsia="zh-Hans"/>
              </w:rPr>
              <w:t>4</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13,495,008.7</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5.0</w:t>
            </w:r>
            <w:r>
              <w:rPr>
                <w:rFonts w:ascii="宋体" w:hAnsi="宋体" w:hint="eastAsia"/>
                <w:szCs w:val="24"/>
                <w:lang w:eastAsia="zh-Hans"/>
              </w:rPr>
              <w:t>1</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4,049,180.1</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1.5</w:t>
            </w:r>
            <w:r>
              <w:rPr>
                <w:rFonts w:ascii="宋体" w:hAnsi="宋体" w:hint="eastAsia"/>
                <w:szCs w:val="24"/>
                <w:lang w:eastAsia="zh-Hans"/>
              </w:rPr>
              <w:t>0</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26,379,162.8</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9.8</w:t>
            </w:r>
            <w:r>
              <w:rPr>
                <w:rFonts w:ascii="宋体" w:hAnsi="宋体" w:hint="eastAsia"/>
                <w:szCs w:val="24"/>
                <w:lang w:eastAsia="zh-Hans"/>
              </w:rPr>
              <w:t>0</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55,389,184.5</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20.5</w:t>
            </w:r>
            <w:r>
              <w:rPr>
                <w:rFonts w:ascii="宋体" w:hAnsi="宋体" w:hint="eastAsia"/>
                <w:szCs w:val="24"/>
                <w:lang w:eastAsia="zh-Hans"/>
              </w:rPr>
              <w:t>7</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7,178,324.3</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2.6</w:t>
            </w:r>
            <w:r>
              <w:rPr>
                <w:rFonts w:ascii="宋体" w:hAnsi="宋体" w:hint="eastAsia"/>
                <w:szCs w:val="24"/>
                <w:lang w:eastAsia="zh-Hans"/>
              </w:rPr>
              <w:t>7</w:t>
            </w:r>
          </w:p>
        </w:tc>
      </w:tr>
      <w:tr w:rsidR="00000000">
        <w:trPr>
          <w:divId w:val="2923090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265,948,377.1</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F1529" w:rsidRDefault="005F1529">
            <w:pPr>
              <w:jc w:val="right"/>
            </w:pPr>
            <w:r>
              <w:rPr>
                <w:rFonts w:ascii="宋体" w:hAnsi="宋体" w:hint="eastAsia"/>
                <w:szCs w:val="24"/>
                <w:lang w:eastAsia="zh-Hans"/>
              </w:rPr>
              <w:t>98.7</w:t>
            </w:r>
            <w:r>
              <w:rPr>
                <w:rFonts w:ascii="宋体" w:hAnsi="宋体" w:hint="eastAsia"/>
                <w:szCs w:val="24"/>
                <w:lang w:eastAsia="zh-Hans"/>
              </w:rPr>
              <w:t>7</w:t>
            </w:r>
          </w:p>
        </w:tc>
      </w:tr>
    </w:tbl>
    <w:p w:rsidR="005F1529" w:rsidRDefault="005F1529">
      <w:pPr>
        <w:spacing w:line="360" w:lineRule="auto"/>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5F1529" w:rsidRDefault="005F1529">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w:t>
      </w:r>
      <w:r>
        <w:rPr>
          <w:rFonts w:hAnsi="宋体" w:hint="eastAsia"/>
        </w:rPr>
        <w:t>细</w:t>
      </w:r>
      <w:bookmarkEnd w:id="131"/>
      <w:bookmarkEnd w:id="132"/>
      <w:bookmarkEnd w:id="133"/>
      <w:bookmarkEnd w:id="134"/>
      <w:bookmarkEnd w:id="135"/>
      <w:bookmarkEnd w:id="136"/>
      <w:r>
        <w:rPr>
          <w:rFonts w:hAnsi="宋体" w:hint="eastAsia"/>
        </w:rPr>
        <w:t xml:space="preserve"> </w:t>
      </w:r>
    </w:p>
    <w:p w:rsidR="005F1529" w:rsidRDefault="005F1529">
      <w:pPr>
        <w:pStyle w:val="XBRLTitle3"/>
        <w:spacing w:before="156"/>
        <w:ind w:left="0"/>
        <w:rPr>
          <w:rFonts w:hint="eastAsia"/>
        </w:rPr>
      </w:pPr>
      <w:bookmarkStart w:id="142" w:name="_Toc513386605"/>
      <w:bookmarkStart w:id="143" w:name="m504_tab"/>
      <w:r>
        <w:rPr>
          <w:rFonts w:hint="eastAsia"/>
        </w:rPr>
        <w:t>报告期末指数投资按公允价值占基金资产净值比例大小排序的前十名股票投资明</w:t>
      </w:r>
      <w:r>
        <w:rPr>
          <w:rFonts w:hint="eastAsia"/>
        </w:rPr>
        <w:t>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32728843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F1529" w:rsidRDefault="005F1529">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0070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腾讯控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110,20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41,137,967.4</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15.2</w:t>
            </w:r>
            <w:r>
              <w:rPr>
                <w:rFonts w:ascii="宋体" w:hAnsi="宋体" w:hint="eastAsia"/>
                <w:szCs w:val="24"/>
                <w:lang w:eastAsia="zh-Hans"/>
              </w:rPr>
              <w:t>8</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0998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阿里巴巴</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407,30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32,846,654.5</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12.2</w:t>
            </w:r>
            <w:r>
              <w:rPr>
                <w:rFonts w:ascii="宋体" w:hAnsi="宋体" w:hint="eastAsia"/>
                <w:szCs w:val="24"/>
                <w:lang w:eastAsia="zh-Hans"/>
              </w:rPr>
              <w:t>0</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0093</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建设银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2,322,00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16,275,358.9</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6.0</w:t>
            </w:r>
            <w:r>
              <w:rPr>
                <w:rFonts w:ascii="宋体" w:hAnsi="宋体" w:hint="eastAsia"/>
                <w:szCs w:val="24"/>
                <w:lang w:eastAsia="zh-Hans"/>
              </w:rPr>
              <w:t>4</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0129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友邦保</w:t>
            </w:r>
            <w:r>
              <w:rPr>
                <w:rFonts w:ascii="宋体" w:hAnsi="宋体" w:hint="eastAsia"/>
                <w:szCs w:val="24"/>
                <w:lang w:eastAsia="zh-Hans"/>
              </w:rPr>
              <w:t>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253,60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15,737,882.8</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5.8</w:t>
            </w:r>
            <w:r>
              <w:rPr>
                <w:rFonts w:ascii="宋体" w:hAnsi="宋体" w:hint="eastAsia"/>
                <w:szCs w:val="24"/>
                <w:lang w:eastAsia="zh-Hans"/>
              </w:rPr>
              <w:t>5</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0139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工商银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1,991,00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11,119,290.0</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4.1</w:t>
            </w:r>
            <w:r>
              <w:rPr>
                <w:rFonts w:ascii="宋体" w:hAnsi="宋体" w:hint="eastAsia"/>
                <w:szCs w:val="24"/>
                <w:lang w:eastAsia="zh-Hans"/>
              </w:rPr>
              <w:t>3</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0094</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中国移</w:t>
            </w:r>
            <w:r>
              <w:rPr>
                <w:rFonts w:ascii="宋体" w:hAnsi="宋体" w:hint="eastAsia"/>
                <w:szCs w:val="24"/>
                <w:lang w:eastAsia="zh-Hans"/>
              </w:rPr>
              <w:t>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9,921,012.3</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3.6</w:t>
            </w:r>
            <w:r>
              <w:rPr>
                <w:rFonts w:ascii="宋体" w:hAnsi="宋体" w:hint="eastAsia"/>
                <w:szCs w:val="24"/>
                <w:lang w:eastAsia="zh-Hans"/>
              </w:rPr>
              <w:t>8</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0038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香港交易</w:t>
            </w:r>
            <w:r>
              <w:rPr>
                <w:rFonts w:ascii="宋体" w:hAnsi="宋体" w:hint="eastAsia"/>
                <w:szCs w:val="24"/>
                <w:lang w:eastAsia="zh-Hans"/>
              </w:rPr>
              <w:t>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28,90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9,111,697.4</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3.3</w:t>
            </w:r>
            <w:r>
              <w:rPr>
                <w:rFonts w:ascii="宋体" w:hAnsi="宋体" w:hint="eastAsia"/>
                <w:szCs w:val="24"/>
                <w:lang w:eastAsia="zh-Hans"/>
              </w:rPr>
              <w:t>8</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0181</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小米集团</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438,80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8,247,431.1</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3.0</w:t>
            </w:r>
            <w:r>
              <w:rPr>
                <w:rFonts w:ascii="宋体" w:hAnsi="宋体" w:hint="eastAsia"/>
                <w:szCs w:val="24"/>
                <w:lang w:eastAsia="zh-Hans"/>
              </w:rPr>
              <w:t>6</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0369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美团</w:t>
            </w:r>
            <w:r>
              <w:rPr>
                <w:rFonts w:ascii="宋体" w:hAnsi="宋体" w:hint="eastAsia"/>
                <w:szCs w:val="24"/>
                <w:lang w:eastAsia="zh-Hans"/>
              </w:rPr>
              <w:t>-</w:t>
            </w:r>
            <w:r>
              <w:rPr>
                <w:rFonts w:ascii="宋体" w:hAnsi="宋体" w:hint="eastAsia"/>
                <w:szCs w:val="24"/>
                <w:lang w:eastAsia="zh-Hans"/>
              </w:rPr>
              <w:t>W</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133,80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7,960,521.3</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2.9</w:t>
            </w:r>
            <w:r>
              <w:rPr>
                <w:rFonts w:ascii="宋体" w:hAnsi="宋体" w:hint="eastAsia"/>
                <w:szCs w:val="24"/>
                <w:lang w:eastAsia="zh-Hans"/>
              </w:rPr>
              <w:t>6</w:t>
            </w:r>
          </w:p>
        </w:tc>
      </w:tr>
      <w:tr w:rsidR="00000000">
        <w:trPr>
          <w:divId w:val="32728843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101,00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7,842,485.3</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szCs w:val="24"/>
                <w:lang w:eastAsia="zh-Hans"/>
              </w:rPr>
              <w:t>2.9</w:t>
            </w:r>
            <w:r>
              <w:rPr>
                <w:rFonts w:ascii="宋体" w:hAnsi="宋体" w:hint="eastAsia"/>
                <w:szCs w:val="24"/>
                <w:lang w:eastAsia="zh-Hans"/>
              </w:rPr>
              <w:t>1</w:t>
            </w:r>
          </w:p>
        </w:tc>
      </w:tr>
    </w:tbl>
    <w:p w:rsidR="005F1529" w:rsidRDefault="005F1529">
      <w:pPr>
        <w:pStyle w:val="XBRLTitle3"/>
        <w:spacing w:before="156"/>
        <w:ind w:left="0"/>
      </w:pPr>
      <w:bookmarkStart w:id="144" w:name="_Toc513386606"/>
      <w:r>
        <w:rPr>
          <w:rFonts w:hint="eastAsia"/>
        </w:rPr>
        <w:t>报告期末积极投资按公允价值占基金资产净值比例大小排序的前五名股票投资明</w:t>
      </w:r>
      <w:r>
        <w:rPr>
          <w:rFonts w:hint="eastAsia"/>
        </w:rPr>
        <w:t>细</w:t>
      </w:r>
      <w:bookmarkEnd w:id="143"/>
      <w:bookmarkEnd w:id="144"/>
    </w:p>
    <w:p w:rsidR="005F1529" w:rsidRDefault="005F1529">
      <w:pPr>
        <w:spacing w:line="360" w:lineRule="auto"/>
        <w:ind w:firstLineChars="200" w:firstLine="420"/>
        <w:jc w:val="left"/>
        <w:divId w:val="1858688923"/>
        <w:rPr>
          <w:rFonts w:hint="eastAsia"/>
        </w:rPr>
      </w:pPr>
      <w:r>
        <w:rPr>
          <w:rFonts w:ascii="宋体" w:hAnsi="宋体" w:hint="eastAsia"/>
          <w:color w:val="000000"/>
          <w:szCs w:val="21"/>
          <w:lang w:eastAsia="zh-Hans"/>
        </w:rPr>
        <w:t>本基金本报告期末未持有积极投资股票</w:t>
      </w:r>
      <w:r>
        <w:rPr>
          <w:rFonts w:ascii="宋体" w:hAnsi="宋体" w:hint="eastAsia"/>
          <w:color w:val="000000"/>
          <w:szCs w:val="21"/>
          <w:lang w:eastAsia="zh-Hans"/>
        </w:rPr>
        <w:t>。</w:t>
      </w:r>
    </w:p>
    <w:p w:rsidR="005F1529" w:rsidRDefault="005F1529">
      <w:pPr>
        <w:pStyle w:val="XBRLTitle2"/>
        <w:spacing w:before="156" w:line="360" w:lineRule="auto"/>
        <w:ind w:left="454"/>
      </w:pPr>
      <w:bookmarkStart w:id="145" w:name="_Toc513386607"/>
      <w:r>
        <w:rPr>
          <w:rFonts w:hAnsi="宋体" w:hint="eastAsia"/>
        </w:rPr>
        <w:t>报告期末按债券品种分类的债券投资组</w:t>
      </w:r>
      <w:r>
        <w:rPr>
          <w:rFonts w:hAnsi="宋体" w:hint="eastAsia"/>
        </w:rPr>
        <w:t>合</w:t>
      </w:r>
      <w:bookmarkEnd w:id="137"/>
      <w:bookmarkEnd w:id="138"/>
      <w:bookmarkEnd w:id="139"/>
      <w:bookmarkEnd w:id="140"/>
      <w:bookmarkEnd w:id="145"/>
      <w:r>
        <w:rPr>
          <w:rFonts w:hAnsi="宋体" w:hint="eastAsia"/>
        </w:rPr>
        <w:t xml:space="preserve"> </w:t>
      </w:r>
    </w:p>
    <w:p w:rsidR="005F1529" w:rsidRDefault="005F1529">
      <w:pPr>
        <w:spacing w:line="360" w:lineRule="auto"/>
        <w:ind w:firstLineChars="200" w:firstLine="420"/>
        <w:jc w:val="left"/>
        <w:divId w:val="1808816916"/>
        <w:rPr>
          <w:rFonts w:hint="eastAsia"/>
        </w:rPr>
      </w:pPr>
      <w:r>
        <w:rPr>
          <w:rFonts w:ascii="宋体" w:hAnsi="宋体" w:hint="eastAsia"/>
        </w:rPr>
        <w:t>本基金本报告期末未持有债券</w:t>
      </w:r>
      <w:r>
        <w:rPr>
          <w:rFonts w:ascii="宋体" w:hAnsi="宋体" w:hint="eastAsia"/>
        </w:rPr>
        <w:t>。</w:t>
      </w:r>
      <w:bookmarkStart w:id="146" w:name="m08QD_06"/>
      <w:bookmarkEnd w:id="146"/>
      <w:r>
        <w:rPr>
          <w:rFonts w:ascii="宋体" w:hAnsi="宋体" w:hint="eastAsia"/>
        </w:rPr>
        <w:t xml:space="preserve"> </w:t>
      </w:r>
    </w:p>
    <w:p w:rsidR="005F1529" w:rsidRDefault="005F1529">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47"/>
      <w:bookmarkEnd w:id="148"/>
      <w:bookmarkEnd w:id="149"/>
      <w:bookmarkEnd w:id="150"/>
      <w:bookmarkEnd w:id="151"/>
      <w:r>
        <w:rPr>
          <w:rFonts w:hAnsi="宋体" w:hint="eastAsia"/>
        </w:rPr>
        <w:t xml:space="preserve"> </w:t>
      </w:r>
    </w:p>
    <w:p w:rsidR="005F1529" w:rsidRDefault="005F1529">
      <w:pPr>
        <w:spacing w:line="360" w:lineRule="auto"/>
        <w:ind w:firstLineChars="200" w:firstLine="420"/>
        <w:jc w:val="left"/>
        <w:divId w:val="542594484"/>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F1529" w:rsidRDefault="005F1529">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w:t>
      </w:r>
      <w:r>
        <w:rPr>
          <w:rFonts w:hAnsi="宋体" w:hint="eastAsia"/>
        </w:rPr>
        <w:t>细</w:t>
      </w:r>
      <w:bookmarkEnd w:id="153"/>
      <w:bookmarkEnd w:id="154"/>
      <w:bookmarkEnd w:id="155"/>
      <w:bookmarkEnd w:id="156"/>
      <w:bookmarkEnd w:id="157"/>
      <w:r>
        <w:rPr>
          <w:rFonts w:hAnsi="宋体" w:hint="eastAsia"/>
        </w:rPr>
        <w:t xml:space="preserve"> </w:t>
      </w:r>
    </w:p>
    <w:p w:rsidR="005F1529" w:rsidRDefault="005F1529">
      <w:pPr>
        <w:spacing w:line="360" w:lineRule="auto"/>
        <w:ind w:firstLineChars="200" w:firstLine="420"/>
        <w:jc w:val="left"/>
        <w:divId w:val="2088113741"/>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F1529" w:rsidRDefault="005F1529">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59"/>
      <w:bookmarkEnd w:id="160"/>
      <w:bookmarkEnd w:id="161"/>
      <w:bookmarkEnd w:id="162"/>
      <w:bookmarkEnd w:id="163"/>
      <w:r>
        <w:rPr>
          <w:rFonts w:hAnsi="宋体" w:hint="eastAsia"/>
        </w:rPr>
        <w:t xml:space="preserve"> </w:t>
      </w:r>
    </w:p>
    <w:p w:rsidR="005F1529" w:rsidRDefault="005F1529">
      <w:pPr>
        <w:spacing w:line="360" w:lineRule="auto"/>
        <w:ind w:firstLineChars="200" w:firstLine="42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F1529" w:rsidRDefault="005F1529">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t>报告期末按公允价值占基金资产净值比例大小排序的前五名权证投资明</w:t>
      </w:r>
      <w:r>
        <w:rPr>
          <w:rFonts w:hAnsi="宋体" w:hint="eastAsia"/>
        </w:rPr>
        <w:t>细</w:t>
      </w:r>
      <w:bookmarkEnd w:id="165"/>
      <w:bookmarkEnd w:id="166"/>
      <w:bookmarkEnd w:id="167"/>
      <w:bookmarkEnd w:id="168"/>
      <w:bookmarkEnd w:id="169"/>
      <w:r>
        <w:rPr>
          <w:rFonts w:hAnsi="宋体" w:hint="eastAsia"/>
        </w:rPr>
        <w:t xml:space="preserve"> </w:t>
      </w:r>
    </w:p>
    <w:p w:rsidR="005F1529" w:rsidRDefault="005F1529">
      <w:pPr>
        <w:spacing w:line="360" w:lineRule="auto"/>
        <w:ind w:firstLineChars="200" w:firstLine="42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F1529" w:rsidRDefault="005F1529">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w:t>
      </w:r>
      <w:r>
        <w:rPr>
          <w:rFonts w:hAnsi="宋体" w:hint="eastAsia"/>
        </w:rPr>
        <w:t>明</w:t>
      </w:r>
      <w:bookmarkEnd w:id="171"/>
      <w:bookmarkEnd w:id="172"/>
      <w:bookmarkEnd w:id="173"/>
      <w:bookmarkEnd w:id="174"/>
      <w:r>
        <w:rPr>
          <w:rFonts w:hAnsi="宋体" w:hint="eastAsia"/>
        </w:rPr>
        <w:t xml:space="preserve"> </w:t>
      </w:r>
      <w:bookmarkEnd w:id="170"/>
    </w:p>
    <w:p w:rsidR="005F1529" w:rsidRDefault="005F1529">
      <w:pPr>
        <w:spacing w:line="360" w:lineRule="auto"/>
        <w:ind w:firstLineChars="200" w:firstLine="42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F1529" w:rsidRDefault="005F1529">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w:t>
      </w:r>
      <w:r>
        <w:rPr>
          <w:rFonts w:hAnsi="宋体" w:hint="eastAsia"/>
        </w:rPr>
        <w:t>明</w:t>
      </w:r>
      <w:bookmarkEnd w:id="175"/>
      <w:bookmarkEnd w:id="176"/>
      <w:bookmarkEnd w:id="177"/>
      <w:bookmarkEnd w:id="178"/>
      <w:bookmarkEnd w:id="179"/>
      <w:r>
        <w:rPr>
          <w:rFonts w:hAnsi="宋体" w:hint="eastAsia"/>
        </w:rPr>
        <w:t xml:space="preserve"> </w:t>
      </w:r>
    </w:p>
    <w:p w:rsidR="005F1529" w:rsidRDefault="005F1529">
      <w:pPr>
        <w:spacing w:line="360" w:lineRule="auto"/>
        <w:ind w:firstLineChars="200" w:firstLine="420"/>
        <w:rPr>
          <w:rFonts w:hint="eastAsia"/>
        </w:rPr>
      </w:pPr>
      <w:bookmarkStart w:id="180" w:name="m510_01_1597"/>
      <w:bookmarkStart w:id="181" w:name="m510_01_1598"/>
      <w:bookmarkEnd w:id="180"/>
      <w:r>
        <w:rPr>
          <w:rFonts w:ascii="宋体" w:hAnsi="宋体" w:hint="eastAsia"/>
          <w:szCs w:val="21"/>
          <w:lang w:eastAsia="zh-Hans"/>
        </w:rPr>
        <w:t>本基金本报告期末未持有国债期货</w:t>
      </w:r>
      <w:r>
        <w:rPr>
          <w:rFonts w:ascii="宋体" w:hAnsi="宋体" w:hint="eastAsia"/>
          <w:szCs w:val="21"/>
          <w:lang w:eastAsia="zh-Hans"/>
        </w:rPr>
        <w:t>。</w:t>
      </w:r>
    </w:p>
    <w:p w:rsidR="005F1529" w:rsidRDefault="005F1529">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w:t>
      </w:r>
      <w:r>
        <w:rPr>
          <w:rFonts w:hAnsi="宋体" w:hint="eastAsia"/>
        </w:rPr>
        <w:t>注</w:t>
      </w:r>
      <w:bookmarkEnd w:id="182"/>
      <w:bookmarkEnd w:id="183"/>
      <w:bookmarkEnd w:id="184"/>
      <w:bookmarkEnd w:id="185"/>
      <w:r>
        <w:rPr>
          <w:rFonts w:hAnsi="宋体" w:hint="eastAsia"/>
        </w:rPr>
        <w:t xml:space="preserve"> </w:t>
      </w:r>
    </w:p>
    <w:p w:rsidR="005F1529" w:rsidRDefault="005F1529">
      <w:pPr>
        <w:pStyle w:val="XBRLTitle3"/>
        <w:spacing w:before="156"/>
        <w:ind w:left="0"/>
        <w:rPr>
          <w:rFonts w:hint="eastAsia"/>
        </w:rPr>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rsidR="005F1529" w:rsidRDefault="005F1529">
      <w:pPr>
        <w:spacing w:line="360" w:lineRule="auto"/>
        <w:ind w:firstLineChars="200" w:firstLine="420"/>
        <w:rPr>
          <w:rFonts w:hint="eastAsia"/>
        </w:rPr>
      </w:pPr>
      <w:r>
        <w:rPr>
          <w:rFonts w:ascii="宋体" w:hAnsi="宋体" w:hint="eastAsia"/>
        </w:rPr>
        <w:t>本基金投资的前十名证券的发行主体中，中国工商银行股份有限公司报告编制日前一年内曾受到国家金融监督管理总局、国家外汇管理局北京市分局、央行的处罚，中国建设银行股份有限公司报告编制日前一年内曾受到国家金融监督管理总局、央行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5F1529" w:rsidRDefault="005F1529">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rsidR="005F1529" w:rsidRDefault="005F1529">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F1529" w:rsidRDefault="005F1529">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w:t>
      </w:r>
      <w:r>
        <w:rPr>
          <w:rFonts w:hint="eastAsia"/>
        </w:rPr>
        <w:t>成</w:t>
      </w:r>
      <w:bookmarkEnd w:id="196"/>
      <w:bookmarkEnd w:id="197"/>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760876805"/>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F1529" w:rsidRDefault="005F1529">
            <w:pPr>
              <w:jc w:val="center"/>
            </w:pPr>
            <w:r>
              <w:rPr>
                <w:rFonts w:ascii="宋体" w:hAnsi="宋体" w:hint="eastAsia"/>
              </w:rPr>
              <w:t>金额（元</w:t>
            </w:r>
            <w:r>
              <w:rPr>
                <w:rFonts w:ascii="宋体" w:hAnsi="宋体" w:hint="eastAsia"/>
              </w:rPr>
              <w:t>）</w:t>
            </w:r>
            <w:r>
              <w:t xml:space="preserve"> </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722,230.5</w:t>
            </w:r>
            <w:r>
              <w:rPr>
                <w:rFonts w:ascii="宋体" w:hAnsi="宋体" w:hint="eastAsia"/>
              </w:rPr>
              <w:t>9</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1,245,475.9</w:t>
            </w:r>
            <w:r>
              <w:rPr>
                <w:rFonts w:ascii="宋体" w:hAnsi="宋体" w:hint="eastAsia"/>
              </w:rPr>
              <w:t>6</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w:t>
            </w:r>
          </w:p>
        </w:tc>
      </w:tr>
      <w:tr w:rsidR="00000000">
        <w:trPr>
          <w:divId w:val="760876805"/>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F1529" w:rsidRDefault="005F1529">
            <w:pPr>
              <w:jc w:val="right"/>
            </w:pPr>
            <w:r>
              <w:rPr>
                <w:rFonts w:ascii="宋体" w:hAnsi="宋体" w:hint="eastAsia"/>
              </w:rPr>
              <w:t>1,967,706.5</w:t>
            </w:r>
            <w:r>
              <w:rPr>
                <w:rFonts w:ascii="宋体" w:hAnsi="宋体" w:hint="eastAsia"/>
              </w:rPr>
              <w:t>5</w:t>
            </w:r>
          </w:p>
        </w:tc>
      </w:tr>
    </w:tbl>
    <w:p w:rsidR="005F1529" w:rsidRDefault="005F1529">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w:t>
      </w:r>
      <w:r>
        <w:rPr>
          <w:rFonts w:hint="eastAsia"/>
        </w:rPr>
        <w:t>细</w:t>
      </w:r>
      <w:bookmarkEnd w:id="201"/>
      <w:bookmarkEnd w:id="202"/>
      <w:bookmarkEnd w:id="203"/>
      <w:bookmarkEnd w:id="204"/>
    </w:p>
    <w:p w:rsidR="005F1529" w:rsidRDefault="005F1529">
      <w:pPr>
        <w:spacing w:line="360" w:lineRule="auto"/>
        <w:ind w:firstLineChars="200" w:firstLine="420"/>
        <w:jc w:val="left"/>
        <w:divId w:val="1190488492"/>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F1529" w:rsidRDefault="005F1529">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w:t>
      </w:r>
      <w:r>
        <w:rPr>
          <w:rFonts w:hint="eastAsia"/>
        </w:rPr>
        <w:t>明</w:t>
      </w:r>
      <w:bookmarkEnd w:id="206"/>
      <w:bookmarkEnd w:id="207"/>
      <w:bookmarkEnd w:id="208"/>
      <w:bookmarkEnd w:id="209"/>
    </w:p>
    <w:p w:rsidR="005F1529" w:rsidRDefault="005F1529">
      <w:pPr>
        <w:pStyle w:val="XBRLTitle4"/>
        <w:spacing w:before="156"/>
        <w:ind w:left="794"/>
        <w:rPr>
          <w:rFonts w:hint="eastAsia"/>
        </w:rPr>
      </w:pPr>
      <w:bookmarkStart w:id="211" w:name="_Toc513386625"/>
      <w:r>
        <w:rPr>
          <w:rFonts w:hAnsi="宋体" w:hint="eastAsia"/>
          <w:lang w:eastAsia="zh-CN"/>
        </w:rPr>
        <w:t>报告期末指数投资前十名股票中存在流通受限情况的说</w:t>
      </w:r>
      <w:r>
        <w:rPr>
          <w:rFonts w:hAnsi="宋体" w:hint="eastAsia"/>
          <w:lang w:eastAsia="zh-CN"/>
        </w:rPr>
        <w:t>明</w:t>
      </w:r>
      <w:bookmarkEnd w:id="211"/>
      <w:r>
        <w:rPr>
          <w:rFonts w:hAnsi="宋体" w:hint="eastAsia"/>
          <w:lang w:eastAsia="zh-CN"/>
        </w:rPr>
        <w:t xml:space="preserve"> </w:t>
      </w:r>
    </w:p>
    <w:p w:rsidR="005F1529" w:rsidRDefault="005F1529">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p>
    <w:p w:rsidR="005F1529" w:rsidRDefault="005F1529">
      <w:pPr>
        <w:pStyle w:val="XBRLTitle4"/>
        <w:spacing w:before="156"/>
        <w:ind w:left="794"/>
      </w:pPr>
      <w:bookmarkStart w:id="212" w:name="_Toc513386626"/>
      <w:r>
        <w:rPr>
          <w:rFonts w:hAnsi="宋体" w:hint="eastAsia"/>
          <w:lang w:eastAsia="zh-CN"/>
        </w:rPr>
        <w:t>报告期末积极投资前五名股票中存在流通受限情况的说</w:t>
      </w:r>
      <w:r>
        <w:rPr>
          <w:rFonts w:hAnsi="宋体" w:hint="eastAsia"/>
          <w:lang w:eastAsia="zh-CN"/>
        </w:rPr>
        <w:t>明</w:t>
      </w:r>
      <w:bookmarkEnd w:id="212"/>
      <w:r>
        <w:rPr>
          <w:rFonts w:hAnsi="宋体" w:hint="eastAsia"/>
          <w:lang w:eastAsia="zh-CN"/>
        </w:rPr>
        <w:t xml:space="preserve"> </w:t>
      </w:r>
    </w:p>
    <w:p w:rsidR="005F1529" w:rsidRDefault="005F1529">
      <w:pPr>
        <w:spacing w:line="360" w:lineRule="auto"/>
        <w:ind w:firstLineChars="200" w:firstLine="420"/>
        <w:jc w:val="left"/>
        <w:rPr>
          <w:rFonts w:hint="eastAsia"/>
        </w:rPr>
      </w:pPr>
      <w:r>
        <w:rPr>
          <w:rFonts w:ascii="宋体" w:hAnsi="宋体" w:hint="eastAsia"/>
        </w:rPr>
        <w:t>本基金本报告期末前五名积极投资中不存在流通受限情况</w:t>
      </w:r>
      <w:r>
        <w:rPr>
          <w:rFonts w:ascii="宋体" w:hAnsi="宋体" w:hint="eastAsia"/>
        </w:rPr>
        <w:t>。</w:t>
      </w:r>
      <w:bookmarkEnd w:id="13"/>
      <w:bookmarkEnd w:id="14"/>
      <w:bookmarkEnd w:id="15"/>
      <w:bookmarkEnd w:id="16"/>
      <w:bookmarkEnd w:id="17"/>
    </w:p>
    <w:p w:rsidR="005F1529" w:rsidRDefault="005F1529">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t>投资组合报告附注的其他文字描述部</w:t>
      </w:r>
      <w:r>
        <w:rPr>
          <w:rFonts w:hint="eastAsia"/>
        </w:rPr>
        <w:t>分</w:t>
      </w:r>
      <w:bookmarkEnd w:id="213"/>
      <w:bookmarkEnd w:id="214"/>
      <w:bookmarkEnd w:id="215"/>
      <w:bookmarkEnd w:id="216"/>
      <w:r>
        <w:rPr>
          <w:rFonts w:hint="eastAsia"/>
          <w:sz w:val="21"/>
        </w:rPr>
        <w:t xml:space="preserve"> </w:t>
      </w:r>
    </w:p>
    <w:p w:rsidR="005F1529" w:rsidRDefault="005F1529">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5F1529" w:rsidRDefault="005F1529">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30"/>
      <w:bookmarkEnd w:id="217"/>
      <w:r>
        <w:rPr>
          <w:rFonts w:hAnsi="宋体" w:hint="eastAsia"/>
        </w:rPr>
        <w:t>开放式基金份额变</w:t>
      </w:r>
      <w:r>
        <w:rPr>
          <w:rFonts w:hAnsi="宋体" w:hint="eastAsia"/>
        </w:rPr>
        <w:t>动</w:t>
      </w:r>
      <w:bookmarkStart w:id="224" w:name="m601_tab"/>
      <w:bookmarkEnd w:id="218"/>
      <w:bookmarkEnd w:id="219"/>
      <w:bookmarkEnd w:id="220"/>
      <w:bookmarkEnd w:id="221"/>
      <w:bookmarkEnd w:id="222"/>
    </w:p>
    <w:p w:rsidR="005F1529" w:rsidRDefault="005F1529">
      <w:pPr>
        <w:wordWrap w:val="0"/>
        <w:spacing w:line="360" w:lineRule="auto"/>
        <w:jc w:val="right"/>
        <w:rPr>
          <w:rFonts w:hint="eastAsia"/>
        </w:rPr>
      </w:pPr>
      <w:bookmarkStart w:id="225" w:name="m10_01_tab"/>
      <w:bookmarkEnd w:id="12"/>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rsidR="005F1529" w:rsidRDefault="005F152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pPr>
            <w:r>
              <w:rPr>
                <w:rFonts w:ascii="宋体" w:hAnsi="宋体" w:hint="eastAsia"/>
                <w:kern w:val="0"/>
                <w:szCs w:val="24"/>
                <w:lang w:eastAsia="zh-Hans"/>
              </w:rPr>
              <w:t>486,421,000.0</w:t>
            </w:r>
            <w:r>
              <w:rPr>
                <w:rFonts w:ascii="宋体" w:hAnsi="宋体" w:hint="eastAsia"/>
                <w:kern w:val="0"/>
                <w:szCs w:val="24"/>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pPr>
            <w:r>
              <w:rPr>
                <w:rFonts w:ascii="宋体" w:hAnsi="宋体" w:hint="eastAsia"/>
                <w:lang w:eastAsia="zh-Hans"/>
              </w:rPr>
              <w:t>11,000,000.0</w:t>
            </w:r>
            <w:r>
              <w:rPr>
                <w:rFonts w:ascii="宋体" w:hAnsi="宋体" w:hint="eastAsia"/>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pPr>
            <w:r>
              <w:rPr>
                <w:rFonts w:ascii="宋体" w:hAnsi="宋体" w:hint="eastAsia"/>
                <w:lang w:eastAsia="zh-Hans"/>
              </w:rPr>
              <w:t>146,000,000.0</w:t>
            </w:r>
            <w:r>
              <w:rPr>
                <w:rFonts w:ascii="宋体" w:hAnsi="宋体" w:hint="eastAsia"/>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pPr>
            <w:r>
              <w:rPr>
                <w:rFonts w:ascii="宋体" w:hAnsi="宋体" w:hint="eastAsia"/>
                <w:lang w:eastAsia="zh-Hans"/>
              </w:rPr>
              <w:t>-</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F1529" w:rsidRDefault="005F1529">
            <w:pPr>
              <w:jc w:val="right"/>
            </w:pPr>
            <w:r>
              <w:rPr>
                <w:rFonts w:ascii="宋体" w:hAnsi="宋体" w:hint="eastAsia"/>
                <w:szCs w:val="24"/>
                <w:lang w:eastAsia="zh-Hans"/>
              </w:rPr>
              <w:t>351,421,000.0</w:t>
            </w:r>
            <w:r>
              <w:rPr>
                <w:rFonts w:ascii="宋体" w:hAnsi="宋体" w:hint="eastAsia"/>
                <w:szCs w:val="24"/>
                <w:lang w:eastAsia="zh-Hans"/>
              </w:rPr>
              <w:t>0</w:t>
            </w:r>
            <w:r>
              <w:rPr>
                <w:rFonts w:ascii="宋体" w:hAnsi="宋体" w:hint="eastAsia"/>
                <w:lang w:eastAsia="zh-Hans"/>
              </w:rPr>
              <w:t xml:space="preserve"> </w:t>
            </w:r>
          </w:p>
        </w:tc>
      </w:tr>
    </w:tbl>
    <w:p w:rsidR="005F1529" w:rsidRDefault="005F1529">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w:t>
      </w:r>
      <w:r>
        <w:rPr>
          <w:rFonts w:hAnsi="宋体" w:hint="eastAsia"/>
        </w:rPr>
        <w:t>况</w:t>
      </w:r>
      <w:bookmarkEnd w:id="226"/>
      <w:bookmarkEnd w:id="227"/>
      <w:bookmarkEnd w:id="228"/>
      <w:bookmarkEnd w:id="229"/>
      <w:bookmarkEnd w:id="230"/>
      <w:bookmarkEnd w:id="231"/>
      <w:r>
        <w:rPr>
          <w:rFonts w:hAnsi="宋体" w:hint="eastAsia"/>
        </w:rPr>
        <w:t xml:space="preserve"> </w:t>
      </w:r>
    </w:p>
    <w:p w:rsidR="005F1529" w:rsidRDefault="005F1529">
      <w:pPr>
        <w:pStyle w:val="XBRLTitle2"/>
        <w:spacing w:before="156" w:line="360" w:lineRule="auto"/>
        <w:ind w:left="454"/>
        <w:rPr>
          <w:rFonts w:hint="eastAsia"/>
        </w:rPr>
      </w:pPr>
      <w:bookmarkStart w:id="232" w:name="_Toc513386630"/>
      <w:bookmarkStart w:id="233" w:name="_Toc490050044"/>
      <w:bookmarkStart w:id="234" w:name="_Toc458599606"/>
      <w:bookmarkStart w:id="235" w:name="_Toc481075091"/>
      <w:bookmarkStart w:id="236" w:name="_Toc512519523"/>
      <w:r>
        <w:rPr>
          <w:rFonts w:hAnsi="宋体" w:hint="eastAsia"/>
        </w:rPr>
        <w:t>基金管理人持有本基金份额变动情</w:t>
      </w:r>
      <w:r>
        <w:rPr>
          <w:rFonts w:hAnsi="宋体" w:hint="eastAsia"/>
        </w:rPr>
        <w:t>况</w:t>
      </w:r>
      <w:bookmarkEnd w:id="232"/>
      <w:bookmarkEnd w:id="233"/>
      <w:bookmarkEnd w:id="234"/>
      <w:bookmarkEnd w:id="235"/>
      <w:bookmarkEnd w:id="236"/>
      <w:r>
        <w:rPr>
          <w:rFonts w:hAnsi="宋体" w:hint="eastAsia"/>
          <w:lang w:eastAsia="zh-CN"/>
        </w:rPr>
        <w:t xml:space="preserve"> </w:t>
      </w:r>
    </w:p>
    <w:p w:rsidR="005F1529" w:rsidRDefault="005F1529">
      <w:pPr>
        <w:spacing w:line="360" w:lineRule="auto"/>
        <w:ind w:firstLineChars="200" w:firstLine="420"/>
        <w:jc w:val="left"/>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5F1529" w:rsidRDefault="005F1529">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w:t>
      </w:r>
      <w:r>
        <w:rPr>
          <w:rFonts w:hAnsi="宋体" w:hint="eastAsia"/>
        </w:rPr>
        <w:t>细</w:t>
      </w:r>
      <w:bookmarkEnd w:id="237"/>
      <w:bookmarkEnd w:id="238"/>
      <w:bookmarkEnd w:id="239"/>
      <w:bookmarkEnd w:id="240"/>
      <w:bookmarkEnd w:id="241"/>
      <w:r>
        <w:rPr>
          <w:rFonts w:hAnsi="宋体" w:hint="eastAsia"/>
          <w:lang w:eastAsia="zh-CN"/>
        </w:rPr>
        <w:t xml:space="preserve"> </w:t>
      </w:r>
    </w:p>
    <w:p w:rsidR="005F1529" w:rsidRDefault="005F1529">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5F1529" w:rsidRDefault="005F1529">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w:t>
      </w:r>
      <w:r>
        <w:rPr>
          <w:rFonts w:hAnsi="宋体" w:hint="eastAsia"/>
        </w:rPr>
        <w:t>息</w:t>
      </w:r>
      <w:bookmarkEnd w:id="242"/>
      <w:bookmarkEnd w:id="243"/>
      <w:bookmarkEnd w:id="244"/>
      <w:bookmarkEnd w:id="245"/>
      <w:bookmarkEnd w:id="246"/>
      <w:r>
        <w:rPr>
          <w:rFonts w:hAnsi="宋体" w:hint="eastAsia"/>
          <w:lang w:eastAsia="zh-CN"/>
        </w:rPr>
        <w:t xml:space="preserve"> </w:t>
      </w:r>
    </w:p>
    <w:p w:rsidR="005F1529" w:rsidRDefault="005F1529">
      <w:pPr>
        <w:pStyle w:val="XBRLTitle2"/>
        <w:spacing w:before="156" w:line="360" w:lineRule="auto"/>
        <w:ind w:left="454"/>
        <w:rPr>
          <w:rFonts w:hint="eastAsia"/>
        </w:rPr>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48"/>
      <w:bookmarkEnd w:id="249"/>
      <w:bookmarkEnd w:id="250"/>
      <w:bookmarkEnd w:id="251"/>
      <w:r>
        <w:rPr>
          <w:rFonts w:hAnsi="宋体" w:hint="eastAsia"/>
          <w:kern w:val="0"/>
          <w:lang w:eastAsia="zh-CN"/>
        </w:rPr>
        <w:t xml:space="preserve"> </w:t>
      </w:r>
    </w:p>
    <w:bookmarkEnd w:id="18"/>
    <w:bookmarkEnd w:id="31"/>
    <w:bookmarkEnd w:id="32"/>
    <w:p w:rsidR="005F1529" w:rsidRDefault="005F1529">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5F1529" w:rsidRDefault="005F1529">
      <w:pPr>
        <w:pStyle w:val="XBRLTitle1"/>
        <w:spacing w:before="156" w:line="360" w:lineRule="auto"/>
        <w:ind w:left="425"/>
        <w:rPr>
          <w:rFonts w:hint="eastAsia"/>
        </w:rPr>
      </w:pPr>
      <w:bookmarkStart w:id="252" w:name="_Toc513386635"/>
      <w:bookmarkStart w:id="253" w:name="_Toc438646481"/>
      <w:bookmarkStart w:id="254" w:name="_Toc481075097"/>
      <w:bookmarkStart w:id="255" w:name="_Toc490050049"/>
      <w:bookmarkStart w:id="256" w:name="_Toc512519529"/>
      <w:bookmarkEnd w:id="247"/>
      <w:r>
        <w:rPr>
          <w:rFonts w:hAnsi="宋体" w:hint="eastAsia"/>
        </w:rPr>
        <w:t>备查文件目</w:t>
      </w:r>
      <w:r>
        <w:rPr>
          <w:rFonts w:hAnsi="宋体" w:hint="eastAsia"/>
        </w:rPr>
        <w:t>录</w:t>
      </w:r>
      <w:bookmarkEnd w:id="252"/>
      <w:bookmarkEnd w:id="253"/>
      <w:bookmarkEnd w:id="254"/>
      <w:bookmarkEnd w:id="255"/>
      <w:bookmarkEnd w:id="256"/>
      <w:r>
        <w:rPr>
          <w:rFonts w:hAnsi="宋体" w:hint="eastAsia"/>
        </w:rPr>
        <w:t xml:space="preserve"> </w:t>
      </w:r>
    </w:p>
    <w:p w:rsidR="005F1529" w:rsidRDefault="005F1529">
      <w:pPr>
        <w:pStyle w:val="XBRLTitle2"/>
        <w:spacing w:before="156" w:line="360" w:lineRule="auto"/>
        <w:ind w:left="454"/>
        <w:rPr>
          <w:rFonts w:hint="eastAsia"/>
        </w:rPr>
      </w:pPr>
      <w:bookmarkStart w:id="257" w:name="_Toc438646482"/>
      <w:bookmarkStart w:id="258" w:name="_Toc513386636"/>
      <w:bookmarkStart w:id="259" w:name="_Toc490050050"/>
      <w:bookmarkStart w:id="260" w:name="_Toc481075098"/>
      <w:bookmarkStart w:id="261" w:name="_Toc512519530"/>
      <w:bookmarkStart w:id="262" w:name="m801_01_1733"/>
      <w:r>
        <w:rPr>
          <w:rFonts w:hAnsi="宋体" w:hint="eastAsia"/>
        </w:rPr>
        <w:t>备查文件目</w:t>
      </w:r>
      <w:r>
        <w:rPr>
          <w:rFonts w:hAnsi="宋体" w:hint="eastAsia"/>
        </w:rPr>
        <w:t>录</w:t>
      </w:r>
      <w:bookmarkEnd w:id="257"/>
      <w:bookmarkEnd w:id="258"/>
      <w:bookmarkEnd w:id="259"/>
      <w:bookmarkEnd w:id="260"/>
      <w:bookmarkEnd w:id="261"/>
      <w:r>
        <w:rPr>
          <w:rFonts w:hAnsi="宋体" w:hint="eastAsia"/>
        </w:rPr>
        <w:t xml:space="preserve"> </w:t>
      </w:r>
    </w:p>
    <w:p w:rsidR="005F1529" w:rsidRDefault="005F1529">
      <w:pPr>
        <w:spacing w:line="360" w:lineRule="auto"/>
        <w:ind w:firstLineChars="200" w:firstLine="420"/>
        <w:jc w:val="left"/>
        <w:rPr>
          <w:rFonts w:hint="eastAsia"/>
        </w:rPr>
      </w:pPr>
      <w:r>
        <w:rPr>
          <w:rFonts w:ascii="宋体" w:hAnsi="宋体" w:cs="宋体" w:hint="eastAsia"/>
          <w:color w:val="000000"/>
          <w:kern w:val="0"/>
        </w:rPr>
        <w:t>（一）中国证监会准予摩根恒生港股通</w:t>
      </w:r>
      <w:r>
        <w:rPr>
          <w:rFonts w:ascii="宋体" w:hAnsi="宋体" w:cs="宋体" w:hint="eastAsia"/>
          <w:color w:val="000000"/>
          <w:kern w:val="0"/>
        </w:rPr>
        <w:t>50</w:t>
      </w:r>
      <w:r>
        <w:rPr>
          <w:rFonts w:ascii="宋体" w:hAnsi="宋体" w:cs="宋体" w:hint="eastAsia"/>
          <w:color w:val="000000"/>
          <w:kern w:val="0"/>
        </w:rPr>
        <w:t>交易型开放式指数证券投资基金募集注册的文件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（二）摩根恒生港股通</w:t>
      </w:r>
      <w:r>
        <w:rPr>
          <w:rFonts w:ascii="宋体" w:hAnsi="宋体" w:cs="宋体" w:hint="eastAsia"/>
          <w:color w:val="000000"/>
          <w:kern w:val="0"/>
        </w:rPr>
        <w:t>50</w:t>
      </w:r>
      <w:r>
        <w:rPr>
          <w:rFonts w:ascii="宋体" w:hAnsi="宋体" w:cs="宋体" w:hint="eastAsia"/>
          <w:color w:val="000000"/>
          <w:kern w:val="0"/>
        </w:rPr>
        <w:t>交易型开放式指数证券投资基金基金合同</w:t>
      </w:r>
      <w:r>
        <w:rPr>
          <w:rFonts w:ascii="宋体" w:hAnsi="宋体" w:cs="宋体" w:hint="eastAsia"/>
          <w:color w:val="000000"/>
          <w:kern w:val="0"/>
        </w:rPr>
        <w:br/>
      </w:r>
      <w:r>
        <w:rPr>
          <w:rFonts w:ascii="宋体" w:hAnsi="宋体" w:cs="宋体" w:hint="eastAsia"/>
          <w:color w:val="000000"/>
          <w:kern w:val="0"/>
        </w:rPr>
        <w:t xml:space="preserve">　　（三）摩根恒生港股通</w:t>
      </w:r>
      <w:r>
        <w:rPr>
          <w:rFonts w:ascii="宋体" w:hAnsi="宋体" w:cs="宋体" w:hint="eastAsia"/>
          <w:color w:val="000000"/>
          <w:kern w:val="0"/>
        </w:rPr>
        <w:t>50</w:t>
      </w:r>
      <w:r>
        <w:rPr>
          <w:rFonts w:ascii="宋体" w:hAnsi="宋体" w:cs="宋体" w:hint="eastAsia"/>
          <w:color w:val="000000"/>
          <w:kern w:val="0"/>
        </w:rPr>
        <w:t>交易型开放式指数证券投资基金托管协议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5F1529" w:rsidRDefault="005F1529">
      <w:pPr>
        <w:pStyle w:val="XBRLTitle2"/>
        <w:spacing w:before="156" w:line="360" w:lineRule="auto"/>
        <w:ind w:left="454"/>
      </w:pPr>
      <w:bookmarkStart w:id="263" w:name="_Toc438646483"/>
      <w:bookmarkStart w:id="264" w:name="_Toc513386637"/>
      <w:bookmarkStart w:id="265" w:name="_Toc490050051"/>
      <w:bookmarkStart w:id="266" w:name="_Toc481075099"/>
      <w:bookmarkStart w:id="267" w:name="_Toc512519531"/>
      <w:bookmarkStart w:id="268" w:name="m801_01_1734"/>
      <w:bookmarkEnd w:id="262"/>
      <w:r>
        <w:rPr>
          <w:rFonts w:hAnsi="宋体" w:hint="eastAsia"/>
        </w:rPr>
        <w:t>存放地</w:t>
      </w:r>
      <w:r>
        <w:rPr>
          <w:rFonts w:hAnsi="宋体" w:hint="eastAsia"/>
        </w:rPr>
        <w:t>点</w:t>
      </w:r>
      <w:bookmarkEnd w:id="263"/>
      <w:bookmarkEnd w:id="264"/>
      <w:bookmarkEnd w:id="265"/>
      <w:bookmarkEnd w:id="266"/>
      <w:bookmarkEnd w:id="267"/>
      <w:r>
        <w:rPr>
          <w:rFonts w:hAnsi="宋体" w:hint="eastAsia"/>
        </w:rPr>
        <w:t xml:space="preserve"> </w:t>
      </w:r>
    </w:p>
    <w:p w:rsidR="005F1529" w:rsidRDefault="005F1529">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F1529" w:rsidRDefault="005F1529">
      <w:pPr>
        <w:pStyle w:val="XBRLTitle2"/>
        <w:spacing w:before="156" w:line="360" w:lineRule="auto"/>
        <w:ind w:left="454"/>
      </w:pPr>
      <w:bookmarkStart w:id="269" w:name="_Toc438646484"/>
      <w:bookmarkStart w:id="270" w:name="_Toc513386638"/>
      <w:bookmarkStart w:id="271" w:name="_Toc490050052"/>
      <w:bookmarkStart w:id="272" w:name="_Toc481075100"/>
      <w:bookmarkStart w:id="273" w:name="_Toc512519532"/>
      <w:bookmarkStart w:id="274" w:name="m801_01_1735"/>
      <w:bookmarkEnd w:id="268"/>
      <w:r>
        <w:rPr>
          <w:rFonts w:hAnsi="宋体" w:hint="eastAsia"/>
        </w:rPr>
        <w:t>查阅方</w:t>
      </w:r>
      <w:r>
        <w:rPr>
          <w:rFonts w:hAnsi="宋体" w:hint="eastAsia"/>
        </w:rPr>
        <w:t>式</w:t>
      </w:r>
      <w:bookmarkEnd w:id="269"/>
      <w:bookmarkEnd w:id="270"/>
      <w:bookmarkEnd w:id="271"/>
      <w:bookmarkEnd w:id="272"/>
      <w:bookmarkEnd w:id="273"/>
      <w:r>
        <w:rPr>
          <w:rFonts w:hAnsi="宋体" w:hint="eastAsia"/>
        </w:rPr>
        <w:t xml:space="preserve"> </w:t>
      </w:r>
    </w:p>
    <w:p w:rsidR="005F1529" w:rsidRDefault="005F1529">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274"/>
    <w:p w:rsidR="005F1529" w:rsidRDefault="005F152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F1529" w:rsidRDefault="005F1529">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F1529" w:rsidRDefault="005F1529">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F1529" w:rsidRDefault="005F1529">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19"/>
    </w:p>
    <w:sectPr w:rsidR="005F1529">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529" w:rsidRDefault="005F1529">
      <w:pPr>
        <w:rPr>
          <w:szCs w:val="21"/>
        </w:rPr>
      </w:pPr>
      <w:r>
        <w:rPr>
          <w:szCs w:val="21"/>
        </w:rPr>
        <w:separator/>
      </w:r>
      <w:r>
        <w:rPr>
          <w:szCs w:val="21"/>
        </w:rPr>
        <w:t xml:space="preserve"> </w:t>
      </w:r>
    </w:p>
  </w:endnote>
  <w:endnote w:type="continuationSeparator" w:id="0">
    <w:p w:rsidR="005F1529" w:rsidRDefault="005F1529">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29" w:rsidRDefault="005F152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529" w:rsidRDefault="005F1529">
      <w:pPr>
        <w:rPr>
          <w:szCs w:val="21"/>
        </w:rPr>
      </w:pPr>
      <w:r>
        <w:rPr>
          <w:szCs w:val="21"/>
        </w:rPr>
        <w:separator/>
      </w:r>
      <w:r>
        <w:rPr>
          <w:szCs w:val="21"/>
        </w:rPr>
        <w:t xml:space="preserve"> </w:t>
      </w:r>
    </w:p>
  </w:footnote>
  <w:footnote w:type="continuationSeparator" w:id="0">
    <w:p w:rsidR="005F1529" w:rsidRDefault="005F1529">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29" w:rsidRDefault="005F1529">
    <w:pPr>
      <w:pStyle w:val="a8"/>
      <w:jc w:val="right"/>
    </w:pPr>
    <w:r>
      <w:rPr>
        <w:rFonts w:ascii="宋体" w:hAnsi="宋体" w:hint="eastAsia"/>
      </w:rPr>
      <w:t>摩根恒生港股通</w:t>
    </w:r>
    <w:r>
      <w:rPr>
        <w:rFonts w:ascii="宋体" w:hAnsi="宋体" w:hint="eastAsia"/>
      </w:rPr>
      <w:t>50</w:t>
    </w:r>
    <w:r>
      <w:rPr>
        <w:rFonts w:ascii="宋体" w:hAnsi="宋体" w:hint="eastAsia"/>
      </w:rPr>
      <w:t>交易型开放式指数证券投资基金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1078" w:hanging="794"/>
      </w:pPr>
      <w:rPr>
        <w:sz w:val="24"/>
        <w:szCs w:val="24"/>
      </w:r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07229133">
    <w:abstractNumId w:val="0"/>
  </w:num>
  <w:num w:numId="2" w16cid:durableId="909999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F1DFA"/>
    <w:rsid w:val="000F1DFA"/>
    <w:rsid w:val="004B2D07"/>
    <w:rsid w:val="005F1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0908">
      <w:marLeft w:val="0"/>
      <w:marRight w:val="0"/>
      <w:marTop w:val="0"/>
      <w:marBottom w:val="0"/>
      <w:divBdr>
        <w:top w:val="none" w:sz="0" w:space="0" w:color="auto"/>
        <w:left w:val="none" w:sz="0" w:space="0" w:color="auto"/>
        <w:bottom w:val="none" w:sz="0" w:space="0" w:color="auto"/>
        <w:right w:val="none" w:sz="0" w:space="0" w:color="auto"/>
      </w:divBdr>
    </w:div>
    <w:div w:id="42214037">
      <w:marLeft w:val="0"/>
      <w:marRight w:val="0"/>
      <w:marTop w:val="0"/>
      <w:marBottom w:val="0"/>
      <w:divBdr>
        <w:top w:val="none" w:sz="0" w:space="0" w:color="auto"/>
        <w:left w:val="none" w:sz="0" w:space="0" w:color="auto"/>
        <w:bottom w:val="none" w:sz="0" w:space="0" w:color="auto"/>
        <w:right w:val="none" w:sz="0" w:space="0" w:color="auto"/>
      </w:divBdr>
    </w:div>
    <w:div w:id="65274244">
      <w:marLeft w:val="0"/>
      <w:marRight w:val="0"/>
      <w:marTop w:val="0"/>
      <w:marBottom w:val="0"/>
      <w:divBdr>
        <w:top w:val="none" w:sz="0" w:space="0" w:color="auto"/>
        <w:left w:val="none" w:sz="0" w:space="0" w:color="auto"/>
        <w:bottom w:val="none" w:sz="0" w:space="0" w:color="auto"/>
        <w:right w:val="none" w:sz="0" w:space="0" w:color="auto"/>
      </w:divBdr>
    </w:div>
    <w:div w:id="67502310">
      <w:marLeft w:val="0"/>
      <w:marRight w:val="0"/>
      <w:marTop w:val="0"/>
      <w:marBottom w:val="0"/>
      <w:divBdr>
        <w:top w:val="none" w:sz="0" w:space="0" w:color="auto"/>
        <w:left w:val="none" w:sz="0" w:space="0" w:color="auto"/>
        <w:bottom w:val="none" w:sz="0" w:space="0" w:color="auto"/>
        <w:right w:val="none" w:sz="0" w:space="0" w:color="auto"/>
      </w:divBdr>
    </w:div>
    <w:div w:id="191502711">
      <w:marLeft w:val="0"/>
      <w:marRight w:val="0"/>
      <w:marTop w:val="0"/>
      <w:marBottom w:val="0"/>
      <w:divBdr>
        <w:top w:val="none" w:sz="0" w:space="0" w:color="auto"/>
        <w:left w:val="none" w:sz="0" w:space="0" w:color="auto"/>
        <w:bottom w:val="none" w:sz="0" w:space="0" w:color="auto"/>
        <w:right w:val="none" w:sz="0" w:space="0" w:color="auto"/>
      </w:divBdr>
    </w:div>
    <w:div w:id="542594484">
      <w:marLeft w:val="0"/>
      <w:marRight w:val="0"/>
      <w:marTop w:val="0"/>
      <w:marBottom w:val="0"/>
      <w:divBdr>
        <w:top w:val="none" w:sz="0" w:space="0" w:color="auto"/>
        <w:left w:val="none" w:sz="0" w:space="0" w:color="auto"/>
        <w:bottom w:val="none" w:sz="0" w:space="0" w:color="auto"/>
        <w:right w:val="none" w:sz="0" w:space="0" w:color="auto"/>
      </w:divBdr>
    </w:div>
    <w:div w:id="760876805">
      <w:marLeft w:val="0"/>
      <w:marRight w:val="0"/>
      <w:marTop w:val="0"/>
      <w:marBottom w:val="0"/>
      <w:divBdr>
        <w:top w:val="none" w:sz="0" w:space="0" w:color="auto"/>
        <w:left w:val="none" w:sz="0" w:space="0" w:color="auto"/>
        <w:bottom w:val="none" w:sz="0" w:space="0" w:color="auto"/>
        <w:right w:val="none" w:sz="0" w:space="0" w:color="auto"/>
      </w:divBdr>
    </w:div>
    <w:div w:id="779760979">
      <w:marLeft w:val="0"/>
      <w:marRight w:val="0"/>
      <w:marTop w:val="0"/>
      <w:marBottom w:val="0"/>
      <w:divBdr>
        <w:top w:val="none" w:sz="0" w:space="0" w:color="auto"/>
        <w:left w:val="none" w:sz="0" w:space="0" w:color="auto"/>
        <w:bottom w:val="none" w:sz="0" w:space="0" w:color="auto"/>
        <w:right w:val="none" w:sz="0" w:space="0" w:color="auto"/>
      </w:divBdr>
      <w:divsChild>
        <w:div w:id="149368846">
          <w:marLeft w:val="0"/>
          <w:marRight w:val="0"/>
          <w:marTop w:val="0"/>
          <w:marBottom w:val="0"/>
          <w:divBdr>
            <w:top w:val="none" w:sz="0" w:space="0" w:color="auto"/>
            <w:left w:val="none" w:sz="0" w:space="0" w:color="auto"/>
            <w:bottom w:val="none" w:sz="0" w:space="0" w:color="auto"/>
            <w:right w:val="none" w:sz="0" w:space="0" w:color="auto"/>
          </w:divBdr>
        </w:div>
      </w:divsChild>
    </w:div>
    <w:div w:id="1190488492">
      <w:marLeft w:val="0"/>
      <w:marRight w:val="0"/>
      <w:marTop w:val="0"/>
      <w:marBottom w:val="0"/>
      <w:divBdr>
        <w:top w:val="none" w:sz="0" w:space="0" w:color="auto"/>
        <w:left w:val="none" w:sz="0" w:space="0" w:color="auto"/>
        <w:bottom w:val="none" w:sz="0" w:space="0" w:color="auto"/>
        <w:right w:val="none" w:sz="0" w:space="0" w:color="auto"/>
      </w:divBdr>
    </w:div>
    <w:div w:id="1703437734">
      <w:marLeft w:val="0"/>
      <w:marRight w:val="0"/>
      <w:marTop w:val="0"/>
      <w:marBottom w:val="0"/>
      <w:divBdr>
        <w:top w:val="none" w:sz="0" w:space="0" w:color="auto"/>
        <w:left w:val="none" w:sz="0" w:space="0" w:color="auto"/>
        <w:bottom w:val="none" w:sz="0" w:space="0" w:color="auto"/>
        <w:right w:val="none" w:sz="0" w:space="0" w:color="auto"/>
      </w:divBdr>
    </w:div>
    <w:div w:id="1808816916">
      <w:marLeft w:val="0"/>
      <w:marRight w:val="0"/>
      <w:marTop w:val="0"/>
      <w:marBottom w:val="0"/>
      <w:divBdr>
        <w:top w:val="none" w:sz="0" w:space="0" w:color="auto"/>
        <w:left w:val="none" w:sz="0" w:space="0" w:color="auto"/>
        <w:bottom w:val="none" w:sz="0" w:space="0" w:color="auto"/>
        <w:right w:val="none" w:sz="0" w:space="0" w:color="auto"/>
      </w:divBdr>
    </w:div>
    <w:div w:id="1821117455">
      <w:marLeft w:val="0"/>
      <w:marRight w:val="0"/>
      <w:marTop w:val="0"/>
      <w:marBottom w:val="0"/>
      <w:divBdr>
        <w:top w:val="none" w:sz="0" w:space="0" w:color="auto"/>
        <w:left w:val="none" w:sz="0" w:space="0" w:color="auto"/>
        <w:bottom w:val="none" w:sz="0" w:space="0" w:color="auto"/>
        <w:right w:val="none" w:sz="0" w:space="0" w:color="auto"/>
      </w:divBdr>
    </w:div>
    <w:div w:id="1838225716">
      <w:marLeft w:val="0"/>
      <w:marRight w:val="0"/>
      <w:marTop w:val="0"/>
      <w:marBottom w:val="0"/>
      <w:divBdr>
        <w:top w:val="none" w:sz="0" w:space="0" w:color="auto"/>
        <w:left w:val="none" w:sz="0" w:space="0" w:color="auto"/>
        <w:bottom w:val="none" w:sz="0" w:space="0" w:color="auto"/>
        <w:right w:val="none" w:sz="0" w:space="0" w:color="auto"/>
      </w:divBdr>
      <w:divsChild>
        <w:div w:id="327288438">
          <w:marLeft w:val="0"/>
          <w:marRight w:val="0"/>
          <w:marTop w:val="0"/>
          <w:marBottom w:val="0"/>
          <w:divBdr>
            <w:top w:val="none" w:sz="0" w:space="0" w:color="auto"/>
            <w:left w:val="none" w:sz="0" w:space="0" w:color="auto"/>
            <w:bottom w:val="none" w:sz="0" w:space="0" w:color="auto"/>
            <w:right w:val="none" w:sz="0" w:space="0" w:color="auto"/>
          </w:divBdr>
        </w:div>
      </w:divsChild>
    </w:div>
    <w:div w:id="1858688923">
      <w:marLeft w:val="0"/>
      <w:marRight w:val="0"/>
      <w:marTop w:val="0"/>
      <w:marBottom w:val="0"/>
      <w:divBdr>
        <w:top w:val="none" w:sz="0" w:space="0" w:color="auto"/>
        <w:left w:val="none" w:sz="0" w:space="0" w:color="auto"/>
        <w:bottom w:val="none" w:sz="0" w:space="0" w:color="auto"/>
        <w:right w:val="none" w:sz="0" w:space="0" w:color="auto"/>
      </w:divBdr>
    </w:div>
    <w:div w:id="1914006452">
      <w:marLeft w:val="0"/>
      <w:marRight w:val="0"/>
      <w:marTop w:val="0"/>
      <w:marBottom w:val="0"/>
      <w:divBdr>
        <w:top w:val="none" w:sz="0" w:space="0" w:color="auto"/>
        <w:left w:val="none" w:sz="0" w:space="0" w:color="auto"/>
        <w:bottom w:val="none" w:sz="0" w:space="0" w:color="auto"/>
        <w:right w:val="none" w:sz="0" w:space="0" w:color="auto"/>
      </w:divBdr>
    </w:div>
    <w:div w:id="208811374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1066</Words>
  <Characters>6081</Characters>
  <Application>Microsoft Office Word</Application>
  <DocSecurity>4</DocSecurity>
  <Lines>50</Lines>
  <Paragraphs>14</Paragraphs>
  <ScaleCrop>false</ScaleCrop>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2026-07-13T13:19:00Z</dcterms:created>
  <dcterms:modified xsi:type="dcterms:W3CDTF">2026-07-13T13:19:00Z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