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12B3" w:rsidRDefault="0020767E">
      <w:pPr>
        <w:spacing w:line="360" w:lineRule="auto"/>
        <w:rPr>
          <w:rFonts w:ascii="宋体" w:hAnsi="宋体"/>
          <w:sz w:val="48"/>
        </w:rPr>
      </w:pPr>
      <w:bookmarkStart w:id="0" w:name="_GoBack"/>
      <w:bookmarkEnd w:id="0"/>
      <w:r>
        <w:rPr>
          <w:rFonts w:ascii="宋体" w:hAnsi="宋体" w:hint="eastAsia"/>
          <w:sz w:val="48"/>
        </w:rPr>
        <w:t xml:space="preserve">　 </w:t>
      </w:r>
    </w:p>
    <w:p w:rsidR="003212B3" w:rsidRDefault="0020767E">
      <w:pPr>
        <w:spacing w:line="360" w:lineRule="auto"/>
        <w:rPr>
          <w:rFonts w:ascii="宋体" w:hAnsi="宋体"/>
          <w:sz w:val="48"/>
        </w:rPr>
      </w:pPr>
      <w:r>
        <w:rPr>
          <w:rFonts w:ascii="宋体" w:hAnsi="宋体" w:hint="eastAsia"/>
          <w:sz w:val="48"/>
        </w:rPr>
        <w:t xml:space="preserve">　 </w:t>
      </w:r>
    </w:p>
    <w:p w:rsidR="003212B3" w:rsidRDefault="0020767E">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摩根恒生科技交易型开放式指数证券投资基金(QDII)</w:t>
      </w:r>
      <w:r>
        <w:rPr>
          <w:rFonts w:ascii="宋体" w:hAnsi="宋体" w:hint="eastAsia"/>
          <w:b/>
          <w:bCs/>
          <w:sz w:val="48"/>
          <w:szCs w:val="48"/>
        </w:rPr>
        <w:br/>
        <w:t>2025年第1季度报告</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pPr>
      <w:r>
        <w:rPr>
          <w:rFonts w:ascii="宋体" w:hAnsi="宋体" w:hint="eastAsia"/>
          <w:b/>
          <w:bCs/>
          <w:sz w:val="28"/>
          <w:szCs w:val="30"/>
        </w:rPr>
        <w:t>2025年3月31日</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jc w:val="center"/>
        <w:rPr>
          <w:rFonts w:ascii="宋体" w:hAnsi="宋体"/>
          <w:sz w:val="28"/>
          <w:szCs w:val="30"/>
        </w:rPr>
      </w:pPr>
      <w:r>
        <w:rPr>
          <w:rFonts w:ascii="宋体" w:hAnsi="宋体" w:hint="eastAsia"/>
          <w:sz w:val="28"/>
          <w:szCs w:val="30"/>
        </w:rPr>
        <w:t xml:space="preserve">　 </w:t>
      </w:r>
    </w:p>
    <w:p w:rsidR="003212B3" w:rsidRDefault="0020767E">
      <w:pPr>
        <w:spacing w:line="360" w:lineRule="auto"/>
        <w:ind w:firstLineChars="800" w:firstLine="2249"/>
        <w:jc w:val="left"/>
      </w:pPr>
      <w:r>
        <w:rPr>
          <w:rFonts w:ascii="宋体" w:hAnsi="宋体" w:hint="eastAsia"/>
          <w:b/>
          <w:bCs/>
          <w:sz w:val="28"/>
          <w:szCs w:val="30"/>
        </w:rPr>
        <w:t>基金管理人：摩根基金管理（中国）有限公司</w:t>
      </w:r>
    </w:p>
    <w:p w:rsidR="003212B3" w:rsidRDefault="0020767E">
      <w:pPr>
        <w:spacing w:line="360" w:lineRule="auto"/>
        <w:ind w:firstLineChars="800" w:firstLine="2249"/>
        <w:jc w:val="left"/>
      </w:pPr>
      <w:r>
        <w:rPr>
          <w:rFonts w:ascii="宋体" w:hAnsi="宋体" w:hint="eastAsia"/>
          <w:b/>
          <w:bCs/>
          <w:sz w:val="28"/>
          <w:szCs w:val="30"/>
        </w:rPr>
        <w:t>基金托管人：中国工商银行股份有限公司</w:t>
      </w:r>
    </w:p>
    <w:p w:rsidR="003212B3" w:rsidRDefault="0020767E">
      <w:pPr>
        <w:spacing w:line="360" w:lineRule="auto"/>
        <w:ind w:firstLineChars="800" w:firstLine="2249"/>
        <w:jc w:val="left"/>
      </w:pPr>
      <w:r>
        <w:rPr>
          <w:rFonts w:ascii="宋体" w:hAnsi="宋体" w:hint="eastAsia"/>
          <w:b/>
          <w:bCs/>
          <w:sz w:val="28"/>
          <w:szCs w:val="30"/>
        </w:rPr>
        <w:t>报告送出日期：2025年4月22日</w:t>
      </w:r>
    </w:p>
    <w:p w:rsidR="003212B3" w:rsidRDefault="0020767E">
      <w:pPr>
        <w:pStyle w:val="XBRLTitle1"/>
        <w:spacing w:before="156" w:line="360" w:lineRule="auto"/>
        <w:ind w:left="425"/>
      </w:pPr>
      <w:r>
        <w:rPr>
          <w:rFonts w:cs="宋体" w:hint="eastAsia"/>
          <w:color w:val="404040"/>
          <w:kern w:val="0"/>
        </w:rPr>
        <w:br w:type="page"/>
      </w:r>
      <w:bookmarkStart w:id="8" w:name="_Toc512519480"/>
      <w:bookmarkStart w:id="9" w:name="_Toc481075046"/>
      <w:bookmarkStart w:id="10" w:name="_Toc438646451"/>
      <w:bookmarkStart w:id="11" w:name="_Toc490050000"/>
      <w:bookmarkStart w:id="12" w:name="_Toc514178667"/>
      <w:bookmarkStart w:id="13" w:name="m101"/>
      <w:proofErr w:type="spellStart"/>
      <w:r>
        <w:rPr>
          <w:rFonts w:hint="eastAsia"/>
        </w:rPr>
        <w:lastRenderedPageBreak/>
        <w:t>重要提示</w:t>
      </w:r>
      <w:bookmarkEnd w:id="8"/>
      <w:bookmarkEnd w:id="9"/>
      <w:bookmarkEnd w:id="10"/>
      <w:bookmarkEnd w:id="11"/>
      <w:bookmarkEnd w:id="12"/>
      <w:proofErr w:type="spellEnd"/>
      <w:r>
        <w:rPr>
          <w:rFonts w:hint="eastAsia"/>
        </w:rPr>
        <w:t xml:space="preserve"> </w:t>
      </w:r>
    </w:p>
    <w:p w:rsidR="003212B3" w:rsidRDefault="0020767E">
      <w:pPr>
        <w:spacing w:line="360" w:lineRule="auto"/>
        <w:ind w:firstLineChars="200" w:firstLine="420"/>
        <w:divId w:val="823011787"/>
      </w:pPr>
      <w:bookmarkStart w:id="14" w:name="m502"/>
      <w:bookmarkStart w:id="15" w:name="_Toc438646470"/>
      <w:bookmarkStart w:id="16" w:name="m504"/>
      <w:bookmarkStart w:id="17" w:name="m08QD_01"/>
      <w:bookmarkStart w:id="18" w:name="m201"/>
      <w:bookmarkStart w:id="19" w:name="_Toc194311890"/>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3212B3" w:rsidRDefault="0020767E">
      <w:pPr>
        <w:pStyle w:val="XBRLTitle1"/>
        <w:spacing w:before="156" w:line="360" w:lineRule="auto"/>
        <w:ind w:left="425"/>
      </w:pPr>
      <w:bookmarkStart w:id="21" w:name="_Toc512519481"/>
      <w:bookmarkStart w:id="22" w:name="_Toc481075047"/>
      <w:bookmarkStart w:id="23" w:name="_Toc438646452"/>
      <w:bookmarkStart w:id="24" w:name="_Toc490050001"/>
      <w:bookmarkStart w:id="25" w:name="_Toc514178668"/>
      <w:proofErr w:type="spellStart"/>
      <w:r>
        <w:rPr>
          <w:rFonts w:hint="eastAsia"/>
        </w:rPr>
        <w:t>基金产品概况</w:t>
      </w:r>
      <w:bookmarkEnd w:id="21"/>
      <w:bookmarkEnd w:id="22"/>
      <w:bookmarkEnd w:id="23"/>
      <w:bookmarkEnd w:id="24"/>
      <w:bookmarkEnd w:id="25"/>
      <w:proofErr w:type="spellEnd"/>
      <w:r>
        <w:rPr>
          <w:rFonts w:hint="eastAsia"/>
        </w:rPr>
        <w:t xml:space="preserve"> </w:t>
      </w:r>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3494"/>
        <w:gridCol w:w="5322"/>
        <w:gridCol w:w="19"/>
      </w:tblGrid>
      <w:tr w:rsidR="003212B3">
        <w:trPr>
          <w:gridAfter w:val="1"/>
          <w:divId w:val="274866120"/>
          <w:wAfter w:w="11" w:type="pct"/>
          <w:trHeight w:val="406"/>
          <w:jc w:val="center"/>
        </w:trPr>
        <w:tc>
          <w:tcPr>
            <w:tcW w:w="1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bookmarkStart w:id="26" w:name="OLE_LINK1"/>
            <w:r>
              <w:rPr>
                <w:rFonts w:asciiTheme="minorEastAsia" w:eastAsiaTheme="minorEastAsia" w:hAnsiTheme="minorEastAsia" w:hint="eastAsia"/>
              </w:rPr>
              <w:t xml:space="preserve">基金简称 </w:t>
            </w:r>
          </w:p>
        </w:tc>
        <w:tc>
          <w:tcPr>
            <w:tcW w:w="3012"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摩根恒生科技ETF(QDII)</w:t>
            </w:r>
          </w:p>
        </w:tc>
      </w:tr>
      <w:tr w:rsidR="003212B3">
        <w:trPr>
          <w:gridAfter w:val="1"/>
          <w:divId w:val="274866120"/>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基金主代码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513890</w:t>
            </w:r>
          </w:p>
        </w:tc>
      </w:tr>
      <w:tr w:rsidR="003212B3">
        <w:trPr>
          <w:gridAfter w:val="1"/>
          <w:divId w:val="274866120"/>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交易代码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513890</w:t>
            </w:r>
          </w:p>
        </w:tc>
      </w:tr>
      <w:tr w:rsidR="003212B3">
        <w:trPr>
          <w:gridAfter w:val="1"/>
          <w:divId w:val="274866120"/>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基金运作方式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交易型开放式</w:t>
            </w:r>
          </w:p>
        </w:tc>
      </w:tr>
      <w:tr w:rsidR="003212B3">
        <w:trPr>
          <w:gridAfter w:val="1"/>
          <w:divId w:val="274866120"/>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基金合同生效日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2021年12月17日</w:t>
            </w:r>
          </w:p>
        </w:tc>
      </w:tr>
      <w:tr w:rsidR="003212B3">
        <w:trPr>
          <w:gridAfter w:val="1"/>
          <w:divId w:val="274866120"/>
          <w:wAfter w:w="11" w:type="pct"/>
          <w:trHeight w:val="461"/>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报告期末基金份额总额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342,128,000.00份 </w:t>
            </w:r>
          </w:p>
        </w:tc>
      </w:tr>
      <w:tr w:rsidR="003212B3">
        <w:trPr>
          <w:gridAfter w:val="1"/>
          <w:divId w:val="274866120"/>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投资目标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本基金采用被动指数化投资，紧密跟踪标的指数，追求跟踪偏离度和跟踪误差最小化。</w:t>
            </w:r>
          </w:p>
        </w:tc>
      </w:tr>
      <w:tr w:rsidR="003212B3">
        <w:trPr>
          <w:gridAfter w:val="1"/>
          <w:divId w:val="274866120"/>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投资策略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为了实现追踪误差最小化，本基金投资于标的指数的成份股及其备选成份股的比例不低于基金资产净值的80%，且不低于非现金基金资产80%。</w:t>
            </w:r>
            <w:r>
              <w:rPr>
                <w:rFonts w:asciiTheme="minorEastAsia" w:eastAsiaTheme="minorEastAsia" w:hAnsiTheme="minorEastAsia" w:hint="eastAsia"/>
              </w:rPr>
              <w:br/>
              <w:t>2、股票投资策略</w:t>
            </w:r>
            <w:r>
              <w:rPr>
                <w:rFonts w:asciiTheme="minorEastAsia" w:eastAsiaTheme="minorEastAsia" w:hAnsiTheme="minorEastAsia" w:hint="eastAsia"/>
              </w:rPr>
              <w:br/>
              <w:t>（1）投资组合构建</w:t>
            </w:r>
            <w:r>
              <w:rPr>
                <w:rFonts w:asciiTheme="minorEastAsia" w:eastAsiaTheme="minorEastAsia" w:hAnsiTheme="minorEastAsia" w:hint="eastAsia"/>
              </w:rPr>
              <w:b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w:t>
            </w:r>
            <w:r>
              <w:rPr>
                <w:rFonts w:asciiTheme="minorEastAsia" w:eastAsiaTheme="minorEastAsia" w:hAnsiTheme="minorEastAsia" w:hint="eastAsia"/>
              </w:rPr>
              <w:lastRenderedPageBreak/>
              <w:t>相关性、估值、流动性等因素挑选标的指数中其他成份股或备选成份股进行替代，以期在规定的风险承受限度内，尽量缩小跟踪误差。</w:t>
            </w:r>
            <w:r>
              <w:rPr>
                <w:rFonts w:asciiTheme="minorEastAsia" w:eastAsiaTheme="minorEastAsia" w:hAnsiTheme="minorEastAsia" w:hint="eastAsia"/>
              </w:rPr>
              <w:br/>
              <w:t>（2）投资组合调整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①根据指数编制规则，当标的指数成份股因增发、送配等股权变动而需进行成份股权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②当标的指数成份股因停牌、流动性不足等因素导致基金无法按照指数权重进行配置，基金管理人将综合考虑跟踪误差和投资者利益，选择相关股票进行适当的替代。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③本基金将根据申购和赎回情况对股票投资组合进行调整，保证基金正常运行，从而有效跟踪标的指数。</w:t>
            </w:r>
            <w:r>
              <w:rPr>
                <w:rFonts w:asciiTheme="minorEastAsia" w:eastAsiaTheme="minorEastAsia" w:hAnsiTheme="minorEastAsia" w:hint="eastAsia"/>
              </w:rPr>
              <w:br/>
              <w:t>（3）在特殊情况下，本基金将综合考虑政策、市场等因素，在本合同约定的投资比例和投资范围内，将少量投资于非成份股的港股通标的股票以及其他股票。</w:t>
            </w:r>
            <w:r>
              <w:rPr>
                <w:rFonts w:asciiTheme="minorEastAsia" w:eastAsiaTheme="minorEastAsia" w:hAnsiTheme="minorEastAsia" w:hint="eastAsia"/>
              </w:rPr>
              <w:br/>
              <w:t>本基金力争日均跟踪偏离度的绝对值不超过0.35%，年跟踪误差不超过4%。如因标的指数编制规则调整等其他原因，导致基金跟踪偏离度和跟踪误差超过上述范围，基金管理人应采取合理措施，避免跟踪偏离度和跟踪误差的进一步扩大。</w:t>
            </w:r>
            <w:r>
              <w:rPr>
                <w:rFonts w:asciiTheme="minorEastAsia" w:eastAsiaTheme="minorEastAsia" w:hAnsiTheme="minorEastAsia" w:hint="eastAsia"/>
              </w:rPr>
              <w:br/>
              <w:t>3、其他投资策略：包括金融衍生</w:t>
            </w:r>
            <w:proofErr w:type="gramStart"/>
            <w:r>
              <w:rPr>
                <w:rFonts w:asciiTheme="minorEastAsia" w:eastAsiaTheme="minorEastAsia" w:hAnsiTheme="minorEastAsia" w:hint="eastAsia"/>
              </w:rPr>
              <w:t>品投资</w:t>
            </w:r>
            <w:proofErr w:type="gramEnd"/>
            <w:r>
              <w:rPr>
                <w:rFonts w:asciiTheme="minorEastAsia" w:eastAsiaTheme="minorEastAsia" w:hAnsiTheme="minorEastAsia" w:hint="eastAsia"/>
              </w:rPr>
              <w:t>策略、债券投资策略、资产支持证券投资策略、融资及转融通证券出借策略、存托凭证投资策略。</w:t>
            </w:r>
          </w:p>
        </w:tc>
      </w:tr>
      <w:tr w:rsidR="003212B3">
        <w:trPr>
          <w:gridAfter w:val="1"/>
          <w:divId w:val="274866120"/>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lastRenderedPageBreak/>
              <w:t xml:space="preserve">业绩比较基准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本基金的业绩比较基准为经估值汇率调整的恒生科技指数（HSTECH）收益率。本基金标的指数变更的，相应更换基金名称和业绩比较基准，并在履行适当程序后及时公告。</w:t>
            </w:r>
          </w:p>
        </w:tc>
      </w:tr>
      <w:tr w:rsidR="003212B3">
        <w:trPr>
          <w:gridAfter w:val="1"/>
          <w:divId w:val="274866120"/>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风险收益特征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本基金属于股票基金，预期风险和收益水平高于混合基金、债券基金和货币市场基金。同时，本基金为指数基金，主要采用完全复制法跟踪标的指数表现，具有与标的指数相似的风险收益特征。</w:t>
            </w:r>
            <w:r>
              <w:rPr>
                <w:rFonts w:asciiTheme="minorEastAsia" w:eastAsiaTheme="minorEastAsia" w:hAnsiTheme="minorEastAsia" w:hint="eastAsia"/>
              </w:rPr>
              <w:br/>
              <w:t>本基金可投资于境外证券，除了需要承担与境内证券投资基金类似的市场波动风险等一般投资风险之外，本基金还面临汇率风险等境外证券市场投资所面临的特别投资风险。</w:t>
            </w:r>
          </w:p>
        </w:tc>
      </w:tr>
      <w:tr w:rsidR="003212B3">
        <w:trPr>
          <w:gridAfter w:val="1"/>
          <w:divId w:val="274866120"/>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 xml:space="preserve">基金管理人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摩根基金管理（中国）有限公司</w:t>
            </w:r>
          </w:p>
        </w:tc>
      </w:tr>
      <w:tr w:rsidR="003212B3">
        <w:trPr>
          <w:gridAfter w:val="1"/>
          <w:divId w:val="274866120"/>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lastRenderedPageBreak/>
              <w:t xml:space="preserve">基金托管人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中国工商银行股份有限公司</w:t>
            </w:r>
          </w:p>
        </w:tc>
      </w:tr>
      <w:tr w:rsidR="003212B3">
        <w:trPr>
          <w:gridAfter w:val="1"/>
          <w:divId w:val="274866120"/>
          <w:wAfter w:w="11" w:type="pct"/>
          <w:trHeight w:val="382"/>
          <w:jc w:val="center"/>
        </w:trPr>
        <w:tc>
          <w:tcPr>
            <w:tcW w:w="1977" w:type="pct"/>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widowControl/>
              <w:spacing w:line="315" w:lineRule="atLeast"/>
              <w:jc w:val="left"/>
            </w:pPr>
            <w:r>
              <w:rPr>
                <w:rFonts w:asciiTheme="minorEastAsia" w:eastAsiaTheme="minorEastAsia" w:hAnsiTheme="minorEastAsia" w:hint="eastAsia"/>
              </w:rPr>
              <w:t xml:space="preserve">境外资产托管人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英文名称：The Hong Kong and Shanghai Banking Corporation Limited</w:t>
            </w:r>
          </w:p>
        </w:tc>
      </w:tr>
      <w:tr w:rsidR="003212B3">
        <w:trPr>
          <w:divId w:val="274866120"/>
          <w:trHeight w:val="345"/>
          <w:jc w:val="center"/>
        </w:trPr>
        <w:tc>
          <w:tcPr>
            <w:tcW w:w="0" w:type="auto"/>
            <w:vMerge/>
            <w:tcBorders>
              <w:top w:val="nil"/>
              <w:left w:val="single" w:sz="4" w:space="0" w:color="000000"/>
              <w:bottom w:val="single" w:sz="4" w:space="0" w:color="000000"/>
              <w:right w:val="single" w:sz="4" w:space="0" w:color="000000"/>
            </w:tcBorders>
            <w:vAlign w:val="center"/>
            <w:hideMark/>
          </w:tcPr>
          <w:p w:rsidR="003212B3" w:rsidRDefault="003212B3">
            <w:pPr>
              <w:widowControl/>
              <w:jc w:val="left"/>
            </w:pPr>
          </w:p>
        </w:tc>
        <w:tc>
          <w:tcPr>
            <w:tcW w:w="3012"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3212B3" w:rsidRDefault="0020767E">
            <w:pPr>
              <w:widowControl/>
              <w:spacing w:line="315" w:lineRule="atLeast"/>
              <w:jc w:val="left"/>
            </w:pPr>
            <w:r>
              <w:rPr>
                <w:rFonts w:asciiTheme="minorEastAsia" w:eastAsiaTheme="minorEastAsia" w:hAnsiTheme="minorEastAsia" w:hint="eastAsia"/>
              </w:rPr>
              <w:t>中文名称：香港上海汇丰银行有限公司</w:t>
            </w:r>
          </w:p>
        </w:tc>
        <w:tc>
          <w:tcPr>
            <w:tcW w:w="11" w:type="pct"/>
            <w:tcBorders>
              <w:top w:val="outset" w:sz="6" w:space="0" w:color="auto"/>
              <w:left w:val="outset" w:sz="6" w:space="0" w:color="auto"/>
              <w:bottom w:val="nil"/>
              <w:right w:val="nil"/>
            </w:tcBorders>
            <w:vAlign w:val="center"/>
            <w:hideMark/>
          </w:tcPr>
          <w:p w:rsidR="003212B3" w:rsidRDefault="003212B3"/>
        </w:tc>
      </w:tr>
    </w:tbl>
    <w:p w:rsidR="003212B3" w:rsidRDefault="0020767E">
      <w:pPr>
        <w:pStyle w:val="XBRLTitle1"/>
        <w:spacing w:before="156" w:line="360" w:lineRule="auto"/>
        <w:ind w:left="425"/>
      </w:pPr>
      <w:bookmarkStart w:id="27" w:name="_Toc512519482"/>
      <w:bookmarkStart w:id="28" w:name="_Toc481075049"/>
      <w:bookmarkStart w:id="29" w:name="_Toc438646455"/>
      <w:bookmarkStart w:id="30" w:name="_Toc490050003"/>
      <w:bookmarkStart w:id="31" w:name="_Toc514178669"/>
      <w:bookmarkStart w:id="32" w:name="m401_tab"/>
      <w:bookmarkStart w:id="33" w:name="m401"/>
      <w:bookmarkEnd w:id="26"/>
      <w:proofErr w:type="spellStart"/>
      <w:r>
        <w:rPr>
          <w:rFonts w:hint="eastAsia"/>
        </w:rPr>
        <w:t>主要财务指标和基金净值表现</w:t>
      </w:r>
      <w:bookmarkEnd w:id="27"/>
      <w:bookmarkEnd w:id="28"/>
      <w:bookmarkEnd w:id="29"/>
      <w:bookmarkEnd w:id="30"/>
      <w:bookmarkEnd w:id="31"/>
      <w:proofErr w:type="spellEnd"/>
      <w:r>
        <w:rPr>
          <w:rFonts w:hint="eastAsia"/>
        </w:rPr>
        <w:t xml:space="preserve"> </w:t>
      </w:r>
    </w:p>
    <w:p w:rsidR="003212B3" w:rsidRDefault="0020767E">
      <w:pPr>
        <w:pStyle w:val="XBRLTitle2"/>
        <w:spacing w:before="156" w:line="360" w:lineRule="auto"/>
        <w:ind w:left="454"/>
      </w:pPr>
      <w:bookmarkStart w:id="34" w:name="_Toc512519483"/>
      <w:bookmarkStart w:id="35" w:name="_Toc481075050"/>
      <w:bookmarkStart w:id="36" w:name="_Toc438646456"/>
      <w:bookmarkStart w:id="37" w:name="_Toc490050004"/>
      <w:bookmarkStart w:id="38" w:name="_Toc514178670"/>
      <w:proofErr w:type="spellStart"/>
      <w:r>
        <w:rPr>
          <w:rFonts w:hint="eastAsia"/>
        </w:rPr>
        <w:t>主要财务指标</w:t>
      </w:r>
      <w:bookmarkEnd w:id="34"/>
      <w:bookmarkEnd w:id="35"/>
      <w:bookmarkEnd w:id="36"/>
      <w:bookmarkEnd w:id="37"/>
      <w:bookmarkEnd w:id="38"/>
      <w:proofErr w:type="spellEnd"/>
      <w:r>
        <w:rPr>
          <w:rFonts w:hint="eastAsia"/>
        </w:rPr>
        <w:t xml:space="preserve"> </w:t>
      </w:r>
    </w:p>
    <w:p w:rsidR="003212B3" w:rsidRDefault="0020767E">
      <w:pPr>
        <w:jc w:val="right"/>
        <w:divId w:val="54201286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3212B3">
        <w:trPr>
          <w:divId w:val="542012866"/>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3212B3" w:rsidRDefault="0020767E">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3212B3" w:rsidRDefault="0020767E">
            <w:pPr>
              <w:pStyle w:val="a5"/>
              <w:jc w:val="center"/>
            </w:pPr>
            <w:r>
              <w:rPr>
                <w:rFonts w:hint="eastAsia"/>
                <w:kern w:val="2"/>
                <w:sz w:val="21"/>
                <w:szCs w:val="24"/>
                <w:lang w:eastAsia="zh-Hans"/>
              </w:rPr>
              <w:t>报告期（2025年1月1日-2025年3月31日）</w:t>
            </w:r>
          </w:p>
        </w:tc>
      </w:tr>
      <w:tr w:rsidR="003212B3">
        <w:trPr>
          <w:divId w:val="5420128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4"/>
                <w:lang w:eastAsia="zh-Hans"/>
              </w:rPr>
              <w:t>10,797,765.95</w:t>
            </w:r>
          </w:p>
        </w:tc>
      </w:tr>
      <w:tr w:rsidR="003212B3">
        <w:trPr>
          <w:divId w:val="5420128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4"/>
                <w:lang w:eastAsia="zh-Hans"/>
              </w:rPr>
              <w:t>42,313,753.04</w:t>
            </w:r>
          </w:p>
        </w:tc>
      </w:tr>
      <w:tr w:rsidR="003212B3">
        <w:trPr>
          <w:divId w:val="5420128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4"/>
                <w:lang w:eastAsia="zh-Hans"/>
              </w:rPr>
              <w:t>0.1448</w:t>
            </w:r>
          </w:p>
        </w:tc>
      </w:tr>
      <w:tr w:rsidR="003212B3">
        <w:trPr>
          <w:divId w:val="5420128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4"/>
                <w:lang w:eastAsia="zh-Hans"/>
              </w:rPr>
              <w:t>376,688,076.63</w:t>
            </w:r>
          </w:p>
        </w:tc>
      </w:tr>
      <w:tr w:rsidR="003212B3">
        <w:trPr>
          <w:divId w:val="5420128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4"/>
                <w:lang w:eastAsia="zh-Hans"/>
              </w:rPr>
              <w:t>1.1010</w:t>
            </w:r>
          </w:p>
        </w:tc>
      </w:tr>
    </w:tbl>
    <w:p w:rsidR="003212B3" w:rsidRDefault="0020767E">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rsidR="003212B3" w:rsidRDefault="0020767E">
      <w:pPr>
        <w:pStyle w:val="XBRLTitle2"/>
        <w:spacing w:before="156" w:line="360" w:lineRule="auto"/>
        <w:ind w:left="454"/>
      </w:pPr>
      <w:bookmarkStart w:id="39" w:name="_Toc512519484"/>
      <w:bookmarkStart w:id="40" w:name="_Toc481075051"/>
      <w:bookmarkStart w:id="41" w:name="_Toc438646457"/>
      <w:bookmarkStart w:id="42" w:name="_Toc490050005"/>
      <w:bookmarkStart w:id="43" w:name="_Toc514178671"/>
      <w:proofErr w:type="spellStart"/>
      <w:r>
        <w:rPr>
          <w:rFonts w:hint="eastAsia"/>
        </w:rPr>
        <w:t>基金净值表现</w:t>
      </w:r>
      <w:bookmarkEnd w:id="39"/>
      <w:bookmarkEnd w:id="40"/>
      <w:bookmarkEnd w:id="41"/>
      <w:bookmarkEnd w:id="42"/>
      <w:bookmarkEnd w:id="43"/>
      <w:proofErr w:type="spellEnd"/>
      <w:r>
        <w:rPr>
          <w:rFonts w:hint="eastAsia"/>
        </w:rPr>
        <w:t xml:space="preserve"> </w:t>
      </w:r>
    </w:p>
    <w:p w:rsidR="003212B3" w:rsidRDefault="0020767E">
      <w:pPr>
        <w:pStyle w:val="XBRLTitle3"/>
        <w:spacing w:before="156"/>
        <w:ind w:left="0"/>
      </w:pPr>
      <w:bookmarkStart w:id="44" w:name="_Toc512519485"/>
      <w:bookmarkStart w:id="45" w:name="_Toc481075052"/>
      <w:bookmarkStart w:id="46" w:name="_Toc490050006"/>
      <w:bookmarkStart w:id="47" w:name="_Toc514178672"/>
      <w:proofErr w:type="spellStart"/>
      <w:r>
        <w:rPr>
          <w:rFonts w:hint="eastAsia"/>
        </w:rPr>
        <w:t>基金份额净值增长率及其与同期业绩比较基准收益率的比较</w:t>
      </w:r>
      <w:bookmarkEnd w:id="44"/>
      <w:bookmarkEnd w:id="45"/>
      <w:bookmarkEnd w:id="46"/>
      <w:bookmarkEnd w:id="47"/>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3212B3">
        <w:trPr>
          <w:divId w:val="1309894228"/>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spacing w:line="360" w:lineRule="auto"/>
              <w:jc w:val="center"/>
            </w:pPr>
            <w:r>
              <w:rPr>
                <w:rFonts w:ascii="宋体" w:hAnsi="宋体" w:hint="eastAsia"/>
              </w:rPr>
              <w:t xml:space="preserve">②－④ </w:t>
            </w:r>
          </w:p>
        </w:tc>
      </w:tr>
      <w:tr w:rsidR="003212B3">
        <w:trPr>
          <w:divId w:val="130989422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19.87%</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2.57%</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 xml:space="preserve">20.32% </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2.61%</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-0.45%</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-0.04%</w:t>
            </w:r>
          </w:p>
        </w:tc>
      </w:tr>
      <w:tr w:rsidR="003212B3">
        <w:trPr>
          <w:divId w:val="130989422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17.07%</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2.26%</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 xml:space="preserve">16.18% </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2.31%</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0.89%</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-0.05%</w:t>
            </w:r>
          </w:p>
        </w:tc>
      </w:tr>
      <w:tr w:rsidR="003212B3">
        <w:trPr>
          <w:divId w:val="130989422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58.92%</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2.17%</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 xml:space="preserve">57.92% </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2.23%</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1.00%</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-0.06%</w:t>
            </w:r>
          </w:p>
        </w:tc>
      </w:tr>
      <w:tr w:rsidR="003212B3">
        <w:trPr>
          <w:divId w:val="130989422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37.33%</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2.33%</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 xml:space="preserve">34.68% </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2.44%</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2.65%</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-0.11%</w:t>
            </w:r>
          </w:p>
        </w:tc>
      </w:tr>
      <w:tr w:rsidR="003212B3">
        <w:trPr>
          <w:divId w:val="130989422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10.10%</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2.46%</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 xml:space="preserve">4.85% </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2.62%</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5.25%</w:t>
            </w:r>
          </w:p>
        </w:tc>
        <w:tc>
          <w:tcPr>
            <w:tcW w:w="714" w:type="pct"/>
            <w:tcBorders>
              <w:top w:val="single" w:sz="4" w:space="0" w:color="auto"/>
              <w:left w:val="single" w:sz="4" w:space="0" w:color="auto"/>
              <w:bottom w:val="single" w:sz="4" w:space="0" w:color="auto"/>
              <w:right w:val="single" w:sz="4" w:space="0" w:color="auto"/>
            </w:tcBorders>
            <w:vAlign w:val="center"/>
            <w:hideMark/>
          </w:tcPr>
          <w:p w:rsidR="003212B3" w:rsidRDefault="0020767E">
            <w:pPr>
              <w:spacing w:line="360" w:lineRule="auto"/>
              <w:jc w:val="right"/>
            </w:pPr>
            <w:r>
              <w:rPr>
                <w:rFonts w:ascii="宋体" w:hAnsi="宋体" w:hint="eastAsia"/>
              </w:rPr>
              <w:t>-0.16%</w:t>
            </w:r>
          </w:p>
        </w:tc>
      </w:tr>
    </w:tbl>
    <w:p w:rsidR="003212B3" w:rsidRDefault="0020767E">
      <w:pPr>
        <w:pStyle w:val="XBRLTitle3"/>
        <w:spacing w:before="156"/>
        <w:ind w:left="0"/>
      </w:pPr>
      <w:bookmarkStart w:id="48" w:name="_Toc512519486"/>
      <w:bookmarkStart w:id="49" w:name="_Toc481075053"/>
      <w:bookmarkStart w:id="50" w:name="_Toc490050007"/>
      <w:bookmarkStart w:id="51" w:name="_Toc514178673"/>
      <w:proofErr w:type="spellStart"/>
      <w:r>
        <w:rPr>
          <w:rFonts w:hint="eastAsia"/>
        </w:rPr>
        <w:t>自基金合同生效以来基金累计净值增长率变动及其与同期业绩比较基准收益率变动的比较</w:t>
      </w:r>
      <w:bookmarkEnd w:id="48"/>
      <w:bookmarkEnd w:id="49"/>
      <w:bookmarkEnd w:id="50"/>
      <w:bookmarkEnd w:id="51"/>
      <w:proofErr w:type="spellEnd"/>
      <w:r>
        <w:rPr>
          <w:rFonts w:hint="eastAsia"/>
          <w:kern w:val="2"/>
          <w:sz w:val="21"/>
          <w:szCs w:val="20"/>
          <w:lang w:val="en-US" w:eastAsia="zh-CN"/>
        </w:rPr>
        <w:t xml:space="preserve"> </w:t>
      </w:r>
    </w:p>
    <w:p w:rsidR="003212B3" w:rsidRDefault="0020767E">
      <w:pPr>
        <w:spacing w:line="360" w:lineRule="auto"/>
        <w:jc w:val="left"/>
        <w:divId w:val="1398283251"/>
      </w:pPr>
      <w:bookmarkStart w:id="52" w:name="m07_04_07_09_tab"/>
      <w:bookmarkStart w:id="53" w:name="m07_04_07_09"/>
      <w:bookmarkStart w:id="54" w:name="m01_01"/>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3212B3" w:rsidRDefault="0020767E">
      <w:pPr>
        <w:spacing w:line="360" w:lineRule="auto"/>
        <w:divId w:val="1398283251"/>
      </w:pPr>
      <w:r>
        <w:rPr>
          <w:rFonts w:ascii="宋体" w:hAnsi="宋体" w:hint="eastAsia"/>
        </w:rPr>
        <w:t>注：</w:t>
      </w:r>
      <w:r>
        <w:rPr>
          <w:rFonts w:ascii="宋体" w:hAnsi="宋体" w:hint="eastAsia"/>
          <w:lang w:eastAsia="zh-Hans"/>
        </w:rPr>
        <w:t>本基金合同生效日为2021年12月17日，图示的时间段为合同生效日至本报告期末。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p>
    <w:p w:rsidR="003212B3" w:rsidRDefault="0020767E">
      <w:pPr>
        <w:pStyle w:val="XBRLTitle1"/>
        <w:spacing w:before="156" w:line="360" w:lineRule="auto"/>
        <w:ind w:left="425"/>
      </w:pPr>
      <w:bookmarkStart w:id="55" w:name="_Toc481075054"/>
      <w:bookmarkStart w:id="56" w:name="_Toc438646458"/>
      <w:bookmarkStart w:id="57" w:name="_Toc490050008"/>
      <w:bookmarkStart w:id="58" w:name="_Toc512519487"/>
      <w:bookmarkStart w:id="59" w:name="_Toc514178674"/>
      <w:proofErr w:type="spellStart"/>
      <w:r>
        <w:rPr>
          <w:rFonts w:hint="eastAsia"/>
        </w:rPr>
        <w:t>管理人报告</w:t>
      </w:r>
      <w:bookmarkEnd w:id="55"/>
      <w:bookmarkEnd w:id="56"/>
      <w:bookmarkEnd w:id="57"/>
      <w:bookmarkEnd w:id="58"/>
      <w:bookmarkEnd w:id="59"/>
      <w:proofErr w:type="spellEnd"/>
      <w:r>
        <w:rPr>
          <w:rFonts w:hint="eastAsia"/>
        </w:rPr>
        <w:t xml:space="preserve"> </w:t>
      </w:r>
    </w:p>
    <w:p w:rsidR="003212B3" w:rsidRDefault="0020767E">
      <w:pPr>
        <w:pStyle w:val="XBRLTitle2"/>
        <w:spacing w:before="156" w:line="360" w:lineRule="auto"/>
        <w:ind w:left="454"/>
      </w:pPr>
      <w:bookmarkStart w:id="60" w:name="_Toc459213770"/>
      <w:bookmarkStart w:id="61" w:name="_Toc456107124"/>
      <w:bookmarkStart w:id="62" w:name="_Toc438654078"/>
      <w:bookmarkStart w:id="63" w:name="_Toc448480290"/>
      <w:bookmarkStart w:id="64" w:name="_Toc480465421"/>
      <w:bookmarkStart w:id="65" w:name="_Toc514178675"/>
      <w:bookmarkStart w:id="66" w:name="_Toc512611287"/>
      <w:bookmarkStart w:id="67" w:name="_Toc512612083"/>
      <w:bookmarkStart w:id="68" w:name="_Toc512612259"/>
      <w:bookmarkStart w:id="69" w:name="_Toc513658013"/>
      <w:bookmarkStart w:id="70" w:name="_Toc512519496"/>
      <w:bookmarkStart w:id="71" w:name="_Toc481075064"/>
      <w:bookmarkStart w:id="72" w:name="_Toc438646466"/>
      <w:bookmarkStart w:id="73" w:name="_Toc490050017"/>
      <w:proofErr w:type="spellStart"/>
      <w:r>
        <w:rPr>
          <w:rFonts w:hint="eastAsia"/>
        </w:rPr>
        <w:t>基金经理（或基金经理小组）简介</w:t>
      </w:r>
      <w:bookmarkEnd w:id="60"/>
      <w:bookmarkEnd w:id="61"/>
      <w:bookmarkEnd w:id="62"/>
      <w:bookmarkEnd w:id="63"/>
      <w:bookmarkEnd w:id="64"/>
      <w:bookmarkEnd w:id="65"/>
      <w:proofErr w:type="spellEnd"/>
      <w:r>
        <w:rPr>
          <w:rFonts w:hint="eastAsia"/>
          <w:szCs w:val="21"/>
        </w:rPr>
        <w:t xml:space="preserve"> </w:t>
      </w:r>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212B3">
        <w:trPr>
          <w:divId w:val="147097535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snapToGrid w:val="0"/>
              <w:jc w:val="center"/>
            </w:pPr>
            <w:bookmarkStart w:id="74" w:name="m04_02"/>
            <w:bookmarkEnd w:id="7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3212B3">
        <w:trPr>
          <w:divId w:val="147097535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12B3" w:rsidRDefault="003212B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12B3" w:rsidRDefault="003212B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12B3" w:rsidRDefault="003212B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12B3" w:rsidRDefault="003212B3">
            <w:pPr>
              <w:widowControl/>
              <w:jc w:val="left"/>
            </w:pPr>
          </w:p>
        </w:tc>
      </w:tr>
      <w:tr w:rsidR="003212B3">
        <w:trPr>
          <w:divId w:val="147097535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2021年12月30日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r w:rsidR="003212B3">
        <w:trPr>
          <w:divId w:val="147097535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2021年12月30日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bl>
    <w:p w:rsidR="003212B3" w:rsidRDefault="0020767E">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r>
      <w:r>
        <w:rPr>
          <w:rFonts w:ascii="宋体" w:hAnsi="宋体" w:hint="eastAsia"/>
          <w:szCs w:val="21"/>
        </w:rPr>
        <w:lastRenderedPageBreak/>
        <w:t xml:space="preserve">　　2.证券从业的含义遵从中国证监会及行业协会的相关规定。</w:t>
      </w:r>
    </w:p>
    <w:p w:rsidR="003212B3" w:rsidRDefault="0020767E">
      <w:pPr>
        <w:pStyle w:val="XBRLTitle2"/>
        <w:spacing w:before="156" w:line="360" w:lineRule="auto"/>
        <w:ind w:left="454"/>
      </w:pPr>
      <w:bookmarkStart w:id="75" w:name="_Toc459213771"/>
      <w:bookmarkStart w:id="76" w:name="_Toc456107125"/>
      <w:bookmarkStart w:id="77" w:name="_Toc438654079"/>
      <w:bookmarkStart w:id="78" w:name="_Toc448480291"/>
      <w:bookmarkStart w:id="79" w:name="_Toc480465422"/>
      <w:bookmarkStart w:id="80" w:name="_Toc512611288"/>
      <w:bookmarkStart w:id="81" w:name="_Toc512612084"/>
      <w:bookmarkStart w:id="82" w:name="_Toc512612260"/>
      <w:bookmarkStart w:id="83" w:name="_Toc513658014"/>
      <w:bookmarkStart w:id="84" w:name="_Toc514178676"/>
      <w:bookmarkStart w:id="85" w:name="m402"/>
      <w:proofErr w:type="spellStart"/>
      <w:r>
        <w:rPr>
          <w:rFonts w:hint="eastAsia"/>
        </w:rPr>
        <w:t>境外投资顾问为本基金提供投资建议的主要成员简介</w:t>
      </w:r>
      <w:bookmarkEnd w:id="75"/>
      <w:bookmarkEnd w:id="76"/>
      <w:bookmarkEnd w:id="77"/>
      <w:bookmarkEnd w:id="78"/>
      <w:bookmarkEnd w:id="79"/>
      <w:bookmarkEnd w:id="80"/>
      <w:bookmarkEnd w:id="81"/>
      <w:bookmarkEnd w:id="82"/>
      <w:bookmarkEnd w:id="83"/>
      <w:bookmarkEnd w:id="84"/>
      <w:proofErr w:type="spellEnd"/>
      <w:r>
        <w:rPr>
          <w:rFonts w:hint="eastAsia"/>
        </w:rPr>
        <w:t xml:space="preserve"> </w:t>
      </w:r>
    </w:p>
    <w:bookmarkEnd w:id="85"/>
    <w:p w:rsidR="003212B3" w:rsidRDefault="0020767E">
      <w:pPr>
        <w:spacing w:line="360" w:lineRule="auto"/>
        <w:ind w:firstLineChars="200" w:firstLine="420"/>
        <w:jc w:val="left"/>
      </w:pPr>
      <w:r>
        <w:rPr>
          <w:rFonts w:ascii="宋体" w:hAnsi="宋体" w:hint="eastAsia"/>
          <w:kern w:val="0"/>
          <w:szCs w:val="21"/>
          <w:lang w:eastAsia="zh-Hans"/>
        </w:rPr>
        <w:t>本基金暂不设境外投资顾问。</w:t>
      </w:r>
    </w:p>
    <w:p w:rsidR="003212B3" w:rsidRDefault="0020767E">
      <w:pPr>
        <w:pStyle w:val="XBRLTitle2"/>
        <w:spacing w:before="156" w:line="360" w:lineRule="auto"/>
        <w:ind w:left="454"/>
      </w:pPr>
      <w:bookmarkStart w:id="86" w:name="_Toc459213772"/>
      <w:bookmarkStart w:id="87" w:name="_Toc456107126"/>
      <w:bookmarkStart w:id="88" w:name="_Toc438654080"/>
      <w:bookmarkStart w:id="89" w:name="_Toc448480292"/>
      <w:bookmarkStart w:id="90" w:name="_Toc480465423"/>
      <w:bookmarkStart w:id="91" w:name="_Toc512611289"/>
      <w:bookmarkStart w:id="92" w:name="_Toc512612085"/>
      <w:bookmarkStart w:id="93" w:name="_Toc512612261"/>
      <w:bookmarkStart w:id="94" w:name="_Toc513658015"/>
      <w:bookmarkStart w:id="95" w:name="_Toc514178677"/>
      <w:bookmarkStart w:id="96" w:name="m403"/>
      <w:proofErr w:type="spellStart"/>
      <w:r>
        <w:rPr>
          <w:rFonts w:hint="eastAsia"/>
        </w:rPr>
        <w:t>报告期内本基金运作遵规守信情况说明</w:t>
      </w:r>
      <w:bookmarkEnd w:id="86"/>
      <w:bookmarkEnd w:id="87"/>
      <w:bookmarkEnd w:id="88"/>
      <w:bookmarkEnd w:id="89"/>
      <w:bookmarkEnd w:id="90"/>
      <w:bookmarkEnd w:id="91"/>
      <w:bookmarkEnd w:id="92"/>
      <w:bookmarkEnd w:id="93"/>
      <w:bookmarkEnd w:id="94"/>
      <w:bookmarkEnd w:id="95"/>
      <w:proofErr w:type="spellEnd"/>
      <w:r>
        <w:rPr>
          <w:rFonts w:hint="eastAsia"/>
        </w:rPr>
        <w:t xml:space="preserve"> </w:t>
      </w:r>
    </w:p>
    <w:p w:rsidR="003212B3" w:rsidRDefault="0020767E">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3212B3" w:rsidRDefault="0020767E">
      <w:pPr>
        <w:pStyle w:val="XBRLTitle2"/>
        <w:spacing w:before="156" w:line="360" w:lineRule="auto"/>
        <w:ind w:left="454"/>
      </w:pPr>
      <w:bookmarkStart w:id="97" w:name="_Toc459213773"/>
      <w:bookmarkStart w:id="98" w:name="_Toc456107127"/>
      <w:bookmarkStart w:id="99" w:name="_Toc438654081"/>
      <w:bookmarkStart w:id="100" w:name="_Toc448480293"/>
      <w:bookmarkStart w:id="101" w:name="_Toc480465424"/>
      <w:bookmarkStart w:id="102" w:name="_Toc512611290"/>
      <w:bookmarkStart w:id="103" w:name="_Toc512612086"/>
      <w:bookmarkStart w:id="104" w:name="_Toc512612262"/>
      <w:bookmarkStart w:id="105" w:name="_Toc513658016"/>
      <w:bookmarkStart w:id="106" w:name="_Toc514178678"/>
      <w:bookmarkEnd w:id="96"/>
      <w:proofErr w:type="spellStart"/>
      <w:r>
        <w:rPr>
          <w:rFonts w:hint="eastAsia"/>
        </w:rPr>
        <w:t>公平交易专项说明</w:t>
      </w:r>
      <w:bookmarkEnd w:id="97"/>
      <w:bookmarkEnd w:id="98"/>
      <w:bookmarkEnd w:id="99"/>
      <w:bookmarkEnd w:id="100"/>
      <w:bookmarkEnd w:id="101"/>
      <w:bookmarkEnd w:id="102"/>
      <w:bookmarkEnd w:id="103"/>
      <w:bookmarkEnd w:id="104"/>
      <w:bookmarkEnd w:id="105"/>
      <w:bookmarkEnd w:id="106"/>
      <w:proofErr w:type="spellEnd"/>
      <w:r>
        <w:rPr>
          <w:rFonts w:hint="eastAsia"/>
        </w:rPr>
        <w:t xml:space="preserve"> </w:t>
      </w:r>
    </w:p>
    <w:p w:rsidR="003212B3" w:rsidRDefault="0020767E">
      <w:pPr>
        <w:pStyle w:val="XBRLTitle3"/>
        <w:spacing w:before="156"/>
        <w:ind w:left="0"/>
      </w:pPr>
      <w:bookmarkStart w:id="107" w:name="_Toc513658017"/>
      <w:bookmarkStart w:id="108" w:name="_Toc514178679"/>
      <w:bookmarkStart w:id="109" w:name="_Toc480465425"/>
      <w:bookmarkStart w:id="110" w:name="m404_01_0570"/>
      <w:proofErr w:type="spellStart"/>
      <w:r>
        <w:rPr>
          <w:rFonts w:hint="eastAsia"/>
        </w:rPr>
        <w:t>公平交易制度的执行情况</w:t>
      </w:r>
      <w:bookmarkEnd w:id="107"/>
      <w:bookmarkEnd w:id="108"/>
      <w:proofErr w:type="spellEnd"/>
    </w:p>
    <w:p w:rsidR="003212B3" w:rsidRDefault="0020767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3212B3" w:rsidRDefault="0020767E">
      <w:pPr>
        <w:pStyle w:val="XBRLTitle3"/>
        <w:spacing w:before="156"/>
        <w:ind w:left="0"/>
      </w:pPr>
      <w:bookmarkStart w:id="111" w:name="_Toc513658018"/>
      <w:bookmarkStart w:id="112" w:name="_Toc514178680"/>
      <w:bookmarkStart w:id="113" w:name="_Toc480465426"/>
      <w:bookmarkStart w:id="114" w:name="m404_01_0578"/>
      <w:proofErr w:type="spellStart"/>
      <w:r>
        <w:rPr>
          <w:rFonts w:hint="eastAsia"/>
        </w:rPr>
        <w:t>异常交易行为的专项说明</w:t>
      </w:r>
      <w:bookmarkEnd w:id="111"/>
      <w:bookmarkEnd w:id="112"/>
      <w:proofErr w:type="spellEnd"/>
    </w:p>
    <w:p w:rsidR="003212B3" w:rsidRDefault="0020767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3212B3" w:rsidRDefault="0020767E">
      <w:pPr>
        <w:pStyle w:val="XBRLTitle2"/>
        <w:spacing w:before="156" w:line="360" w:lineRule="auto"/>
        <w:ind w:left="454"/>
      </w:pPr>
      <w:bookmarkStart w:id="115" w:name="_Toc459213774"/>
      <w:bookmarkStart w:id="116" w:name="_Toc456107128"/>
      <w:bookmarkStart w:id="117" w:name="_Toc438654082"/>
      <w:bookmarkStart w:id="118" w:name="_Toc448480294"/>
      <w:bookmarkStart w:id="119" w:name="_Toc480465427"/>
      <w:bookmarkStart w:id="120" w:name="_Toc512611291"/>
      <w:bookmarkStart w:id="121" w:name="_Toc512612087"/>
      <w:bookmarkStart w:id="122" w:name="_Toc512612263"/>
      <w:bookmarkStart w:id="123" w:name="_Toc513658019"/>
      <w:bookmarkStart w:id="124" w:name="_Toc514178681"/>
      <w:proofErr w:type="spellStart"/>
      <w:r>
        <w:rPr>
          <w:rFonts w:hint="eastAsia"/>
        </w:rPr>
        <w:t>报告期内基金的投资策略和业绩表现说明</w:t>
      </w:r>
      <w:bookmarkEnd w:id="115"/>
      <w:bookmarkEnd w:id="116"/>
      <w:bookmarkEnd w:id="117"/>
      <w:bookmarkEnd w:id="118"/>
      <w:bookmarkEnd w:id="119"/>
      <w:bookmarkEnd w:id="120"/>
      <w:bookmarkEnd w:id="121"/>
      <w:bookmarkEnd w:id="122"/>
      <w:bookmarkEnd w:id="123"/>
      <w:bookmarkEnd w:id="124"/>
      <w:proofErr w:type="spellEnd"/>
      <w:r>
        <w:rPr>
          <w:rFonts w:hint="eastAsia"/>
        </w:rPr>
        <w:t xml:space="preserve"> </w:t>
      </w:r>
    </w:p>
    <w:p w:rsidR="003212B3" w:rsidRDefault="0020767E">
      <w:pPr>
        <w:pStyle w:val="XBRLTitle3"/>
        <w:spacing w:before="156"/>
        <w:ind w:left="0"/>
      </w:pPr>
      <w:bookmarkStart w:id="125" w:name="_Toc51408825711"/>
      <w:bookmarkStart w:id="126" w:name="_Toc513542656"/>
      <w:proofErr w:type="spellStart"/>
      <w:r>
        <w:rPr>
          <w:rFonts w:hint="eastAsia"/>
        </w:rPr>
        <w:t>报告期内基金投资策略和运作分析</w:t>
      </w:r>
      <w:bookmarkEnd w:id="125"/>
      <w:bookmarkEnd w:id="109"/>
      <w:bookmarkEnd w:id="126"/>
      <w:proofErr w:type="spellEnd"/>
      <w:r>
        <w:rPr>
          <w:rFonts w:hint="eastAsia"/>
        </w:rPr>
        <w:t xml:space="preserve"> </w:t>
      </w:r>
    </w:p>
    <w:p w:rsidR="003212B3" w:rsidRDefault="0020767E">
      <w:pPr>
        <w:spacing w:line="360" w:lineRule="auto"/>
        <w:ind w:firstLineChars="200" w:firstLine="420"/>
        <w:divId w:val="1939563283"/>
      </w:pPr>
      <w:r>
        <w:rPr>
          <w:rFonts w:ascii="宋体" w:hAnsi="宋体" w:hint="eastAsia"/>
          <w:color w:val="000000"/>
          <w:kern w:val="0"/>
          <w:szCs w:val="21"/>
          <w:lang w:eastAsia="zh-Hans"/>
        </w:rPr>
        <w:lastRenderedPageBreak/>
        <w:t>2025年一季度，恒生科技指数呈现“先扬后抑”的走势。春节前夕，</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横空出世，其发布的大语言模型Deepseek-R1效果对标gpt4-o，但是成本降低至不足1/10，其凭借低训练成本、性能优越、开源等特性，引发市场对中国科技板块估值重估的热潮，在南向资金持续流入推动下，恒生科技指数强势上涨，年初至3月7日，指数一度上涨35.82%。在经历第一阶段估值修复后，受获利回吐压力、特朗普加征关税等带来的情绪扰动等因素影响，指数连续三周回调，截至3月31日，恒生科技指数报告期涨幅收窄至20.74%。本基金采用被动投资的方法跟踪标的指数，争取跟踪误差保持在合理范围内。</w:t>
      </w:r>
      <w:r>
        <w:rPr>
          <w:rFonts w:ascii="宋体" w:hAnsi="宋体" w:hint="eastAsia"/>
          <w:color w:val="000000"/>
          <w:kern w:val="0"/>
          <w:szCs w:val="21"/>
          <w:lang w:eastAsia="zh-Hans"/>
        </w:rPr>
        <w:br/>
        <w:t xml:space="preserve">　　对于港股互联网科技公司，接下来市场关注的焦点或从AI叙事转向是否能长期实现盈利兑现。从产业长周期角度来看，中国科技创新和产业升级的潜力巨大，科技“自主可控”、“自立自强”是内循环当中的较大增量。</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等国产大模型的突破性进展正在加速AI商业化落地，有核心技术和商业生态的互联网巨头值得投资者关注。</w:t>
      </w:r>
      <w:r>
        <w:rPr>
          <w:rFonts w:ascii="宋体" w:hAnsi="宋体" w:hint="eastAsia"/>
          <w:color w:val="000000"/>
          <w:kern w:val="0"/>
          <w:sz w:val="24"/>
        </w:rPr>
        <w:t xml:space="preserve"> </w:t>
      </w:r>
    </w:p>
    <w:p w:rsidR="003212B3" w:rsidRDefault="0020767E">
      <w:pPr>
        <w:pStyle w:val="XBRLTitle3"/>
        <w:spacing w:before="156"/>
        <w:ind w:left="0"/>
      </w:pPr>
      <w:bookmarkStart w:id="127" w:name="_Toc51408825712"/>
      <w:bookmarkStart w:id="128" w:name="_Toc513542657"/>
      <w:bookmarkEnd w:id="110"/>
      <w:proofErr w:type="spellStart"/>
      <w:r>
        <w:rPr>
          <w:rFonts w:hint="eastAsia"/>
        </w:rPr>
        <w:t>报告期内基金的业绩表现</w:t>
      </w:r>
      <w:bookmarkEnd w:id="127"/>
      <w:bookmarkEnd w:id="113"/>
      <w:bookmarkEnd w:id="128"/>
      <w:proofErr w:type="spellEnd"/>
      <w:r>
        <w:rPr>
          <w:rFonts w:hint="eastAsia"/>
        </w:rPr>
        <w:t xml:space="preserve"> </w:t>
      </w:r>
    </w:p>
    <w:p w:rsidR="003212B3" w:rsidRDefault="0020767E">
      <w:pPr>
        <w:spacing w:line="360" w:lineRule="auto"/>
        <w:ind w:firstLineChars="200" w:firstLine="420"/>
        <w:jc w:val="left"/>
      </w:pPr>
      <w:r>
        <w:rPr>
          <w:rFonts w:ascii="宋体" w:hAnsi="宋体" w:cs="宋体" w:hint="eastAsia"/>
          <w:color w:val="000000"/>
          <w:kern w:val="0"/>
        </w:rPr>
        <w:t>本报告期摩根恒生科技ETF(QDII)份额净值增长率为：19.87%，同期业绩比较基准收益率为：20.32%。</w:t>
      </w:r>
      <w:bookmarkEnd w:id="114"/>
    </w:p>
    <w:p w:rsidR="003212B3" w:rsidRDefault="0020767E">
      <w:pPr>
        <w:pStyle w:val="XBRLTitle2"/>
        <w:spacing w:before="156" w:line="360" w:lineRule="auto"/>
        <w:ind w:left="454"/>
      </w:pPr>
      <w:bookmarkStart w:id="129" w:name="m405_01_2550"/>
      <w:bookmarkStart w:id="130" w:name="_Toc459213775"/>
      <w:bookmarkStart w:id="131" w:name="_Toc456107129"/>
      <w:bookmarkStart w:id="132" w:name="_Toc438654084"/>
      <w:bookmarkStart w:id="133" w:name="_Toc448480296"/>
      <w:bookmarkStart w:id="134" w:name="_Toc480465430"/>
      <w:bookmarkStart w:id="135" w:name="_Toc512611292"/>
      <w:bookmarkStart w:id="136" w:name="_Toc512612088"/>
      <w:bookmarkStart w:id="137" w:name="_Toc512612264"/>
      <w:bookmarkStart w:id="138" w:name="_Toc513658020"/>
      <w:bookmarkStart w:id="139" w:name="_Toc514178682"/>
      <w:bookmarkStart w:id="140" w:name="m407"/>
      <w:bookmarkEnd w:id="129"/>
      <w:proofErr w:type="spellStart"/>
      <w:r>
        <w:rPr>
          <w:rFonts w:hint="eastAsia"/>
        </w:rPr>
        <w:t>报告期内基金持有人数或基金资产净值预警说明</w:t>
      </w:r>
      <w:bookmarkEnd w:id="130"/>
      <w:bookmarkEnd w:id="131"/>
      <w:bookmarkEnd w:id="132"/>
      <w:bookmarkEnd w:id="133"/>
      <w:bookmarkEnd w:id="134"/>
      <w:bookmarkEnd w:id="135"/>
      <w:bookmarkEnd w:id="136"/>
      <w:bookmarkEnd w:id="137"/>
      <w:bookmarkEnd w:id="138"/>
      <w:bookmarkEnd w:id="139"/>
      <w:proofErr w:type="spellEnd"/>
      <w:r>
        <w:rPr>
          <w:rFonts w:hint="eastAsia"/>
        </w:rPr>
        <w:t xml:space="preserve"> </w:t>
      </w:r>
    </w:p>
    <w:p w:rsidR="003212B3" w:rsidRDefault="0020767E">
      <w:pPr>
        <w:spacing w:line="360" w:lineRule="auto"/>
        <w:ind w:firstLineChars="200" w:firstLine="420"/>
        <w:jc w:val="left"/>
      </w:pPr>
      <w:r>
        <w:rPr>
          <w:rFonts w:ascii="宋体" w:hAnsi="宋体" w:hint="eastAsia"/>
        </w:rPr>
        <w:t>无。</w:t>
      </w:r>
    </w:p>
    <w:p w:rsidR="003212B3" w:rsidRDefault="0020767E">
      <w:pPr>
        <w:pStyle w:val="XBRLTitle1"/>
        <w:spacing w:before="156" w:line="360" w:lineRule="auto"/>
        <w:ind w:left="425"/>
      </w:pPr>
      <w:bookmarkStart w:id="141" w:name="_Toc514178683"/>
      <w:bookmarkEnd w:id="140"/>
      <w:proofErr w:type="spellStart"/>
      <w:r>
        <w:rPr>
          <w:rFonts w:hint="eastAsia"/>
        </w:rPr>
        <w:t>投资组合报告</w:t>
      </w:r>
      <w:bookmarkEnd w:id="141"/>
      <w:bookmarkEnd w:id="70"/>
      <w:bookmarkEnd w:id="71"/>
      <w:bookmarkEnd w:id="72"/>
      <w:bookmarkEnd w:id="73"/>
      <w:proofErr w:type="spellEnd"/>
      <w:r>
        <w:rPr>
          <w:rFonts w:hint="eastAsia"/>
        </w:rPr>
        <w:t xml:space="preserve"> </w:t>
      </w:r>
    </w:p>
    <w:p w:rsidR="003212B3" w:rsidRDefault="0020767E">
      <w:pPr>
        <w:pStyle w:val="XBRLTitle2"/>
        <w:spacing w:before="156" w:line="360" w:lineRule="auto"/>
        <w:ind w:left="454"/>
      </w:pPr>
      <w:bookmarkStart w:id="142" w:name="_Toc459213777"/>
      <w:bookmarkStart w:id="143" w:name="_Toc456107131"/>
      <w:bookmarkStart w:id="144" w:name="_Toc438654086"/>
      <w:bookmarkStart w:id="145" w:name="_Toc448480298"/>
      <w:bookmarkStart w:id="146" w:name="_Toc480465432"/>
      <w:bookmarkStart w:id="147" w:name="_Toc514178684"/>
      <w:bookmarkStart w:id="148" w:name="_Toc512611294"/>
      <w:bookmarkStart w:id="149" w:name="_Toc512612090"/>
      <w:bookmarkStart w:id="150" w:name="_Toc512612266"/>
      <w:bookmarkStart w:id="151" w:name="_Toc513658022"/>
      <w:bookmarkStart w:id="152" w:name="m501"/>
      <w:bookmarkStart w:id="153" w:name="_Toc490050042"/>
      <w:bookmarkStart w:id="154" w:name="_Toc438646477"/>
      <w:bookmarkStart w:id="155" w:name="_Toc481075089"/>
      <w:bookmarkStart w:id="156" w:name="_Toc512519521"/>
      <w:bookmarkStart w:id="157" w:name="m601"/>
      <w:proofErr w:type="spellStart"/>
      <w:r>
        <w:rPr>
          <w:rFonts w:hint="eastAsia"/>
        </w:rPr>
        <w:t>报告期末基金资产组合情况</w:t>
      </w:r>
      <w:bookmarkEnd w:id="142"/>
      <w:bookmarkEnd w:id="143"/>
      <w:bookmarkEnd w:id="144"/>
      <w:bookmarkEnd w:id="145"/>
      <w:bookmarkEnd w:id="146"/>
      <w:bookmarkEnd w:id="147"/>
      <w:proofErr w:type="spellEnd"/>
      <w:r>
        <w:rPr>
          <w:rFonts w:hint="eastAsia"/>
        </w:rPr>
        <w:t xml:space="preserve"> </w:t>
      </w:r>
      <w:bookmarkEnd w:id="148"/>
      <w:bookmarkEnd w:id="149"/>
      <w:bookmarkEnd w:id="150"/>
      <w:bookmarkEnd w:id="151"/>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12B3" w:rsidRDefault="0020767E">
            <w:pPr>
              <w:jc w:val="center"/>
            </w:pPr>
            <w:bookmarkStart w:id="158" w:name="m08QD_01_tab"/>
            <w:bookmarkStart w:id="159" w:name="OLE_LINK46"/>
            <w:bookmarkStart w:id="160" w:name="OLE_LINK45"/>
            <w:bookmarkStart w:id="161" w:name="OLE_LINK41"/>
            <w:bookmarkStart w:id="162" w:name="OLE_LINK42"/>
            <w:bookmarkEnd w:id="158"/>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3212B3" w:rsidRDefault="0020767E">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3212B3" w:rsidRDefault="0020767E">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3212B3" w:rsidRDefault="0020767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363,590,871.89</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91.85</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363,590,871.89</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91.85</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32,175,641.81</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8.13</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81,750.16</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0.02</w:t>
            </w:r>
          </w:p>
        </w:tc>
      </w:tr>
      <w:tr w:rsidR="003212B3">
        <w:trPr>
          <w:divId w:val="11148101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3212B3" w:rsidRDefault="0020767E">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3212B3" w:rsidRDefault="0020767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395,848,263.86</w:t>
            </w:r>
          </w:p>
        </w:tc>
        <w:tc>
          <w:tcPr>
            <w:tcW w:w="2373" w:type="dxa"/>
            <w:tcBorders>
              <w:top w:val="single" w:sz="4" w:space="0" w:color="auto"/>
              <w:left w:val="nil"/>
              <w:bottom w:val="single" w:sz="4" w:space="0" w:color="auto"/>
              <w:right w:val="single" w:sz="4" w:space="0" w:color="auto"/>
            </w:tcBorders>
            <w:vAlign w:val="center"/>
            <w:hideMark/>
          </w:tcPr>
          <w:p w:rsidR="003212B3" w:rsidRDefault="0020767E">
            <w:pPr>
              <w:jc w:val="right"/>
            </w:pPr>
            <w:r>
              <w:rPr>
                <w:rFonts w:ascii="宋体" w:hAnsi="宋体" w:hint="eastAsia"/>
                <w:szCs w:val="24"/>
                <w:lang w:eastAsia="zh-Hans"/>
              </w:rPr>
              <w:t>100.00</w:t>
            </w:r>
          </w:p>
        </w:tc>
      </w:tr>
    </w:tbl>
    <w:p w:rsidR="003212B3" w:rsidRDefault="0020767E">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机制投资的港股公允价值为人民币254,726,063.33元,占期末净值比例为67.62%。</w:t>
      </w:r>
    </w:p>
    <w:p w:rsidR="003212B3" w:rsidRDefault="0020767E">
      <w:pPr>
        <w:pStyle w:val="XBRLTitle2"/>
        <w:spacing w:before="156" w:line="360" w:lineRule="auto"/>
        <w:ind w:left="454"/>
      </w:pPr>
      <w:bookmarkStart w:id="163" w:name="_Toc459213778"/>
      <w:bookmarkStart w:id="164" w:name="_Toc456107132"/>
      <w:bookmarkStart w:id="165" w:name="_Toc438654087"/>
      <w:bookmarkStart w:id="166" w:name="_Toc448480299"/>
      <w:bookmarkStart w:id="167" w:name="_Toc480465433"/>
      <w:bookmarkStart w:id="168" w:name="_Toc512611295"/>
      <w:bookmarkStart w:id="169" w:name="_Toc512612091"/>
      <w:bookmarkStart w:id="170" w:name="_Toc512612267"/>
      <w:bookmarkStart w:id="171" w:name="_Toc513658023"/>
      <w:bookmarkStart w:id="172" w:name="_Toc514178685"/>
      <w:bookmarkEnd w:id="152"/>
      <w:proofErr w:type="spellStart"/>
      <w:r>
        <w:rPr>
          <w:rFonts w:hint="eastAsia"/>
        </w:rPr>
        <w:t>报告期末在各个国家（地区）证券市场的股票及存托凭证投资分布</w:t>
      </w:r>
      <w:bookmarkEnd w:id="163"/>
      <w:bookmarkEnd w:id="164"/>
      <w:bookmarkEnd w:id="165"/>
      <w:bookmarkEnd w:id="166"/>
      <w:bookmarkEnd w:id="167"/>
      <w:bookmarkEnd w:id="168"/>
      <w:bookmarkEnd w:id="169"/>
      <w:bookmarkEnd w:id="170"/>
      <w:bookmarkEnd w:id="171"/>
      <w:bookmarkEnd w:id="172"/>
      <w:proofErr w:type="spellEnd"/>
      <w:r>
        <w:rPr>
          <w:rFonts w:hint="eastAsia"/>
        </w:rPr>
        <w:t xml:space="preserve"> </w:t>
      </w:r>
    </w:p>
    <w:tbl>
      <w:tblPr>
        <w:tblW w:w="5000" w:type="pct"/>
        <w:tblLook w:val="04A0" w:firstRow="1" w:lastRow="0" w:firstColumn="1" w:lastColumn="0" w:noHBand="0" w:noVBand="1"/>
      </w:tblPr>
      <w:tblGrid>
        <w:gridCol w:w="2032"/>
        <w:gridCol w:w="3621"/>
        <w:gridCol w:w="3182"/>
      </w:tblGrid>
      <w:tr w:rsidR="003212B3">
        <w:trPr>
          <w:divId w:val="1728801206"/>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3212B3" w:rsidRDefault="0020767E">
            <w:pPr>
              <w:jc w:val="center"/>
            </w:pPr>
            <w:bookmarkStart w:id="173" w:name="m08QD_02"/>
            <w:bookmarkStart w:id="174"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3212B3" w:rsidRDefault="0020767E">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3212B3" w:rsidRDefault="0020767E">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3212B3">
        <w:trPr>
          <w:divId w:val="17288012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1"/>
                <w:lang w:eastAsia="zh-Hans"/>
              </w:rPr>
              <w:t>363,590,871.89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1"/>
                <w:lang w:eastAsia="zh-Hans"/>
              </w:rPr>
              <w:t>96.52</w:t>
            </w:r>
          </w:p>
        </w:tc>
      </w:tr>
      <w:tr w:rsidR="003212B3">
        <w:trPr>
          <w:divId w:val="17288012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1"/>
                <w:lang w:eastAsia="zh-Hans"/>
              </w:rPr>
              <w:t>363,590,871.89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1"/>
                <w:lang w:eastAsia="zh-Hans"/>
              </w:rPr>
              <w:t>96.52</w:t>
            </w:r>
            <w:bookmarkEnd w:id="173"/>
          </w:p>
        </w:tc>
      </w:tr>
    </w:tbl>
    <w:p w:rsidR="003212B3" w:rsidRDefault="0020767E">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3212B3" w:rsidRDefault="0020767E">
      <w:pPr>
        <w:pStyle w:val="XBRLTitle2"/>
        <w:spacing w:before="156" w:line="360" w:lineRule="auto"/>
        <w:ind w:left="454"/>
      </w:pPr>
      <w:bookmarkStart w:id="175" w:name="_Toc459213779"/>
      <w:bookmarkStart w:id="176" w:name="_Toc456107133"/>
      <w:bookmarkStart w:id="177" w:name="_Toc438654088"/>
      <w:bookmarkStart w:id="178" w:name="_Toc448480300"/>
      <w:bookmarkStart w:id="179" w:name="_Toc480465434"/>
      <w:bookmarkStart w:id="180" w:name="_Toc512611296"/>
      <w:bookmarkStart w:id="181" w:name="_Toc512612092"/>
      <w:bookmarkStart w:id="182" w:name="_Toc512612268"/>
      <w:bookmarkStart w:id="183" w:name="_Toc513658024"/>
      <w:bookmarkStart w:id="184" w:name="_Toc514178686"/>
      <w:bookmarkStart w:id="185" w:name="m503"/>
      <w:bookmarkEnd w:id="174"/>
      <w:proofErr w:type="spellStart"/>
      <w:r>
        <w:rPr>
          <w:rFonts w:hint="eastAsia"/>
        </w:rPr>
        <w:t>报告期末按行业分类的股票及存托凭证投资组合</w:t>
      </w:r>
      <w:bookmarkStart w:id="186" w:name="_Toc513637368"/>
      <w:bookmarkEnd w:id="175"/>
      <w:bookmarkEnd w:id="176"/>
      <w:bookmarkEnd w:id="177"/>
      <w:bookmarkEnd w:id="178"/>
      <w:bookmarkEnd w:id="179"/>
      <w:bookmarkEnd w:id="180"/>
      <w:bookmarkEnd w:id="181"/>
      <w:bookmarkEnd w:id="182"/>
      <w:bookmarkEnd w:id="183"/>
      <w:bookmarkEnd w:id="184"/>
      <w:bookmarkEnd w:id="186"/>
      <w:proofErr w:type="spellEnd"/>
      <w:r>
        <w:rPr>
          <w:rFonts w:hint="eastAsia"/>
          <w:lang w:eastAsia="zh-CN"/>
        </w:rPr>
        <w:t xml:space="preserve"> </w:t>
      </w:r>
    </w:p>
    <w:p w:rsidR="003212B3" w:rsidRDefault="0020767E">
      <w:pPr>
        <w:pStyle w:val="XBRLTitle3"/>
        <w:spacing w:before="156"/>
        <w:ind w:left="0"/>
      </w:pPr>
      <w:bookmarkStart w:id="187" w:name="_Toc513658025"/>
      <w:bookmarkStart w:id="188" w:name="_Toc514178687"/>
      <w:proofErr w:type="spellStart"/>
      <w:r>
        <w:rPr>
          <w:rFonts w:hint="eastAsia"/>
          <w:kern w:val="0"/>
        </w:rPr>
        <w:t>报告期末指数投资按行业分类的股票及存托凭证投资组合</w:t>
      </w:r>
      <w:bookmarkEnd w:id="187"/>
      <w:bookmarkEnd w:id="188"/>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212B3" w:rsidRDefault="0020767E">
            <w:pPr>
              <w:jc w:val="center"/>
            </w:pPr>
            <w:bookmarkStart w:id="189" w:name="_Toc247616244"/>
            <w:bookmarkStart w:id="190" w:name="_Toc433036708"/>
            <w:bookmarkStart w:id="191" w:name="_Toc247613259"/>
            <w:bookmarkStart w:id="192" w:name="m08QD_03_01_tab"/>
            <w:bookmarkStart w:id="193" w:name="m08QD_03_tab"/>
            <w:bookmarkStart w:id="194"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212B3" w:rsidRDefault="0020767E">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212B3" w:rsidRDefault="0020767E">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基础材料</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消费者非必需品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154,390,717.30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40.99</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消费者常用品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10,253,040.43</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2.72</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能源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金融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医疗保健</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工业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信息技术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102,397,621.00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27.18</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电信服务</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96,549,493.16</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25.63</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公用事业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w:t>
            </w:r>
          </w:p>
        </w:tc>
      </w:tr>
      <w:tr w:rsidR="003212B3">
        <w:trPr>
          <w:divId w:val="663626014"/>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363,590,871.89</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12B3" w:rsidRDefault="0020767E">
            <w:pPr>
              <w:jc w:val="right"/>
            </w:pPr>
            <w:r>
              <w:rPr>
                <w:rFonts w:ascii="宋体" w:hAnsi="宋体" w:hint="eastAsia"/>
                <w:color w:val="000000"/>
                <w:lang w:eastAsia="zh-Hans"/>
              </w:rPr>
              <w:t>96.52</w:t>
            </w:r>
            <w:bookmarkEnd w:id="189"/>
            <w:bookmarkEnd w:id="190"/>
            <w:bookmarkEnd w:id="191"/>
          </w:p>
        </w:tc>
      </w:tr>
    </w:tbl>
    <w:bookmarkEnd w:id="192"/>
    <w:bookmarkEnd w:id="193"/>
    <w:p w:rsidR="003212B3" w:rsidRDefault="0020767E">
      <w:pPr>
        <w:widowControl/>
        <w:spacing w:line="315" w:lineRule="atLeast"/>
        <w:divId w:val="2108693509"/>
      </w:pPr>
      <w:r>
        <w:rPr>
          <w:rFonts w:ascii="宋体" w:hAnsi="宋体" w:cs="宋体" w:hint="eastAsia"/>
          <w:color w:val="000000"/>
          <w:kern w:val="0"/>
          <w:szCs w:val="21"/>
        </w:rPr>
        <w:t>注：以上分类采用全球行业分类标准(GICS)。</w:t>
      </w:r>
    </w:p>
    <w:p w:rsidR="003212B3" w:rsidRDefault="0020767E">
      <w:pPr>
        <w:pStyle w:val="XBRLTitle3"/>
        <w:spacing w:before="156"/>
        <w:ind w:left="0"/>
      </w:pPr>
      <w:bookmarkStart w:id="195" w:name="_Toc513658026"/>
      <w:bookmarkStart w:id="196" w:name="_Toc514178688"/>
      <w:proofErr w:type="spellStart"/>
      <w:r>
        <w:rPr>
          <w:rFonts w:hint="eastAsia"/>
          <w:kern w:val="0"/>
        </w:rPr>
        <w:t>报告期末积极投资按行业分类的股票及存托凭证投资组合</w:t>
      </w:r>
      <w:bookmarkEnd w:id="195"/>
      <w:bookmarkEnd w:id="196"/>
      <w:proofErr w:type="spellEnd"/>
      <w:r>
        <w:rPr>
          <w:rFonts w:hint="eastAsia"/>
        </w:rPr>
        <w:t xml:space="preserve"> </w:t>
      </w:r>
    </w:p>
    <w:p w:rsidR="003212B3" w:rsidRDefault="0020767E">
      <w:pPr>
        <w:widowControl/>
        <w:spacing w:line="315" w:lineRule="atLeast"/>
        <w:ind w:firstLineChars="200" w:firstLine="420"/>
        <w:divId w:val="101464766"/>
      </w:pPr>
      <w:r>
        <w:rPr>
          <w:rFonts w:ascii="宋体" w:hAnsi="宋体" w:cs="宋体" w:hint="eastAsia"/>
          <w:color w:val="000000"/>
          <w:kern w:val="0"/>
          <w:szCs w:val="21"/>
        </w:rPr>
        <w:t>本基金本报告期末未持有积极投资股票。</w:t>
      </w:r>
    </w:p>
    <w:p w:rsidR="003212B3" w:rsidRDefault="0020767E">
      <w:pPr>
        <w:pStyle w:val="XBRLTitle2"/>
        <w:spacing w:before="156" w:line="360" w:lineRule="auto"/>
        <w:ind w:left="454"/>
      </w:pPr>
      <w:bookmarkStart w:id="197" w:name="_Toc459213780"/>
      <w:bookmarkStart w:id="198" w:name="_Toc456107134"/>
      <w:bookmarkStart w:id="199" w:name="_Toc438654089"/>
      <w:bookmarkStart w:id="200" w:name="_Toc448480301"/>
      <w:bookmarkStart w:id="201" w:name="_Toc480465435"/>
      <w:bookmarkStart w:id="202" w:name="_Toc512611297"/>
      <w:bookmarkStart w:id="203" w:name="_Toc512612093"/>
      <w:bookmarkStart w:id="204" w:name="_Toc512612269"/>
      <w:bookmarkStart w:id="205" w:name="_Toc513658027"/>
      <w:bookmarkStart w:id="206" w:name="_Toc514178689"/>
      <w:bookmarkEnd w:id="185"/>
      <w:proofErr w:type="spellStart"/>
      <w:r>
        <w:rPr>
          <w:rFonts w:hint="eastAsia"/>
        </w:rPr>
        <w:t>期末按公允价值占基金资产净值比例大小排序的权益投资明细</w:t>
      </w:r>
      <w:bookmarkStart w:id="207" w:name="_Toc513637371"/>
      <w:bookmarkEnd w:id="197"/>
      <w:bookmarkEnd w:id="198"/>
      <w:bookmarkEnd w:id="199"/>
      <w:bookmarkEnd w:id="200"/>
      <w:bookmarkEnd w:id="201"/>
      <w:bookmarkEnd w:id="202"/>
      <w:bookmarkEnd w:id="203"/>
      <w:bookmarkEnd w:id="204"/>
      <w:bookmarkEnd w:id="205"/>
      <w:bookmarkEnd w:id="206"/>
      <w:bookmarkEnd w:id="207"/>
      <w:proofErr w:type="spellEnd"/>
      <w:r>
        <w:rPr>
          <w:rFonts w:hint="eastAsia"/>
        </w:rPr>
        <w:t xml:space="preserve"> </w:t>
      </w:r>
    </w:p>
    <w:p w:rsidR="003212B3" w:rsidRDefault="0020767E">
      <w:pPr>
        <w:pStyle w:val="XBRLTitle3"/>
        <w:spacing w:before="156"/>
        <w:ind w:left="0"/>
      </w:pPr>
      <w:bookmarkStart w:id="208" w:name="_Toc513658028"/>
      <w:bookmarkStart w:id="209" w:name="_Toc514178690"/>
      <w:proofErr w:type="spellStart"/>
      <w:r>
        <w:rPr>
          <w:rFonts w:hint="eastAsia"/>
        </w:rPr>
        <w:t>报告期末指数投资按公允价值占基金资产净值比例大小排序的前十名股票及</w:t>
      </w:r>
      <w:r>
        <w:rPr>
          <w:rFonts w:hint="eastAsia"/>
        </w:rPr>
        <w:lastRenderedPageBreak/>
        <w:t>存托凭证投资明细</w:t>
      </w:r>
      <w:bookmarkEnd w:id="208"/>
      <w:bookmarkEnd w:id="209"/>
      <w:proofErr w:type="spellEnd"/>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3212B3">
        <w:trPr>
          <w:divId w:val="81798063"/>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bookmarkStart w:id="210" w:name="m08QD_04_01_tab"/>
            <w:bookmarkStart w:id="211" w:name="_Toc433036709"/>
            <w:bookmarkStart w:id="212" w:name="_Toc247616246"/>
            <w:bookmarkStart w:id="213" w:name="_Toc458182097"/>
            <w:bookmarkStart w:id="214"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212B3" w:rsidRDefault="0020767E">
            <w:pPr>
              <w:jc w:val="center"/>
            </w:pPr>
            <w:r>
              <w:rPr>
                <w:rFonts w:ascii="宋体" w:hAnsi="宋体" w:hint="eastAsia"/>
              </w:rPr>
              <w:t>占基金资产净值比例</w:t>
            </w:r>
            <w:r>
              <w:rPr>
                <w:rFonts w:ascii="宋体" w:hAnsi="宋体" w:hint="eastAsia"/>
                <w:lang w:eastAsia="zh-Hans"/>
              </w:rPr>
              <w:t xml:space="preserve">(%) </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TENCENT HOLDINGS LTD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腾讯控股有限公司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700</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68,500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31,417,285.94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8.34</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ALIBABA GROUP HOLDING LTD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阿里巴巴-W</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9988</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263,200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31,089,773.57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8.25</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XIAOMI CORP-CLASS B</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小米集团-W</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1810</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665,400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30,211,313.23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8.02</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JD.COM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京东集团</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9618</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202,550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30,056,610.01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7.98</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SEMICONDUCTOR MANUFACTURING</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中芯国际</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981</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652,500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27,758,957.11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7.37</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KUAISHOU TECHNOLOGY</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快手 - W</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1024</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495,600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24,857,219.68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6.60</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LI AUTO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理想汽车 - W</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2015</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227,400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20,785,795.24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5.52</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MEITUAN-CLASS B</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美团</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3690</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141,750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20,380,377.56</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5.41</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XPENG INC - CLASS A SHARES</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小鹏汽车</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9868</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266,300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19,365,070.77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5.14</w:t>
            </w:r>
          </w:p>
        </w:tc>
      </w:tr>
      <w:tr w:rsidR="003212B3">
        <w:trPr>
          <w:divId w:val="81798063"/>
        </w:trPr>
        <w:tc>
          <w:tcPr>
            <w:tcW w:w="689"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NETEASE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网易 - S</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center"/>
            </w:pPr>
            <w:r>
              <w:rPr>
                <w:rFonts w:ascii="宋体" w:hAnsi="宋体" w:hint="eastAsia"/>
                <w:color w:val="000000"/>
                <w:lang w:eastAsia="zh-Hans"/>
              </w:rPr>
              <w:t>9999</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103,800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15,134,781.13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3212B3" w:rsidRDefault="0020767E">
            <w:pPr>
              <w:jc w:val="right"/>
            </w:pPr>
            <w:r>
              <w:rPr>
                <w:rFonts w:ascii="宋体" w:hAnsi="宋体" w:hint="eastAsia"/>
                <w:color w:val="000000"/>
                <w:lang w:eastAsia="zh-Hans"/>
              </w:rPr>
              <w:t>4.02</w:t>
            </w:r>
          </w:p>
        </w:tc>
      </w:tr>
    </w:tbl>
    <w:p w:rsidR="003212B3" w:rsidRDefault="0020767E">
      <w:pPr>
        <w:spacing w:line="360" w:lineRule="auto"/>
        <w:divId w:val="349138092"/>
      </w:pPr>
      <w:bookmarkStart w:id="215" w:name="m07_04_07_02"/>
      <w:bookmarkEnd w:id="210"/>
      <w:r>
        <w:rPr>
          <w:rFonts w:ascii="宋体" w:hAnsi="宋体" w:hint="eastAsia"/>
          <w:kern w:val="0"/>
          <w:szCs w:val="21"/>
        </w:rPr>
        <w:t>注：</w:t>
      </w:r>
      <w:r>
        <w:rPr>
          <w:rFonts w:ascii="宋体" w:hAnsi="宋体" w:hint="eastAsia"/>
          <w:lang w:eastAsia="zh-Hans"/>
        </w:rPr>
        <w:t>此处所用证券代码的类别是当地市场代码。</w:t>
      </w:r>
      <w:bookmarkEnd w:id="194"/>
      <w:bookmarkEnd w:id="211"/>
      <w:bookmarkEnd w:id="212"/>
      <w:bookmarkEnd w:id="213"/>
      <w:bookmarkEnd w:id="214"/>
    </w:p>
    <w:p w:rsidR="003212B3" w:rsidRDefault="0020767E">
      <w:pPr>
        <w:pStyle w:val="XBRLTitle3"/>
        <w:spacing w:before="156"/>
        <w:ind w:left="0"/>
      </w:pPr>
      <w:bookmarkStart w:id="216" w:name="_Toc513658029"/>
      <w:bookmarkStart w:id="217" w:name="_Toc514178691"/>
      <w:proofErr w:type="spellStart"/>
      <w:r>
        <w:rPr>
          <w:rFonts w:hint="eastAsia"/>
        </w:rPr>
        <w:t>报告期末积极投资按公允价值占基金资产净值比例大小排序的前五名股票及存托凭证投资明细</w:t>
      </w:r>
      <w:bookmarkEnd w:id="216"/>
      <w:bookmarkEnd w:id="217"/>
      <w:proofErr w:type="spellEnd"/>
      <w:r>
        <w:rPr>
          <w:rFonts w:hint="eastAsia"/>
        </w:rPr>
        <w:t xml:space="preserve"> </w:t>
      </w:r>
    </w:p>
    <w:p w:rsidR="003212B3" w:rsidRDefault="0020767E">
      <w:pPr>
        <w:spacing w:line="360" w:lineRule="auto"/>
        <w:ind w:firstLineChars="200" w:firstLine="420"/>
        <w:jc w:val="left"/>
      </w:pPr>
      <w:r>
        <w:rPr>
          <w:rFonts w:ascii="宋体" w:hAnsi="宋体" w:hint="eastAsia"/>
        </w:rPr>
        <w:t>本基金本报告期末未持有积极投资股票。</w:t>
      </w:r>
    </w:p>
    <w:p w:rsidR="003212B3" w:rsidRDefault="0020767E">
      <w:pPr>
        <w:pStyle w:val="XBRLTitle2"/>
        <w:spacing w:before="156" w:line="360" w:lineRule="auto"/>
        <w:ind w:left="454"/>
      </w:pPr>
      <w:bookmarkStart w:id="218" w:name="_Toc459213781"/>
      <w:bookmarkStart w:id="219" w:name="_Toc456107135"/>
      <w:bookmarkStart w:id="220" w:name="_Toc438654090"/>
      <w:bookmarkStart w:id="221" w:name="_Toc448480302"/>
      <w:bookmarkStart w:id="222" w:name="_Toc480465436"/>
      <w:bookmarkStart w:id="223" w:name="_Toc512611298"/>
      <w:bookmarkStart w:id="224" w:name="_Toc512612094"/>
      <w:bookmarkStart w:id="225" w:name="_Toc512612270"/>
      <w:bookmarkStart w:id="226" w:name="_Toc513658030"/>
      <w:bookmarkStart w:id="227" w:name="_Toc514178692"/>
      <w:bookmarkStart w:id="228" w:name="m505"/>
      <w:proofErr w:type="spellStart"/>
      <w:r>
        <w:rPr>
          <w:rFonts w:hint="eastAsia"/>
        </w:rPr>
        <w:lastRenderedPageBreak/>
        <w:t>报告期末按债券信用等级分类的债券投资组合</w:t>
      </w:r>
      <w:bookmarkEnd w:id="218"/>
      <w:bookmarkEnd w:id="219"/>
      <w:bookmarkEnd w:id="220"/>
      <w:bookmarkEnd w:id="221"/>
      <w:bookmarkEnd w:id="222"/>
      <w:bookmarkEnd w:id="223"/>
      <w:bookmarkEnd w:id="224"/>
      <w:bookmarkEnd w:id="225"/>
      <w:bookmarkEnd w:id="226"/>
      <w:bookmarkEnd w:id="227"/>
      <w:proofErr w:type="spellEnd"/>
      <w:r>
        <w:rPr>
          <w:rFonts w:hint="eastAsia"/>
        </w:rPr>
        <w:t xml:space="preserve"> </w:t>
      </w:r>
    </w:p>
    <w:p w:rsidR="003212B3" w:rsidRDefault="0020767E">
      <w:pPr>
        <w:spacing w:line="360" w:lineRule="auto"/>
        <w:ind w:firstLineChars="200" w:firstLine="420"/>
        <w:jc w:val="left"/>
      </w:pPr>
      <w:r>
        <w:rPr>
          <w:rFonts w:ascii="宋体" w:hAnsi="宋体" w:hint="eastAsia"/>
        </w:rPr>
        <w:t>本基金本报告期末未持有债券。</w:t>
      </w:r>
    </w:p>
    <w:p w:rsidR="003212B3" w:rsidRDefault="0020767E">
      <w:pPr>
        <w:pStyle w:val="XBRLTitle2"/>
        <w:spacing w:before="156" w:line="360" w:lineRule="auto"/>
        <w:ind w:left="454"/>
      </w:pPr>
      <w:bookmarkStart w:id="229" w:name="_Toc459213782"/>
      <w:bookmarkStart w:id="230" w:name="_Toc456107136"/>
      <w:bookmarkStart w:id="231" w:name="_Toc438654091"/>
      <w:bookmarkStart w:id="232" w:name="_Toc448480303"/>
      <w:bookmarkStart w:id="233" w:name="_Toc480465437"/>
      <w:bookmarkStart w:id="234" w:name="_Toc514178693"/>
      <w:bookmarkStart w:id="235" w:name="_Toc512611299"/>
      <w:bookmarkStart w:id="236" w:name="_Toc512612095"/>
      <w:bookmarkStart w:id="237" w:name="_Toc512612271"/>
      <w:bookmarkStart w:id="238" w:name="_Toc513658031"/>
      <w:bookmarkStart w:id="239" w:name="m506"/>
      <w:bookmarkEnd w:id="228"/>
      <w:proofErr w:type="spellStart"/>
      <w:r>
        <w:rPr>
          <w:rFonts w:hint="eastAsia"/>
        </w:rPr>
        <w:t>报告期末按公允价值占基金资产净值比例大小排名的前五名债券投资明细</w:t>
      </w:r>
      <w:bookmarkEnd w:id="229"/>
      <w:bookmarkEnd w:id="230"/>
      <w:bookmarkEnd w:id="231"/>
      <w:bookmarkEnd w:id="232"/>
      <w:bookmarkEnd w:id="233"/>
      <w:bookmarkEnd w:id="234"/>
      <w:proofErr w:type="spellEnd"/>
      <w:r>
        <w:rPr>
          <w:rFonts w:hint="eastAsia"/>
        </w:rPr>
        <w:t xml:space="preserve"> </w:t>
      </w:r>
      <w:bookmarkEnd w:id="235"/>
      <w:bookmarkEnd w:id="236"/>
      <w:bookmarkEnd w:id="237"/>
      <w:bookmarkEnd w:id="238"/>
    </w:p>
    <w:p w:rsidR="003212B3" w:rsidRDefault="0020767E">
      <w:pPr>
        <w:spacing w:line="360" w:lineRule="auto"/>
        <w:ind w:firstLineChars="200" w:firstLine="420"/>
        <w:jc w:val="left"/>
        <w:divId w:val="845555744"/>
      </w:pPr>
      <w:r>
        <w:rPr>
          <w:rFonts w:ascii="宋体" w:hAnsi="宋体" w:hint="eastAsia"/>
          <w:color w:val="000000"/>
          <w:szCs w:val="21"/>
          <w:lang w:eastAsia="zh-Hans"/>
        </w:rPr>
        <w:t>本基金本报告期末未持有债券。</w:t>
      </w:r>
    </w:p>
    <w:p w:rsidR="003212B3" w:rsidRDefault="0020767E">
      <w:pPr>
        <w:pStyle w:val="XBRLTitle2"/>
        <w:spacing w:before="156" w:line="360" w:lineRule="auto"/>
        <w:ind w:left="454"/>
      </w:pPr>
      <w:bookmarkStart w:id="240" w:name="_Toc459213783"/>
      <w:bookmarkStart w:id="241" w:name="_Toc456107137"/>
      <w:bookmarkStart w:id="242" w:name="_Toc438654092"/>
      <w:bookmarkStart w:id="243" w:name="_Toc448480304"/>
      <w:bookmarkStart w:id="244" w:name="_Toc480465438"/>
      <w:bookmarkStart w:id="245" w:name="_Toc514178694"/>
      <w:bookmarkStart w:id="246" w:name="_Toc512611300"/>
      <w:bookmarkStart w:id="247" w:name="_Toc512612096"/>
      <w:bookmarkStart w:id="248" w:name="_Toc512612272"/>
      <w:bookmarkStart w:id="249" w:name="_Toc513658032"/>
      <w:bookmarkStart w:id="250" w:name="m507"/>
      <w:bookmarkEnd w:id="239"/>
      <w:proofErr w:type="spellStart"/>
      <w:r>
        <w:rPr>
          <w:rFonts w:hint="eastAsia"/>
        </w:rPr>
        <w:t>报告期末按公允价值占基金资产净值比例大小排名的前十名资产支持证券投资明细</w:t>
      </w:r>
      <w:bookmarkEnd w:id="240"/>
      <w:bookmarkEnd w:id="241"/>
      <w:bookmarkEnd w:id="242"/>
      <w:bookmarkEnd w:id="243"/>
      <w:bookmarkEnd w:id="244"/>
      <w:bookmarkEnd w:id="245"/>
      <w:proofErr w:type="spellEnd"/>
      <w:r>
        <w:rPr>
          <w:rFonts w:hint="eastAsia"/>
        </w:rPr>
        <w:t xml:space="preserve"> </w:t>
      </w:r>
      <w:bookmarkEnd w:id="246"/>
      <w:bookmarkEnd w:id="247"/>
      <w:bookmarkEnd w:id="248"/>
      <w:bookmarkEnd w:id="249"/>
    </w:p>
    <w:p w:rsidR="003212B3" w:rsidRDefault="0020767E">
      <w:pPr>
        <w:spacing w:line="360" w:lineRule="auto"/>
        <w:ind w:firstLineChars="200" w:firstLine="420"/>
        <w:jc w:val="left"/>
        <w:divId w:val="1712801613"/>
      </w:pPr>
      <w:r>
        <w:rPr>
          <w:rFonts w:ascii="宋体" w:hAnsi="宋体" w:hint="eastAsia"/>
          <w:color w:val="000000"/>
          <w:szCs w:val="21"/>
          <w:lang w:eastAsia="zh-Hans"/>
        </w:rPr>
        <w:t>本基金本报告期末未持有资产支持证券。</w:t>
      </w:r>
    </w:p>
    <w:p w:rsidR="003212B3" w:rsidRDefault="0020767E">
      <w:pPr>
        <w:pStyle w:val="XBRLTitle2"/>
        <w:spacing w:before="156" w:line="360" w:lineRule="auto"/>
        <w:ind w:left="454"/>
      </w:pPr>
      <w:bookmarkStart w:id="251" w:name="_Toc448480305"/>
      <w:bookmarkStart w:id="252" w:name="_Toc438654093"/>
      <w:bookmarkStart w:id="253" w:name="_Toc456107138"/>
      <w:bookmarkStart w:id="254" w:name="_Toc459213784"/>
      <w:bookmarkStart w:id="255" w:name="_Toc480465439"/>
      <w:bookmarkStart w:id="256" w:name="_Toc514178695"/>
      <w:bookmarkStart w:id="257" w:name="_Toc512611301"/>
      <w:bookmarkStart w:id="258" w:name="_Toc512612097"/>
      <w:bookmarkStart w:id="259" w:name="_Toc512612273"/>
      <w:bookmarkStart w:id="260" w:name="_Toc513658033"/>
      <w:bookmarkStart w:id="261" w:name="m508"/>
      <w:bookmarkEnd w:id="250"/>
      <w:proofErr w:type="spellStart"/>
      <w:r>
        <w:rPr>
          <w:rFonts w:hint="eastAsia"/>
        </w:rPr>
        <w:t>报告期末按公允价值占基金资产净值比例大小排名的前五名金融衍生品投资明细</w:t>
      </w:r>
      <w:bookmarkEnd w:id="251"/>
      <w:bookmarkEnd w:id="252"/>
      <w:bookmarkEnd w:id="253"/>
      <w:bookmarkEnd w:id="254"/>
      <w:bookmarkEnd w:id="255"/>
      <w:bookmarkEnd w:id="256"/>
      <w:proofErr w:type="spellEnd"/>
      <w:r>
        <w:rPr>
          <w:rFonts w:hint="eastAsia"/>
        </w:rPr>
        <w:t xml:space="preserve"> </w:t>
      </w:r>
      <w:bookmarkEnd w:id="257"/>
      <w:bookmarkEnd w:id="258"/>
      <w:bookmarkEnd w:id="259"/>
      <w:bookmarkEnd w:id="260"/>
    </w:p>
    <w:p w:rsidR="003212B3" w:rsidRDefault="0020767E">
      <w:pPr>
        <w:spacing w:line="360" w:lineRule="auto"/>
        <w:ind w:firstLineChars="200" w:firstLine="420"/>
        <w:divId w:val="1879853897"/>
      </w:pPr>
      <w:bookmarkStart w:id="262"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62"/>
      <w:r>
        <w:rPr>
          <w:rFonts w:ascii="宋体" w:hAnsi="宋体" w:hint="eastAsia"/>
          <w:szCs w:val="24"/>
          <w:lang w:eastAsia="zh-Hans"/>
        </w:rPr>
        <w:t xml:space="preserve"> </w:t>
      </w:r>
    </w:p>
    <w:p w:rsidR="003212B3" w:rsidRDefault="0020767E">
      <w:pPr>
        <w:pStyle w:val="XBRLTitle2"/>
        <w:spacing w:before="156" w:line="360" w:lineRule="auto"/>
        <w:ind w:left="454"/>
      </w:pPr>
      <w:bookmarkStart w:id="263" w:name="_Toc448480306"/>
      <w:bookmarkStart w:id="264" w:name="_Toc438654094"/>
      <w:bookmarkStart w:id="265" w:name="_Toc456107139"/>
      <w:bookmarkStart w:id="266" w:name="_Toc459213785"/>
      <w:bookmarkStart w:id="267" w:name="_Toc480465440"/>
      <w:bookmarkStart w:id="268" w:name="_Toc514178696"/>
      <w:bookmarkStart w:id="269" w:name="_Toc512611302"/>
      <w:bookmarkStart w:id="270" w:name="_Toc512612098"/>
      <w:bookmarkStart w:id="271" w:name="_Toc512612274"/>
      <w:bookmarkStart w:id="272" w:name="_Toc513658034"/>
      <w:bookmarkStart w:id="273" w:name="m509"/>
      <w:bookmarkEnd w:id="261"/>
      <w:proofErr w:type="spellStart"/>
      <w:r>
        <w:rPr>
          <w:rFonts w:hint="eastAsia"/>
        </w:rPr>
        <w:t>报告期末按公允价值占基金资产净值比例大小排序的前十名基金投资明细</w:t>
      </w:r>
      <w:bookmarkEnd w:id="263"/>
      <w:bookmarkEnd w:id="264"/>
      <w:bookmarkEnd w:id="265"/>
      <w:bookmarkEnd w:id="266"/>
      <w:bookmarkEnd w:id="267"/>
      <w:bookmarkEnd w:id="268"/>
      <w:proofErr w:type="spellEnd"/>
      <w:r>
        <w:rPr>
          <w:rFonts w:hint="eastAsia"/>
        </w:rPr>
        <w:t xml:space="preserve"> </w:t>
      </w:r>
      <w:bookmarkEnd w:id="269"/>
      <w:bookmarkEnd w:id="270"/>
      <w:bookmarkEnd w:id="271"/>
      <w:bookmarkEnd w:id="272"/>
    </w:p>
    <w:p w:rsidR="003212B3" w:rsidRDefault="0020767E">
      <w:pPr>
        <w:spacing w:line="360" w:lineRule="auto"/>
        <w:ind w:firstLineChars="200" w:firstLine="420"/>
      </w:pPr>
      <w:bookmarkStart w:id="274" w:name="m08QD_10"/>
      <w:bookmarkEnd w:id="215"/>
      <w:r>
        <w:rPr>
          <w:rFonts w:ascii="宋体" w:hAnsi="宋体" w:hint="eastAsia"/>
          <w:szCs w:val="21"/>
          <w:lang w:eastAsia="zh-Hans"/>
        </w:rPr>
        <w:t>本基金本报告期末未持有基金。</w:t>
      </w:r>
      <w:r>
        <w:rPr>
          <w:rFonts w:ascii="宋体" w:hAnsi="宋体" w:hint="eastAsia"/>
          <w:lang w:eastAsia="zh-Hans"/>
        </w:rPr>
        <w:t xml:space="preserve"> </w:t>
      </w:r>
      <w:bookmarkEnd w:id="274"/>
      <w:bookmarkEnd w:id="159"/>
      <w:bookmarkEnd w:id="160"/>
    </w:p>
    <w:p w:rsidR="003212B3" w:rsidRDefault="0020767E">
      <w:pPr>
        <w:pStyle w:val="XBRLTitle2"/>
        <w:spacing w:before="156" w:line="360" w:lineRule="auto"/>
        <w:ind w:left="454"/>
      </w:pPr>
      <w:bookmarkStart w:id="275" w:name="_Toc448480307"/>
      <w:bookmarkStart w:id="276" w:name="_Toc438654095"/>
      <w:bookmarkStart w:id="277" w:name="_Toc456107140"/>
      <w:bookmarkStart w:id="278" w:name="_Toc459213786"/>
      <w:bookmarkStart w:id="279" w:name="_Toc480465441"/>
      <w:bookmarkStart w:id="280" w:name="_Toc512611303"/>
      <w:bookmarkStart w:id="281" w:name="_Toc512612099"/>
      <w:bookmarkStart w:id="282" w:name="_Toc512612275"/>
      <w:bookmarkStart w:id="283" w:name="_Toc513658035"/>
      <w:bookmarkStart w:id="284" w:name="_Toc514178697"/>
      <w:bookmarkEnd w:id="273"/>
      <w:proofErr w:type="spellStart"/>
      <w:r>
        <w:rPr>
          <w:rFonts w:hint="eastAsia"/>
        </w:rPr>
        <w:t>投资组合报告附注</w:t>
      </w:r>
      <w:bookmarkEnd w:id="275"/>
      <w:bookmarkEnd w:id="276"/>
      <w:bookmarkEnd w:id="277"/>
      <w:bookmarkEnd w:id="278"/>
      <w:bookmarkEnd w:id="279"/>
      <w:bookmarkEnd w:id="280"/>
      <w:bookmarkEnd w:id="281"/>
      <w:bookmarkEnd w:id="282"/>
      <w:bookmarkEnd w:id="283"/>
      <w:bookmarkEnd w:id="284"/>
      <w:proofErr w:type="spellEnd"/>
      <w:r>
        <w:rPr>
          <w:rFonts w:hint="eastAsia"/>
        </w:rPr>
        <w:t xml:space="preserve"> </w:t>
      </w:r>
    </w:p>
    <w:p w:rsidR="003212B3" w:rsidRDefault="0020767E">
      <w:pPr>
        <w:pStyle w:val="XBRLTitle3"/>
        <w:spacing w:before="156"/>
        <w:ind w:left="0"/>
      </w:pPr>
      <w:bookmarkStart w:id="285" w:name="m510_01_1597"/>
      <w:r>
        <w:rPr>
          <w:rFonts w:hint="eastAsia"/>
          <w:lang w:eastAsia="zh-CN"/>
        </w:rPr>
        <w:t xml:space="preserve"> </w:t>
      </w:r>
      <w:bookmarkStart w:id="286" w:name="_Toc514088270"/>
      <w:bookmarkStart w:id="287" w:name="_Toc513542671"/>
      <w:bookmarkStart w:id="288" w:name="_Toc480465442"/>
      <w:bookmarkEnd w:id="286"/>
      <w:bookmarkEnd w:id="287"/>
      <w:bookmarkEnd w:id="288"/>
      <w:r>
        <w:rPr>
          <w:rFonts w:hint="eastAsia"/>
        </w:rPr>
        <w:t xml:space="preserve"> </w:t>
      </w:r>
    </w:p>
    <w:p w:rsidR="003212B3" w:rsidRDefault="0020767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3212B3" w:rsidRDefault="0020767E">
      <w:pPr>
        <w:pStyle w:val="XBRLTitle3"/>
        <w:spacing w:before="156"/>
        <w:ind w:left="0"/>
      </w:pPr>
      <w:bookmarkStart w:id="289" w:name="m510_01_1598"/>
      <w:bookmarkEnd w:id="285"/>
      <w:r>
        <w:rPr>
          <w:rFonts w:hint="eastAsia"/>
          <w:lang w:eastAsia="zh-CN"/>
        </w:rPr>
        <w:t xml:space="preserve"> </w:t>
      </w:r>
      <w:bookmarkStart w:id="290" w:name="_Toc514088271"/>
      <w:bookmarkStart w:id="291" w:name="_Toc513542672"/>
      <w:bookmarkStart w:id="292" w:name="_Toc480465443"/>
      <w:bookmarkEnd w:id="290"/>
      <w:bookmarkEnd w:id="291"/>
      <w:bookmarkEnd w:id="292"/>
      <w:r>
        <w:rPr>
          <w:rFonts w:hint="eastAsia"/>
        </w:rPr>
        <w:t xml:space="preserve"> </w:t>
      </w:r>
    </w:p>
    <w:p w:rsidR="003212B3" w:rsidRDefault="0020767E">
      <w:pPr>
        <w:spacing w:line="360" w:lineRule="auto"/>
        <w:ind w:firstLineChars="200" w:firstLine="420"/>
      </w:pPr>
      <w:r>
        <w:rPr>
          <w:rFonts w:ascii="宋体" w:hAnsi="宋体" w:hint="eastAsia"/>
        </w:rPr>
        <w:t>报告期内本基金投资的前十名股票中没有在基金合同规定备选股票库之外的股票。</w:t>
      </w:r>
    </w:p>
    <w:p w:rsidR="003212B3" w:rsidRDefault="0020767E">
      <w:pPr>
        <w:pStyle w:val="XBRLTitle3"/>
        <w:spacing w:before="156"/>
        <w:ind w:left="0"/>
      </w:pPr>
      <w:bookmarkStart w:id="293" w:name="_Toc480465444"/>
      <w:bookmarkStart w:id="294" w:name="_Toc514178700"/>
      <w:bookmarkStart w:id="295" w:name="_Toc513658038"/>
      <w:bookmarkStart w:id="296" w:name="m510_02"/>
      <w:bookmarkEnd w:id="289"/>
      <w:proofErr w:type="spellStart"/>
      <w:r>
        <w:rPr>
          <w:rFonts w:hint="eastAsia"/>
        </w:rPr>
        <w:t>其他资产构成</w:t>
      </w:r>
      <w:bookmarkEnd w:id="293"/>
      <w:bookmarkEnd w:id="294"/>
      <w:proofErr w:type="spellEnd"/>
      <w:r>
        <w:rPr>
          <w:rFonts w:hint="eastAsia"/>
        </w:rPr>
        <w:t xml:space="preserve"> </w:t>
      </w:r>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212B3">
        <w:trPr>
          <w:divId w:val="53164825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jc w:val="center"/>
            </w:pPr>
            <w:r>
              <w:rPr>
                <w:rFonts w:ascii="宋体" w:hAnsi="宋体" w:hint="eastAsia"/>
              </w:rPr>
              <w:t>金额（人民币元）</w:t>
            </w:r>
            <w:r>
              <w:t xml:space="preserve"> </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77,605.89</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4,144.27</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w:t>
            </w:r>
          </w:p>
        </w:tc>
      </w:tr>
      <w:tr w:rsidR="003212B3">
        <w:trPr>
          <w:divId w:val="5316482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jc w:val="right"/>
            </w:pPr>
            <w:r>
              <w:rPr>
                <w:rFonts w:ascii="宋体" w:hAnsi="宋体" w:hint="eastAsia"/>
              </w:rPr>
              <w:t>81,750.16</w:t>
            </w:r>
          </w:p>
        </w:tc>
      </w:tr>
    </w:tbl>
    <w:p w:rsidR="003212B3" w:rsidRDefault="0020767E">
      <w:pPr>
        <w:pStyle w:val="XBRLTitle3"/>
        <w:spacing w:before="156"/>
        <w:ind w:left="0"/>
      </w:pPr>
      <w:bookmarkStart w:id="297" w:name="_Toc480465445"/>
      <w:bookmarkStart w:id="298" w:name="_Toc514178701"/>
      <w:bookmarkStart w:id="299" w:name="_Toc513658039"/>
      <w:bookmarkStart w:id="300" w:name="m510_03"/>
      <w:bookmarkEnd w:id="296"/>
      <w:proofErr w:type="spellStart"/>
      <w:r>
        <w:rPr>
          <w:rFonts w:hint="eastAsia"/>
        </w:rPr>
        <w:t>报告期末持有的处于转股期的可转换债券明细</w:t>
      </w:r>
      <w:bookmarkEnd w:id="297"/>
      <w:bookmarkEnd w:id="298"/>
      <w:proofErr w:type="spellEnd"/>
      <w:r>
        <w:rPr>
          <w:rFonts w:hint="eastAsia"/>
        </w:rPr>
        <w:t xml:space="preserve"> </w:t>
      </w:r>
      <w:bookmarkEnd w:id="299"/>
    </w:p>
    <w:p w:rsidR="003212B3" w:rsidRDefault="0020767E">
      <w:pPr>
        <w:spacing w:line="360" w:lineRule="auto"/>
        <w:ind w:firstLineChars="200" w:firstLine="420"/>
        <w:jc w:val="left"/>
        <w:divId w:val="471604074"/>
      </w:pPr>
      <w:r>
        <w:rPr>
          <w:rFonts w:ascii="宋体" w:hAnsi="宋体" w:hint="eastAsia"/>
        </w:rPr>
        <w:lastRenderedPageBreak/>
        <w:t xml:space="preserve">本基金本报告期末未持有处于转股期的可转换债券。 </w:t>
      </w:r>
    </w:p>
    <w:p w:rsidR="003212B3" w:rsidRDefault="0020767E">
      <w:pPr>
        <w:pStyle w:val="XBRLTitle3"/>
        <w:spacing w:before="156"/>
        <w:ind w:left="0"/>
      </w:pPr>
      <w:bookmarkStart w:id="301" w:name="_Toc480465446"/>
      <w:bookmarkStart w:id="302" w:name="_Toc513658040"/>
      <w:bookmarkStart w:id="303" w:name="_Toc514178702"/>
      <w:bookmarkStart w:id="304" w:name="m510_04"/>
      <w:bookmarkEnd w:id="300"/>
      <w:proofErr w:type="spellStart"/>
      <w:r>
        <w:rPr>
          <w:rFonts w:hint="eastAsia"/>
        </w:rPr>
        <w:t>报告期末前十名股票中存在流通受限情况的说明</w:t>
      </w:r>
      <w:bookmarkEnd w:id="301"/>
      <w:bookmarkEnd w:id="302"/>
      <w:bookmarkEnd w:id="303"/>
      <w:proofErr w:type="spellEnd"/>
    </w:p>
    <w:p w:rsidR="003212B3" w:rsidRDefault="0020767E">
      <w:pPr>
        <w:pStyle w:val="XBRLTitle4"/>
        <w:numPr>
          <w:ilvl w:val="0"/>
          <w:numId w:val="0"/>
        </w:numPr>
        <w:spacing w:before="156"/>
      </w:pPr>
      <w:bookmarkStart w:id="305" w:name="_Toc513658041"/>
      <w:bookmarkStart w:id="306" w:name="_Toc514178703"/>
      <w:r>
        <w:rPr>
          <w:rFonts w:hint="eastAsia"/>
        </w:rPr>
        <w:t xml:space="preserve">5.10.5.1 </w:t>
      </w:r>
      <w:proofErr w:type="spellStart"/>
      <w:r>
        <w:rPr>
          <w:rFonts w:hint="eastAsia"/>
        </w:rPr>
        <w:t>报告期末指数投资前十名股票中存在流通受限情况的说明</w:t>
      </w:r>
      <w:bookmarkEnd w:id="305"/>
      <w:bookmarkEnd w:id="306"/>
      <w:proofErr w:type="spellEnd"/>
      <w:r>
        <w:rPr>
          <w:rFonts w:hint="eastAsia"/>
        </w:rPr>
        <w:t xml:space="preserve"> </w:t>
      </w:r>
    </w:p>
    <w:p w:rsidR="003212B3" w:rsidRDefault="0020767E">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rsidR="003212B3" w:rsidRDefault="0020767E">
      <w:pPr>
        <w:pStyle w:val="XBRLTitle4"/>
        <w:numPr>
          <w:ilvl w:val="0"/>
          <w:numId w:val="0"/>
        </w:numPr>
        <w:spacing w:before="156"/>
      </w:pPr>
      <w:bookmarkStart w:id="307" w:name="_Toc513658042"/>
      <w:bookmarkStart w:id="308" w:name="_Toc514178704"/>
      <w:r>
        <w:rPr>
          <w:rFonts w:hint="eastAsia"/>
        </w:rPr>
        <w:t xml:space="preserve">5.10.5.2 </w:t>
      </w:r>
      <w:proofErr w:type="spellStart"/>
      <w:r>
        <w:rPr>
          <w:rFonts w:hint="eastAsia"/>
        </w:rPr>
        <w:t>报告期末积极投资前五名股票中存在流通受限情况的说明</w:t>
      </w:r>
      <w:bookmarkEnd w:id="307"/>
      <w:bookmarkEnd w:id="308"/>
      <w:proofErr w:type="spellEnd"/>
      <w:r>
        <w:rPr>
          <w:rFonts w:hint="eastAsia"/>
        </w:rPr>
        <w:t xml:space="preserve"> </w:t>
      </w:r>
    </w:p>
    <w:p w:rsidR="003212B3" w:rsidRDefault="0020767E">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4"/>
      <w:bookmarkEnd w:id="15"/>
      <w:bookmarkEnd w:id="16"/>
      <w:bookmarkEnd w:id="17"/>
    </w:p>
    <w:p w:rsidR="003212B3" w:rsidRDefault="0020767E">
      <w:pPr>
        <w:pStyle w:val="XBRLTitle3"/>
        <w:spacing w:before="156"/>
        <w:ind w:left="0"/>
      </w:pPr>
      <w:bookmarkStart w:id="309" w:name="_Toc480465447"/>
      <w:bookmarkStart w:id="310" w:name="_Toc513658043"/>
      <w:bookmarkStart w:id="311" w:name="_Toc514178705"/>
      <w:bookmarkEnd w:id="304"/>
      <w:proofErr w:type="spellStart"/>
      <w:r>
        <w:rPr>
          <w:rFonts w:hint="eastAsia"/>
        </w:rPr>
        <w:t>投资组合报告附注的其他文字描述部分</w:t>
      </w:r>
      <w:bookmarkEnd w:id="309"/>
      <w:bookmarkEnd w:id="310"/>
      <w:bookmarkEnd w:id="311"/>
      <w:proofErr w:type="spellEnd"/>
    </w:p>
    <w:p w:rsidR="003212B3" w:rsidRDefault="0020767E">
      <w:pPr>
        <w:spacing w:line="360" w:lineRule="auto"/>
        <w:ind w:firstLineChars="200" w:firstLine="420"/>
        <w:jc w:val="left"/>
      </w:pPr>
      <w:r>
        <w:rPr>
          <w:rFonts w:ascii="宋体" w:hAnsi="宋体" w:hint="eastAsia"/>
        </w:rPr>
        <w:t>因四舍五入原因，投资组合报告中分项之和与合计可能存在尾差。</w:t>
      </w:r>
    </w:p>
    <w:p w:rsidR="003212B3" w:rsidRDefault="0020767E">
      <w:pPr>
        <w:pStyle w:val="XBRLTitle1"/>
        <w:spacing w:before="156" w:line="360" w:lineRule="auto"/>
        <w:ind w:left="425"/>
      </w:pPr>
      <w:bookmarkStart w:id="312" w:name="_Toc514178706"/>
      <w:proofErr w:type="spellStart"/>
      <w:r>
        <w:rPr>
          <w:rFonts w:hint="eastAsia"/>
        </w:rPr>
        <w:t>开放式基金份额变动</w:t>
      </w:r>
      <w:bookmarkStart w:id="313" w:name="m601_tab"/>
      <w:bookmarkEnd w:id="312"/>
      <w:bookmarkEnd w:id="153"/>
      <w:bookmarkEnd w:id="154"/>
      <w:bookmarkEnd w:id="155"/>
      <w:bookmarkEnd w:id="156"/>
      <w:proofErr w:type="spellEnd"/>
    </w:p>
    <w:p w:rsidR="003212B3" w:rsidRDefault="0020767E">
      <w:pPr>
        <w:wordWrap w:val="0"/>
        <w:spacing w:line="360" w:lineRule="auto"/>
        <w:jc w:val="right"/>
      </w:pPr>
      <w:bookmarkStart w:id="314" w:name="m10_01_tab"/>
      <w:bookmarkEnd w:id="13"/>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3212B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14"/>
          <w:p w:rsidR="003212B3" w:rsidRDefault="0020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kern w:val="0"/>
                <w:szCs w:val="24"/>
                <w:lang w:eastAsia="zh-Hans"/>
              </w:rPr>
              <w:t>350,128,000.00</w:t>
            </w:r>
          </w:p>
        </w:tc>
      </w:tr>
      <w:tr w:rsidR="003212B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lang w:eastAsia="zh-Hans"/>
              </w:rPr>
              <w:t>99,000,000.00</w:t>
            </w:r>
          </w:p>
        </w:tc>
      </w:tr>
      <w:tr w:rsidR="003212B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lang w:eastAsia="zh-Hans"/>
              </w:rPr>
              <w:t>107,000,000.00</w:t>
            </w:r>
          </w:p>
        </w:tc>
      </w:tr>
      <w:tr w:rsidR="003212B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lang w:eastAsia="zh-Hans"/>
              </w:rPr>
              <w:t>-</w:t>
            </w:r>
          </w:p>
        </w:tc>
      </w:tr>
      <w:tr w:rsidR="003212B3">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212B3" w:rsidRDefault="0020767E">
            <w:pPr>
              <w:jc w:val="right"/>
            </w:pPr>
            <w:r>
              <w:rPr>
                <w:rFonts w:ascii="宋体" w:hAnsi="宋体" w:hint="eastAsia"/>
                <w:szCs w:val="24"/>
                <w:lang w:eastAsia="zh-Hans"/>
              </w:rPr>
              <w:t>342,128,000.00</w:t>
            </w:r>
            <w:r>
              <w:rPr>
                <w:rFonts w:ascii="宋体" w:hAnsi="宋体" w:hint="eastAsia"/>
                <w:lang w:eastAsia="zh-Hans"/>
              </w:rPr>
              <w:t xml:space="preserve"> </w:t>
            </w:r>
          </w:p>
        </w:tc>
      </w:tr>
    </w:tbl>
    <w:p w:rsidR="003212B3" w:rsidRDefault="0020767E">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rsidR="003212B3" w:rsidRDefault="0020767E">
      <w:pPr>
        <w:pStyle w:val="XBRLTitle1"/>
        <w:spacing w:before="156" w:line="360" w:lineRule="auto"/>
        <w:ind w:left="425"/>
      </w:pPr>
      <w:bookmarkStart w:id="315" w:name="m7manage01"/>
      <w:bookmarkStart w:id="316" w:name="_Toc512519522"/>
      <w:bookmarkStart w:id="317" w:name="_Toc481075090"/>
      <w:bookmarkStart w:id="318" w:name="_Toc438646478"/>
      <w:bookmarkStart w:id="319" w:name="_Toc490050043"/>
      <w:bookmarkStart w:id="320" w:name="_Toc514178707"/>
      <w:bookmarkEnd w:id="157"/>
      <w:bookmarkEnd w:id="313"/>
      <w:proofErr w:type="spellStart"/>
      <w:r>
        <w:rPr>
          <w:rFonts w:hint="eastAsia"/>
        </w:rPr>
        <w:t>基金管理人运用固有资金投资本基金交易明细</w:t>
      </w:r>
      <w:bookmarkEnd w:id="315"/>
      <w:bookmarkEnd w:id="316"/>
      <w:bookmarkEnd w:id="317"/>
      <w:bookmarkEnd w:id="318"/>
      <w:bookmarkEnd w:id="319"/>
      <w:bookmarkEnd w:id="320"/>
      <w:proofErr w:type="spellEnd"/>
      <w:r>
        <w:rPr>
          <w:rFonts w:hint="eastAsia"/>
        </w:rPr>
        <w:t xml:space="preserve"> </w:t>
      </w:r>
    </w:p>
    <w:p w:rsidR="003212B3" w:rsidRDefault="0020767E">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3212B3" w:rsidRDefault="0020767E">
      <w:pPr>
        <w:pStyle w:val="XBRLTitle1"/>
        <w:spacing w:before="156" w:line="360" w:lineRule="auto"/>
        <w:ind w:left="425"/>
      </w:pPr>
      <w:bookmarkStart w:id="321" w:name="_Toc512519526"/>
      <w:bookmarkStart w:id="322" w:name="_Toc490050046"/>
      <w:bookmarkStart w:id="323" w:name="_Toc481075094"/>
      <w:bookmarkStart w:id="324" w:name="_Toc479856294"/>
      <w:bookmarkStart w:id="325" w:name="_Toc514178710"/>
      <w:bookmarkStart w:id="326" w:name="m701"/>
      <w:proofErr w:type="spellStart"/>
      <w:r>
        <w:rPr>
          <w:rFonts w:hint="eastAsia"/>
        </w:rPr>
        <w:t>影响投资者决策的其他重要信息</w:t>
      </w:r>
      <w:bookmarkEnd w:id="321"/>
      <w:bookmarkEnd w:id="322"/>
      <w:bookmarkEnd w:id="323"/>
      <w:bookmarkEnd w:id="324"/>
      <w:bookmarkEnd w:id="325"/>
      <w:proofErr w:type="spellEnd"/>
      <w:r>
        <w:rPr>
          <w:rFonts w:hint="eastAsia"/>
          <w:lang w:eastAsia="zh-CN"/>
        </w:rPr>
        <w:t xml:space="preserve"> </w:t>
      </w:r>
    </w:p>
    <w:p w:rsidR="003212B3" w:rsidRDefault="0020767E">
      <w:pPr>
        <w:pStyle w:val="XBRLTitle2"/>
        <w:spacing w:before="156" w:line="360" w:lineRule="auto"/>
        <w:ind w:left="454"/>
      </w:pPr>
      <w:bookmarkStart w:id="327" w:name="_Toc512519527"/>
      <w:bookmarkStart w:id="328" w:name="_Toc481075095"/>
      <w:bookmarkStart w:id="329" w:name="_Toc490050047"/>
      <w:bookmarkStart w:id="330" w:name="_Toc514178711"/>
      <w:r>
        <w:rPr>
          <w:rFonts w:hint="eastAsia"/>
          <w:kern w:val="0"/>
        </w:rPr>
        <w:t>报告期内单一投资者持有基金份额比例达到或超过20%的情况</w:t>
      </w:r>
      <w:bookmarkEnd w:id="327"/>
      <w:bookmarkEnd w:id="328"/>
      <w:bookmarkEnd w:id="329"/>
      <w:bookmarkEnd w:id="330"/>
      <w:r>
        <w:rPr>
          <w:rFonts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719"/>
        <w:gridCol w:w="955"/>
        <w:gridCol w:w="1480"/>
        <w:gridCol w:w="1480"/>
        <w:gridCol w:w="1375"/>
        <w:gridCol w:w="1480"/>
        <w:gridCol w:w="920"/>
      </w:tblGrid>
      <w:tr w:rsidR="003212B3">
        <w:trPr>
          <w:divId w:val="744954850"/>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jc w:val="center"/>
            </w:pPr>
            <w:bookmarkStart w:id="331" w:name="m12_01"/>
            <w:bookmarkStart w:id="332" w:name="_Toc433036733"/>
            <w:bookmarkStart w:id="333" w:name="m13_01_01"/>
            <w:bookmarkStart w:id="334" w:name="m13_01"/>
            <w:bookmarkEnd w:id="32"/>
            <w:bookmarkEnd w:id="33"/>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报告期末持有基金情况 </w:t>
            </w:r>
          </w:p>
        </w:tc>
      </w:tr>
      <w:tr w:rsidR="003212B3">
        <w:trPr>
          <w:divId w:val="74495485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12B3" w:rsidRDefault="003212B3">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期初 </w:t>
            </w:r>
          </w:p>
          <w:p w:rsidR="003212B3" w:rsidRDefault="0020767E">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申购 </w:t>
            </w:r>
          </w:p>
          <w:p w:rsidR="003212B3" w:rsidRDefault="0020767E">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赎回 </w:t>
            </w:r>
          </w:p>
          <w:p w:rsidR="003212B3" w:rsidRDefault="0020767E">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2B3" w:rsidRDefault="0020767E">
            <w:pPr>
              <w:widowControl/>
              <w:jc w:val="center"/>
            </w:pPr>
            <w:r>
              <w:rPr>
                <w:rFonts w:ascii="宋体" w:hAnsi="宋体" w:hint="eastAsia"/>
                <w:color w:val="000000"/>
                <w:kern w:val="0"/>
              </w:rPr>
              <w:t xml:space="preserve">份额占比 </w:t>
            </w:r>
          </w:p>
        </w:tc>
      </w:tr>
      <w:tr w:rsidR="003212B3">
        <w:trPr>
          <w:divId w:val="744954850"/>
          <w:trHeight w:val="460"/>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212B3" w:rsidRDefault="0020767E">
            <w:pPr>
              <w:widowControl/>
              <w:jc w:val="center"/>
            </w:pPr>
            <w:r>
              <w:rPr>
                <w:rFonts w:ascii="宋体" w:hAnsi="宋体" w:hint="eastAsia"/>
                <w:color w:val="000000"/>
                <w:szCs w:val="21"/>
              </w:rPr>
              <w:t>联接基金</w:t>
            </w:r>
            <w:r>
              <w:rPr>
                <w:rFonts w:ascii="宋体" w:hAnsi="宋体" w:hint="eastAsia"/>
                <w:color w:val="000000"/>
                <w:kern w:val="0"/>
                <w:sz w:val="22"/>
              </w:rPr>
              <w:t xml:space="preserve"> </w:t>
            </w:r>
          </w:p>
        </w:tc>
        <w:tc>
          <w:tcPr>
            <w:tcW w:w="7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212B3" w:rsidRDefault="0020767E">
            <w:pPr>
              <w:widowControl/>
              <w:jc w:val="center"/>
            </w:pPr>
            <w:r>
              <w:rPr>
                <w:rFonts w:ascii="宋体" w:hAnsi="宋体" w:hint="eastAsia"/>
                <w:color w:val="000000"/>
                <w:szCs w:val="21"/>
              </w:rPr>
              <w:t>1</w:t>
            </w:r>
            <w:r>
              <w:rPr>
                <w:rFonts w:ascii="宋体" w:hAnsi="宋体" w:hint="eastAsia"/>
                <w:color w:val="000000"/>
                <w:kern w:val="0"/>
                <w:sz w:val="22"/>
              </w:rPr>
              <w:t xml:space="preserve"> </w:t>
            </w:r>
          </w:p>
        </w:tc>
        <w:tc>
          <w:tcPr>
            <w:tcW w:w="701" w:type="dxa"/>
            <w:tcBorders>
              <w:top w:val="nil"/>
              <w:left w:val="nil"/>
              <w:bottom w:val="single" w:sz="4" w:space="0" w:color="auto"/>
              <w:right w:val="single" w:sz="4" w:space="0" w:color="auto"/>
            </w:tcBorders>
            <w:vAlign w:val="center"/>
            <w:hideMark/>
          </w:tcPr>
          <w:p w:rsidR="003212B3" w:rsidRDefault="0020767E">
            <w:pPr>
              <w:widowControl/>
              <w:jc w:val="center"/>
            </w:pPr>
            <w:r>
              <w:rPr>
                <w:rFonts w:ascii="宋体" w:hAnsi="宋体" w:hint="eastAsia"/>
                <w:color w:val="000000"/>
                <w:szCs w:val="21"/>
              </w:rPr>
              <w:t>20250101-20250331</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3212B3" w:rsidRDefault="0020767E">
            <w:pPr>
              <w:widowControl/>
              <w:jc w:val="right"/>
            </w:pPr>
            <w:r>
              <w:rPr>
                <w:rFonts w:ascii="宋体" w:hAnsi="宋体" w:hint="eastAsia"/>
                <w:color w:val="000000"/>
                <w:szCs w:val="21"/>
              </w:rPr>
              <w:t>158,813,700.00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3212B3" w:rsidRDefault="0020767E">
            <w:pPr>
              <w:widowControl/>
              <w:jc w:val="right"/>
            </w:pPr>
            <w:r>
              <w:rPr>
                <w:rFonts w:ascii="宋体" w:hAnsi="宋体" w:hint="eastAsia"/>
                <w:color w:val="000000"/>
                <w:szCs w:val="21"/>
              </w:rPr>
              <w:t>106,385,800.00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3212B3" w:rsidRDefault="0020767E">
            <w:pPr>
              <w:widowControl/>
              <w:jc w:val="right"/>
            </w:pPr>
            <w:r>
              <w:rPr>
                <w:rFonts w:ascii="宋体" w:hAnsi="宋体" w:hint="eastAsia"/>
                <w:color w:val="000000"/>
                <w:szCs w:val="21"/>
              </w:rPr>
              <w:t>98,518,800.00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rsidR="003212B3" w:rsidRDefault="0020767E">
            <w:pPr>
              <w:widowControl/>
              <w:jc w:val="right"/>
            </w:pPr>
            <w:r>
              <w:rPr>
                <w:rFonts w:ascii="宋体" w:hAnsi="宋体" w:hint="eastAsia"/>
                <w:color w:val="000000"/>
                <w:szCs w:val="21"/>
              </w:rPr>
              <w:t>166,680,700.00</w:t>
            </w:r>
            <w:r>
              <w:rPr>
                <w:rFonts w:ascii="宋体" w:hAnsi="宋体" w:hint="eastAsia"/>
                <w:color w:val="000000"/>
                <w:kern w:val="0"/>
                <w:sz w:val="22"/>
              </w:rPr>
              <w:t xml:space="preserve"> </w:t>
            </w:r>
          </w:p>
        </w:tc>
        <w:tc>
          <w:tcPr>
            <w:tcW w:w="700" w:type="dxa"/>
            <w:tcBorders>
              <w:top w:val="nil"/>
              <w:left w:val="nil"/>
              <w:bottom w:val="single" w:sz="4" w:space="0" w:color="auto"/>
              <w:right w:val="single" w:sz="4" w:space="0" w:color="auto"/>
            </w:tcBorders>
            <w:vAlign w:val="center"/>
            <w:hideMark/>
          </w:tcPr>
          <w:p w:rsidR="003212B3" w:rsidRDefault="0020767E">
            <w:pPr>
              <w:widowControl/>
              <w:jc w:val="right"/>
            </w:pPr>
            <w:r>
              <w:rPr>
                <w:rFonts w:ascii="宋体" w:hAnsi="宋体" w:hint="eastAsia"/>
                <w:color w:val="000000"/>
                <w:szCs w:val="21"/>
              </w:rPr>
              <w:t>48.7200</w:t>
            </w:r>
            <w:r>
              <w:rPr>
                <w:szCs w:val="21"/>
              </w:rPr>
              <w:t>%</w:t>
            </w:r>
            <w:r>
              <w:t xml:space="preserve"> </w:t>
            </w:r>
            <w:bookmarkEnd w:id="18"/>
            <w:bookmarkEnd w:id="331"/>
            <w:bookmarkEnd w:id="332"/>
            <w:bookmarkEnd w:id="333"/>
            <w:bookmarkEnd w:id="334"/>
            <w:bookmarkEnd w:id="161"/>
            <w:bookmarkEnd w:id="162"/>
          </w:p>
        </w:tc>
      </w:tr>
      <w:bookmarkEnd w:id="19"/>
      <w:bookmarkEnd w:id="54"/>
      <w:tr w:rsidR="003212B3">
        <w:trPr>
          <w:divId w:val="74495485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widowControl/>
              <w:jc w:val="center"/>
            </w:pPr>
            <w:r>
              <w:rPr>
                <w:rFonts w:ascii="宋体" w:hAnsi="宋体" w:hint="eastAsia"/>
                <w:color w:val="000000"/>
                <w:kern w:val="0"/>
              </w:rPr>
              <w:t xml:space="preserve">产品特有风险 </w:t>
            </w:r>
          </w:p>
        </w:tc>
      </w:tr>
      <w:tr w:rsidR="003212B3">
        <w:trPr>
          <w:divId w:val="74495485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212B3" w:rsidRDefault="0020767E">
            <w:pPr>
              <w:widowControl/>
              <w:jc w:val="left"/>
            </w:pPr>
            <w:r>
              <w:rPr>
                <w:rFonts w:ascii="宋体" w:hAnsi="宋体" w:hint="eastAsia"/>
                <w:color w:val="00000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3212B3" w:rsidRDefault="0020767E">
      <w:pPr>
        <w:pStyle w:val="XBRLTitle1"/>
        <w:spacing w:before="156" w:line="360" w:lineRule="auto"/>
        <w:ind w:left="425"/>
      </w:pPr>
      <w:bookmarkStart w:id="335" w:name="_Toc512519529"/>
      <w:bookmarkStart w:id="336" w:name="_Toc490050049"/>
      <w:bookmarkStart w:id="337" w:name="_Toc481075097"/>
      <w:bookmarkStart w:id="338" w:name="_Toc438646481"/>
      <w:bookmarkStart w:id="339" w:name="_Toc514178713"/>
      <w:bookmarkEnd w:id="326"/>
      <w:proofErr w:type="spellStart"/>
      <w:r>
        <w:rPr>
          <w:rFonts w:hint="eastAsia"/>
        </w:rPr>
        <w:t>备查文件目录</w:t>
      </w:r>
      <w:bookmarkEnd w:id="335"/>
      <w:bookmarkEnd w:id="336"/>
      <w:bookmarkEnd w:id="337"/>
      <w:bookmarkEnd w:id="338"/>
      <w:bookmarkEnd w:id="339"/>
      <w:proofErr w:type="spellEnd"/>
      <w:r>
        <w:rPr>
          <w:rFonts w:hint="eastAsia"/>
        </w:rPr>
        <w:t xml:space="preserve"> </w:t>
      </w:r>
    </w:p>
    <w:p w:rsidR="003212B3" w:rsidRDefault="0020767E">
      <w:pPr>
        <w:pStyle w:val="XBRLTitle2"/>
        <w:spacing w:before="156" w:line="360" w:lineRule="auto"/>
        <w:ind w:left="454"/>
      </w:pPr>
      <w:bookmarkStart w:id="340" w:name="_Toc438646482"/>
      <w:bookmarkStart w:id="341" w:name="_Toc512519530"/>
      <w:bookmarkStart w:id="342" w:name="_Toc481075098"/>
      <w:bookmarkStart w:id="343" w:name="_Toc490050050"/>
      <w:bookmarkStart w:id="344" w:name="_Toc514178714"/>
      <w:bookmarkStart w:id="345" w:name="m801_01_1733"/>
      <w:proofErr w:type="spellStart"/>
      <w:r>
        <w:rPr>
          <w:rFonts w:hint="eastAsia"/>
        </w:rPr>
        <w:t>备查文件目录</w:t>
      </w:r>
      <w:bookmarkEnd w:id="340"/>
      <w:bookmarkEnd w:id="341"/>
      <w:bookmarkEnd w:id="342"/>
      <w:bookmarkEnd w:id="343"/>
      <w:bookmarkEnd w:id="344"/>
      <w:proofErr w:type="spellEnd"/>
      <w:r>
        <w:rPr>
          <w:rFonts w:hint="eastAsia"/>
        </w:rPr>
        <w:t xml:space="preserve"> </w:t>
      </w:r>
    </w:p>
    <w:p w:rsidR="003212B3" w:rsidRDefault="0020767E">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(二)摩根恒生科技交易型开放式指数证券投资基金(QDII)基金合同</w:t>
      </w:r>
      <w:r>
        <w:rPr>
          <w:rFonts w:ascii="宋体" w:hAnsi="宋体" w:cs="宋体" w:hint="eastAsia"/>
          <w:color w:val="000000"/>
          <w:kern w:val="0"/>
        </w:rPr>
        <w:br/>
        <w:t xml:space="preserve">　　(三)摩根恒生科技交易型开放式指数证券投资基金(QDII)托管协议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(七)中国证监会要求的其他文件</w:t>
      </w:r>
    </w:p>
    <w:p w:rsidR="003212B3" w:rsidRDefault="0020767E">
      <w:pPr>
        <w:pStyle w:val="XBRLTitle2"/>
        <w:spacing w:before="156" w:line="360" w:lineRule="auto"/>
        <w:ind w:left="454"/>
      </w:pPr>
      <w:bookmarkStart w:id="346" w:name="_Toc438646483"/>
      <w:bookmarkStart w:id="347" w:name="_Toc512519531"/>
      <w:bookmarkStart w:id="348" w:name="_Toc481075099"/>
      <w:bookmarkStart w:id="349" w:name="_Toc490050051"/>
      <w:bookmarkStart w:id="350" w:name="_Toc514178715"/>
      <w:bookmarkStart w:id="351" w:name="m801_01_1734"/>
      <w:bookmarkEnd w:id="345"/>
      <w:proofErr w:type="spellStart"/>
      <w:r>
        <w:rPr>
          <w:rFonts w:hint="eastAsia"/>
        </w:rPr>
        <w:t>存放地点</w:t>
      </w:r>
      <w:bookmarkEnd w:id="346"/>
      <w:bookmarkEnd w:id="347"/>
      <w:bookmarkEnd w:id="348"/>
      <w:bookmarkEnd w:id="349"/>
      <w:bookmarkEnd w:id="350"/>
      <w:proofErr w:type="spellEnd"/>
      <w:r>
        <w:rPr>
          <w:rFonts w:hint="eastAsia"/>
        </w:rPr>
        <w:t xml:space="preserve"> </w:t>
      </w:r>
    </w:p>
    <w:p w:rsidR="003212B3" w:rsidRDefault="0020767E">
      <w:pPr>
        <w:spacing w:line="360" w:lineRule="auto"/>
        <w:ind w:firstLineChars="200" w:firstLine="420"/>
        <w:jc w:val="left"/>
      </w:pPr>
      <w:r>
        <w:rPr>
          <w:rFonts w:ascii="宋体" w:hAnsi="宋体" w:cs="宋体" w:hint="eastAsia"/>
          <w:color w:val="000000"/>
          <w:kern w:val="0"/>
        </w:rPr>
        <w:t>基金管理人或基金托管人住所。</w:t>
      </w:r>
    </w:p>
    <w:p w:rsidR="003212B3" w:rsidRDefault="0020767E">
      <w:pPr>
        <w:pStyle w:val="XBRLTitle2"/>
        <w:spacing w:before="156" w:line="360" w:lineRule="auto"/>
        <w:ind w:left="454"/>
      </w:pPr>
      <w:bookmarkStart w:id="352" w:name="_Toc438646484"/>
      <w:bookmarkStart w:id="353" w:name="_Toc512519532"/>
      <w:bookmarkStart w:id="354" w:name="_Toc481075100"/>
      <w:bookmarkStart w:id="355" w:name="_Toc490050052"/>
      <w:bookmarkStart w:id="356" w:name="_Toc514178716"/>
      <w:bookmarkStart w:id="357" w:name="m801_01_1735"/>
      <w:bookmarkEnd w:id="351"/>
      <w:proofErr w:type="spellStart"/>
      <w:r>
        <w:rPr>
          <w:rFonts w:hint="eastAsia"/>
        </w:rPr>
        <w:t>查阅方式</w:t>
      </w:r>
      <w:bookmarkEnd w:id="352"/>
      <w:bookmarkEnd w:id="353"/>
      <w:bookmarkEnd w:id="354"/>
      <w:bookmarkEnd w:id="355"/>
      <w:bookmarkEnd w:id="356"/>
      <w:proofErr w:type="spellEnd"/>
      <w:r>
        <w:rPr>
          <w:rFonts w:hint="eastAsia"/>
        </w:rPr>
        <w:t xml:space="preserve"> </w:t>
      </w:r>
    </w:p>
    <w:p w:rsidR="003212B3" w:rsidRDefault="0020767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7"/>
    <w:p w:rsidR="003212B3" w:rsidRDefault="0020767E">
      <w:pPr>
        <w:spacing w:line="360" w:lineRule="auto"/>
        <w:ind w:firstLineChars="600" w:firstLine="1687"/>
        <w:jc w:val="left"/>
      </w:pPr>
      <w:r>
        <w:rPr>
          <w:rFonts w:ascii="宋体" w:hAnsi="宋体" w:hint="eastAsia"/>
          <w:b/>
          <w:bCs/>
          <w:sz w:val="28"/>
          <w:szCs w:val="30"/>
        </w:rPr>
        <w:t xml:space="preserve">　 </w:t>
      </w:r>
    </w:p>
    <w:p w:rsidR="003212B3" w:rsidRDefault="0020767E">
      <w:pPr>
        <w:spacing w:line="360" w:lineRule="auto"/>
        <w:ind w:firstLineChars="600" w:firstLine="1687"/>
        <w:jc w:val="left"/>
      </w:pPr>
      <w:r>
        <w:rPr>
          <w:rFonts w:ascii="宋体" w:hAnsi="宋体" w:hint="eastAsia"/>
          <w:b/>
          <w:bCs/>
          <w:sz w:val="28"/>
          <w:szCs w:val="30"/>
        </w:rPr>
        <w:t xml:space="preserve">　 </w:t>
      </w:r>
    </w:p>
    <w:p w:rsidR="003212B3" w:rsidRDefault="0020767E">
      <w:pPr>
        <w:spacing w:line="360" w:lineRule="auto"/>
        <w:ind w:firstLineChars="600" w:firstLine="1446"/>
        <w:jc w:val="right"/>
      </w:pPr>
      <w:r>
        <w:rPr>
          <w:rFonts w:ascii="宋体" w:hAnsi="宋体" w:hint="eastAsia"/>
          <w:b/>
          <w:bCs/>
          <w:sz w:val="24"/>
          <w:szCs w:val="24"/>
        </w:rPr>
        <w:t>摩根基金管理（中国）有限公司</w:t>
      </w:r>
    </w:p>
    <w:p w:rsidR="003212B3" w:rsidRDefault="0020767E">
      <w:pPr>
        <w:spacing w:line="360" w:lineRule="auto"/>
        <w:ind w:firstLineChars="600" w:firstLine="1446"/>
        <w:jc w:val="right"/>
      </w:pPr>
      <w:r>
        <w:rPr>
          <w:rFonts w:ascii="宋体" w:hAnsi="宋体" w:hint="eastAsia"/>
          <w:b/>
          <w:bCs/>
          <w:sz w:val="24"/>
          <w:szCs w:val="24"/>
        </w:rPr>
        <w:t>2025年4月22日</w:t>
      </w:r>
      <w:bookmarkEnd w:id="20"/>
    </w:p>
    <w:sectPr w:rsidR="003212B3">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B3" w:rsidRDefault="0020767E">
      <w:pPr>
        <w:rPr>
          <w:szCs w:val="21"/>
        </w:rPr>
      </w:pPr>
      <w:r>
        <w:rPr>
          <w:szCs w:val="21"/>
        </w:rPr>
        <w:separator/>
      </w:r>
      <w:r>
        <w:rPr>
          <w:szCs w:val="21"/>
        </w:rPr>
        <w:t xml:space="preserve"> </w:t>
      </w:r>
    </w:p>
  </w:endnote>
  <w:endnote w:type="continuationSeparator" w:id="0">
    <w:p w:rsidR="003212B3" w:rsidRDefault="0020767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B3" w:rsidRDefault="0020767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610D0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610D0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B3" w:rsidRDefault="0020767E">
      <w:pPr>
        <w:rPr>
          <w:szCs w:val="21"/>
        </w:rPr>
      </w:pPr>
      <w:r>
        <w:rPr>
          <w:szCs w:val="21"/>
        </w:rPr>
        <w:separator/>
      </w:r>
      <w:r>
        <w:rPr>
          <w:szCs w:val="21"/>
        </w:rPr>
        <w:t xml:space="preserve"> </w:t>
      </w:r>
    </w:p>
  </w:footnote>
  <w:footnote w:type="continuationSeparator" w:id="0">
    <w:p w:rsidR="003212B3" w:rsidRDefault="0020767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B3" w:rsidRDefault="0020767E">
    <w:pPr>
      <w:pStyle w:val="a8"/>
      <w:jc w:val="right"/>
    </w:pPr>
    <w:r>
      <w:rPr>
        <w:rFonts w:ascii="宋体" w:hAnsi="宋体" w:hint="eastAsia"/>
      </w:rPr>
      <w:t>摩根恒生科技交易型开放式指数证券投资基金(QDII)2025年第1季度报告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379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7E"/>
    <w:rsid w:val="0020767E"/>
    <w:rsid w:val="003212B3"/>
    <w:rsid w:val="0061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宋体" w:eastAsia="宋体" w:hAnsi="宋体" w:cs="Times New Roman" w:hint="eastAsia"/>
      <w:b/>
      <w:bCs/>
      <w:sz w:val="32"/>
      <w:szCs w:val="32"/>
    </w:rPr>
  </w:style>
  <w:style w:type="character" w:customStyle="1" w:styleId="16">
    <w:name w:val="副标题 字符1"/>
    <w:link w:val="ae"/>
    <w:locked/>
    <w:rPr>
      <w:rFonts w:ascii="宋体" w:eastAsia="宋体" w:hAnsi="宋体" w:cs="Times New Roman" w:hint="eastAsia"/>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4766">
      <w:marLeft w:val="0"/>
      <w:marRight w:val="0"/>
      <w:marTop w:val="0"/>
      <w:marBottom w:val="0"/>
      <w:divBdr>
        <w:top w:val="none" w:sz="0" w:space="0" w:color="auto"/>
        <w:left w:val="none" w:sz="0" w:space="0" w:color="auto"/>
        <w:bottom w:val="none" w:sz="0" w:space="0" w:color="auto"/>
        <w:right w:val="none" w:sz="0" w:space="0" w:color="auto"/>
      </w:divBdr>
    </w:div>
    <w:div w:id="111481015">
      <w:marLeft w:val="0"/>
      <w:marRight w:val="0"/>
      <w:marTop w:val="0"/>
      <w:marBottom w:val="0"/>
      <w:divBdr>
        <w:top w:val="none" w:sz="0" w:space="0" w:color="auto"/>
        <w:left w:val="none" w:sz="0" w:space="0" w:color="auto"/>
        <w:bottom w:val="none" w:sz="0" w:space="0" w:color="auto"/>
        <w:right w:val="none" w:sz="0" w:space="0" w:color="auto"/>
      </w:divBdr>
    </w:div>
    <w:div w:id="349138092">
      <w:marLeft w:val="0"/>
      <w:marRight w:val="0"/>
      <w:marTop w:val="0"/>
      <w:marBottom w:val="0"/>
      <w:divBdr>
        <w:top w:val="none" w:sz="0" w:space="0" w:color="auto"/>
        <w:left w:val="none" w:sz="0" w:space="0" w:color="auto"/>
        <w:bottom w:val="none" w:sz="0" w:space="0" w:color="auto"/>
        <w:right w:val="none" w:sz="0" w:space="0" w:color="auto"/>
      </w:divBdr>
      <w:divsChild>
        <w:div w:id="81798063">
          <w:marLeft w:val="0"/>
          <w:marRight w:val="0"/>
          <w:marTop w:val="0"/>
          <w:marBottom w:val="0"/>
          <w:divBdr>
            <w:top w:val="none" w:sz="0" w:space="0" w:color="auto"/>
            <w:left w:val="none" w:sz="0" w:space="0" w:color="auto"/>
            <w:bottom w:val="none" w:sz="0" w:space="0" w:color="auto"/>
            <w:right w:val="none" w:sz="0" w:space="0" w:color="auto"/>
          </w:divBdr>
        </w:div>
      </w:divsChild>
    </w:div>
    <w:div w:id="471604074">
      <w:marLeft w:val="0"/>
      <w:marRight w:val="0"/>
      <w:marTop w:val="0"/>
      <w:marBottom w:val="0"/>
      <w:divBdr>
        <w:top w:val="none" w:sz="0" w:space="0" w:color="auto"/>
        <w:left w:val="none" w:sz="0" w:space="0" w:color="auto"/>
        <w:bottom w:val="none" w:sz="0" w:space="0" w:color="auto"/>
        <w:right w:val="none" w:sz="0" w:space="0" w:color="auto"/>
      </w:divBdr>
    </w:div>
    <w:div w:id="531648258">
      <w:marLeft w:val="0"/>
      <w:marRight w:val="0"/>
      <w:marTop w:val="0"/>
      <w:marBottom w:val="0"/>
      <w:divBdr>
        <w:top w:val="none" w:sz="0" w:space="0" w:color="auto"/>
        <w:left w:val="none" w:sz="0" w:space="0" w:color="auto"/>
        <w:bottom w:val="none" w:sz="0" w:space="0" w:color="auto"/>
        <w:right w:val="none" w:sz="0" w:space="0" w:color="auto"/>
      </w:divBdr>
    </w:div>
    <w:div w:id="542012866">
      <w:marLeft w:val="0"/>
      <w:marRight w:val="0"/>
      <w:marTop w:val="0"/>
      <w:marBottom w:val="0"/>
      <w:divBdr>
        <w:top w:val="none" w:sz="0" w:space="0" w:color="auto"/>
        <w:left w:val="none" w:sz="0" w:space="0" w:color="auto"/>
        <w:bottom w:val="none" w:sz="0" w:space="0" w:color="auto"/>
        <w:right w:val="none" w:sz="0" w:space="0" w:color="auto"/>
      </w:divBdr>
    </w:div>
    <w:div w:id="744954850">
      <w:marLeft w:val="0"/>
      <w:marRight w:val="0"/>
      <w:marTop w:val="0"/>
      <w:marBottom w:val="0"/>
      <w:divBdr>
        <w:top w:val="none" w:sz="0" w:space="0" w:color="auto"/>
        <w:left w:val="none" w:sz="0" w:space="0" w:color="auto"/>
        <w:bottom w:val="none" w:sz="0" w:space="0" w:color="auto"/>
        <w:right w:val="none" w:sz="0" w:space="0" w:color="auto"/>
      </w:divBdr>
    </w:div>
    <w:div w:id="823011787">
      <w:marLeft w:val="0"/>
      <w:marRight w:val="0"/>
      <w:marTop w:val="0"/>
      <w:marBottom w:val="0"/>
      <w:divBdr>
        <w:top w:val="none" w:sz="0" w:space="0" w:color="auto"/>
        <w:left w:val="none" w:sz="0" w:space="0" w:color="auto"/>
        <w:bottom w:val="none" w:sz="0" w:space="0" w:color="auto"/>
        <w:right w:val="none" w:sz="0" w:space="0" w:color="auto"/>
      </w:divBdr>
    </w:div>
    <w:div w:id="845555744">
      <w:marLeft w:val="0"/>
      <w:marRight w:val="0"/>
      <w:marTop w:val="0"/>
      <w:marBottom w:val="0"/>
      <w:divBdr>
        <w:top w:val="none" w:sz="0" w:space="0" w:color="auto"/>
        <w:left w:val="none" w:sz="0" w:space="0" w:color="auto"/>
        <w:bottom w:val="none" w:sz="0" w:space="0" w:color="auto"/>
        <w:right w:val="none" w:sz="0" w:space="0" w:color="auto"/>
      </w:divBdr>
    </w:div>
    <w:div w:id="1309894228">
      <w:marLeft w:val="0"/>
      <w:marRight w:val="0"/>
      <w:marTop w:val="0"/>
      <w:marBottom w:val="0"/>
      <w:divBdr>
        <w:top w:val="none" w:sz="0" w:space="0" w:color="auto"/>
        <w:left w:val="none" w:sz="0" w:space="0" w:color="auto"/>
        <w:bottom w:val="none" w:sz="0" w:space="0" w:color="auto"/>
        <w:right w:val="none" w:sz="0" w:space="0" w:color="auto"/>
      </w:divBdr>
    </w:div>
    <w:div w:id="1346593358">
      <w:marLeft w:val="0"/>
      <w:marRight w:val="0"/>
      <w:marTop w:val="0"/>
      <w:marBottom w:val="0"/>
      <w:divBdr>
        <w:top w:val="none" w:sz="0" w:space="0" w:color="auto"/>
        <w:left w:val="none" w:sz="0" w:space="0" w:color="auto"/>
        <w:bottom w:val="none" w:sz="0" w:space="0" w:color="auto"/>
        <w:right w:val="none" w:sz="0" w:space="0" w:color="auto"/>
      </w:divBdr>
      <w:divsChild>
        <w:div w:id="274866120">
          <w:marLeft w:val="0"/>
          <w:marRight w:val="0"/>
          <w:marTop w:val="0"/>
          <w:marBottom w:val="0"/>
          <w:divBdr>
            <w:top w:val="none" w:sz="0" w:space="0" w:color="auto"/>
            <w:left w:val="none" w:sz="0" w:space="0" w:color="auto"/>
            <w:bottom w:val="none" w:sz="0" w:space="0" w:color="auto"/>
            <w:right w:val="none" w:sz="0" w:space="0" w:color="auto"/>
          </w:divBdr>
        </w:div>
      </w:divsChild>
    </w:div>
    <w:div w:id="1398283251">
      <w:marLeft w:val="0"/>
      <w:marRight w:val="0"/>
      <w:marTop w:val="0"/>
      <w:marBottom w:val="0"/>
      <w:divBdr>
        <w:top w:val="none" w:sz="0" w:space="0" w:color="auto"/>
        <w:left w:val="none" w:sz="0" w:space="0" w:color="auto"/>
        <w:bottom w:val="none" w:sz="0" w:space="0" w:color="auto"/>
        <w:right w:val="none" w:sz="0" w:space="0" w:color="auto"/>
      </w:divBdr>
    </w:div>
    <w:div w:id="1470975355">
      <w:marLeft w:val="0"/>
      <w:marRight w:val="0"/>
      <w:marTop w:val="0"/>
      <w:marBottom w:val="0"/>
      <w:divBdr>
        <w:top w:val="none" w:sz="0" w:space="0" w:color="auto"/>
        <w:left w:val="none" w:sz="0" w:space="0" w:color="auto"/>
        <w:bottom w:val="none" w:sz="0" w:space="0" w:color="auto"/>
        <w:right w:val="none" w:sz="0" w:space="0" w:color="auto"/>
      </w:divBdr>
    </w:div>
    <w:div w:id="1712801613">
      <w:marLeft w:val="0"/>
      <w:marRight w:val="0"/>
      <w:marTop w:val="0"/>
      <w:marBottom w:val="0"/>
      <w:divBdr>
        <w:top w:val="none" w:sz="0" w:space="0" w:color="auto"/>
        <w:left w:val="none" w:sz="0" w:space="0" w:color="auto"/>
        <w:bottom w:val="none" w:sz="0" w:space="0" w:color="auto"/>
        <w:right w:val="none" w:sz="0" w:space="0" w:color="auto"/>
      </w:divBdr>
    </w:div>
    <w:div w:id="1728801206">
      <w:marLeft w:val="0"/>
      <w:marRight w:val="0"/>
      <w:marTop w:val="0"/>
      <w:marBottom w:val="0"/>
      <w:divBdr>
        <w:top w:val="none" w:sz="0" w:space="0" w:color="auto"/>
        <w:left w:val="none" w:sz="0" w:space="0" w:color="auto"/>
        <w:bottom w:val="none" w:sz="0" w:space="0" w:color="auto"/>
        <w:right w:val="none" w:sz="0" w:space="0" w:color="auto"/>
      </w:divBdr>
    </w:div>
    <w:div w:id="1879853897">
      <w:marLeft w:val="0"/>
      <w:marRight w:val="0"/>
      <w:marTop w:val="0"/>
      <w:marBottom w:val="0"/>
      <w:divBdr>
        <w:top w:val="none" w:sz="0" w:space="0" w:color="auto"/>
        <w:left w:val="none" w:sz="0" w:space="0" w:color="auto"/>
        <w:bottom w:val="none" w:sz="0" w:space="0" w:color="auto"/>
        <w:right w:val="none" w:sz="0" w:space="0" w:color="auto"/>
      </w:divBdr>
    </w:div>
    <w:div w:id="1939563283">
      <w:marLeft w:val="0"/>
      <w:marRight w:val="0"/>
      <w:marTop w:val="0"/>
      <w:marBottom w:val="0"/>
      <w:divBdr>
        <w:top w:val="none" w:sz="0" w:space="0" w:color="auto"/>
        <w:left w:val="none" w:sz="0" w:space="0" w:color="auto"/>
        <w:bottom w:val="none" w:sz="0" w:space="0" w:color="auto"/>
        <w:right w:val="none" w:sz="0" w:space="0" w:color="auto"/>
      </w:divBdr>
    </w:div>
    <w:div w:id="2108693509">
      <w:marLeft w:val="0"/>
      <w:marRight w:val="0"/>
      <w:marTop w:val="0"/>
      <w:marBottom w:val="0"/>
      <w:divBdr>
        <w:top w:val="none" w:sz="0" w:space="0" w:color="auto"/>
        <w:left w:val="none" w:sz="0" w:space="0" w:color="auto"/>
        <w:bottom w:val="none" w:sz="0" w:space="0" w:color="auto"/>
        <w:right w:val="none" w:sz="0" w:space="0" w:color="auto"/>
      </w:divBdr>
      <w:divsChild>
        <w:div w:id="6636260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3563-A1F2-4368-BEEC-BFD66B85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6136</Words>
  <Characters>2111</Characters>
  <Application>Microsoft Office Word</Application>
  <DocSecurity>0</DocSecurity>
  <Lines>17</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QD_ETF季报</dc:title>
  <dc:subject/>
  <dc:creator>yss</dc:creator>
  <cp:keywords/>
  <dc:description/>
  <cp:lastModifiedBy>Trowa.Ding@FA</cp:lastModifiedBy>
  <cp:revision>3</cp:revision>
  <dcterms:created xsi:type="dcterms:W3CDTF">2025-04-15T12:20:00Z</dcterms:created>
  <dcterms:modified xsi:type="dcterms:W3CDTF">2025-04-21T06:57:00Z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