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D89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058EEE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ED288B5"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DD371B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33BDDA16"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摩根标普港股通低波红利交易型开放式指数证券投资基金</w:t>
      </w:r>
    </w:p>
    <w:p w14:paraId="156453C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4</w:t>
      </w:r>
      <w:r w:rsidRPr="00473486">
        <w:rPr>
          <w:rFonts w:eastAsiaTheme="minorEastAsia"/>
          <w:b/>
          <w:color w:val="000000" w:themeColor="text1"/>
          <w:sz w:val="36"/>
          <w:szCs w:val="36"/>
        </w:rPr>
        <w:t>季度报告</w:t>
      </w:r>
    </w:p>
    <w:p w14:paraId="44EF1F09"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12</w:t>
      </w:r>
      <w:r w:rsidRPr="00473486">
        <w:rPr>
          <w:rFonts w:eastAsiaTheme="minorEastAsia"/>
          <w:b/>
          <w:color w:val="000000" w:themeColor="text1"/>
          <w:sz w:val="36"/>
          <w:szCs w:val="36"/>
        </w:rPr>
        <w:t>月</w:t>
      </w:r>
      <w:r w:rsidRPr="00473486">
        <w:rPr>
          <w:rFonts w:eastAsiaTheme="minorEastAsia"/>
          <w:b/>
          <w:color w:val="000000" w:themeColor="text1"/>
          <w:sz w:val="36"/>
          <w:szCs w:val="36"/>
        </w:rPr>
        <w:t>31</w:t>
      </w:r>
      <w:r w:rsidRPr="00473486">
        <w:rPr>
          <w:rFonts w:eastAsiaTheme="minorEastAsia"/>
          <w:b/>
          <w:color w:val="000000" w:themeColor="text1"/>
          <w:sz w:val="36"/>
          <w:szCs w:val="36"/>
        </w:rPr>
        <w:t>日</w:t>
      </w:r>
    </w:p>
    <w:p w14:paraId="24866E05" w14:textId="77777777" w:rsidR="00881A82" w:rsidRPr="00473486" w:rsidRDefault="00881A82">
      <w:pPr>
        <w:spacing w:line="360" w:lineRule="auto"/>
        <w:jc w:val="center"/>
        <w:rPr>
          <w:rFonts w:eastAsiaTheme="minorEastAsia"/>
          <w:b/>
          <w:color w:val="000000" w:themeColor="text1"/>
          <w:sz w:val="24"/>
        </w:rPr>
      </w:pPr>
    </w:p>
    <w:p w14:paraId="54376FCF" w14:textId="77777777" w:rsidR="00881A82" w:rsidRPr="00473486" w:rsidRDefault="00881A82">
      <w:pPr>
        <w:spacing w:line="360" w:lineRule="auto"/>
        <w:jc w:val="center"/>
        <w:rPr>
          <w:rFonts w:eastAsiaTheme="minorEastAsia"/>
          <w:b/>
          <w:color w:val="000000" w:themeColor="text1"/>
          <w:sz w:val="24"/>
        </w:rPr>
      </w:pPr>
    </w:p>
    <w:p w14:paraId="6DC948AA" w14:textId="77777777" w:rsidR="00881A82" w:rsidRPr="00473486" w:rsidRDefault="00881A82">
      <w:pPr>
        <w:spacing w:line="360" w:lineRule="auto"/>
        <w:jc w:val="center"/>
        <w:rPr>
          <w:rFonts w:eastAsiaTheme="minorEastAsia"/>
          <w:b/>
          <w:color w:val="000000" w:themeColor="text1"/>
          <w:sz w:val="24"/>
        </w:rPr>
      </w:pPr>
    </w:p>
    <w:p w14:paraId="5DF5943F" w14:textId="77777777" w:rsidR="00881A82" w:rsidRPr="00473486" w:rsidRDefault="00881A82">
      <w:pPr>
        <w:spacing w:line="360" w:lineRule="auto"/>
        <w:jc w:val="center"/>
        <w:rPr>
          <w:rFonts w:eastAsiaTheme="minorEastAsia"/>
          <w:b/>
          <w:color w:val="000000" w:themeColor="text1"/>
          <w:sz w:val="24"/>
        </w:rPr>
      </w:pPr>
    </w:p>
    <w:p w14:paraId="314523B5" w14:textId="77777777" w:rsidR="00881A82" w:rsidRPr="00473486" w:rsidRDefault="00881A82">
      <w:pPr>
        <w:spacing w:line="360" w:lineRule="auto"/>
        <w:jc w:val="center"/>
        <w:rPr>
          <w:rFonts w:eastAsiaTheme="minorEastAsia"/>
          <w:b/>
          <w:color w:val="000000" w:themeColor="text1"/>
          <w:sz w:val="24"/>
        </w:rPr>
      </w:pPr>
    </w:p>
    <w:p w14:paraId="4477A308" w14:textId="77777777" w:rsidR="00881A82" w:rsidRPr="00473486" w:rsidRDefault="00881A82">
      <w:pPr>
        <w:spacing w:line="360" w:lineRule="auto"/>
        <w:jc w:val="center"/>
        <w:rPr>
          <w:rFonts w:eastAsiaTheme="minorEastAsia"/>
          <w:b/>
          <w:color w:val="000000" w:themeColor="text1"/>
          <w:sz w:val="24"/>
        </w:rPr>
      </w:pPr>
    </w:p>
    <w:p w14:paraId="3CB6404D" w14:textId="77777777" w:rsidR="00881A82" w:rsidRPr="00473486" w:rsidRDefault="00881A82">
      <w:pPr>
        <w:spacing w:line="360" w:lineRule="auto"/>
        <w:jc w:val="center"/>
        <w:rPr>
          <w:rFonts w:eastAsiaTheme="minorEastAsia"/>
          <w:b/>
          <w:color w:val="000000" w:themeColor="text1"/>
          <w:sz w:val="24"/>
        </w:rPr>
      </w:pPr>
    </w:p>
    <w:p w14:paraId="36CD8E02" w14:textId="77777777" w:rsidR="00881A82" w:rsidRPr="00473486" w:rsidRDefault="00881A82">
      <w:pPr>
        <w:spacing w:line="360" w:lineRule="auto"/>
        <w:jc w:val="center"/>
        <w:rPr>
          <w:rFonts w:eastAsiaTheme="minorEastAsia"/>
          <w:b/>
          <w:color w:val="000000" w:themeColor="text1"/>
          <w:sz w:val="24"/>
        </w:rPr>
      </w:pPr>
    </w:p>
    <w:p w14:paraId="06CDB9DF" w14:textId="77777777" w:rsidR="00881A82" w:rsidRPr="00473486" w:rsidRDefault="00881A82">
      <w:pPr>
        <w:spacing w:line="360" w:lineRule="auto"/>
        <w:jc w:val="center"/>
        <w:rPr>
          <w:rFonts w:eastAsiaTheme="minorEastAsia"/>
          <w:b/>
          <w:color w:val="000000" w:themeColor="text1"/>
          <w:sz w:val="24"/>
        </w:rPr>
      </w:pPr>
    </w:p>
    <w:p w14:paraId="1D605D01" w14:textId="77777777" w:rsidR="00881A82" w:rsidRPr="00473486" w:rsidRDefault="00881A82">
      <w:pPr>
        <w:spacing w:line="360" w:lineRule="auto"/>
        <w:jc w:val="center"/>
        <w:rPr>
          <w:rFonts w:eastAsiaTheme="minorEastAsia"/>
          <w:b/>
          <w:color w:val="000000" w:themeColor="text1"/>
          <w:sz w:val="24"/>
        </w:rPr>
      </w:pPr>
    </w:p>
    <w:p w14:paraId="14DCC3A9" w14:textId="77777777" w:rsidR="00881A82" w:rsidRPr="00473486" w:rsidRDefault="00881A82">
      <w:pPr>
        <w:spacing w:line="360" w:lineRule="auto"/>
        <w:jc w:val="center"/>
        <w:rPr>
          <w:rFonts w:eastAsiaTheme="minorEastAsia"/>
          <w:b/>
          <w:color w:val="000000" w:themeColor="text1"/>
          <w:sz w:val="24"/>
        </w:rPr>
      </w:pPr>
    </w:p>
    <w:p w14:paraId="744AEB21" w14:textId="77777777" w:rsidR="00881A82" w:rsidRPr="00473486" w:rsidRDefault="00881A82">
      <w:pPr>
        <w:spacing w:line="360" w:lineRule="auto"/>
        <w:jc w:val="center"/>
        <w:rPr>
          <w:rFonts w:eastAsiaTheme="minorEastAsia"/>
          <w:b/>
          <w:color w:val="000000" w:themeColor="text1"/>
          <w:sz w:val="24"/>
        </w:rPr>
      </w:pPr>
    </w:p>
    <w:p w14:paraId="792B4ECA" w14:textId="77777777" w:rsidR="00881A82" w:rsidRPr="00473486" w:rsidRDefault="00881A82">
      <w:pPr>
        <w:spacing w:line="360" w:lineRule="auto"/>
        <w:jc w:val="center"/>
        <w:rPr>
          <w:rFonts w:eastAsiaTheme="minorEastAsia"/>
          <w:b/>
          <w:color w:val="000000" w:themeColor="text1"/>
          <w:sz w:val="24"/>
        </w:rPr>
      </w:pPr>
    </w:p>
    <w:p w14:paraId="0D7A9AB0" w14:textId="77777777" w:rsidR="00881A82" w:rsidRPr="00473486" w:rsidRDefault="00881A82">
      <w:pPr>
        <w:spacing w:line="360" w:lineRule="auto"/>
        <w:jc w:val="center"/>
        <w:rPr>
          <w:rFonts w:eastAsiaTheme="minorEastAsia"/>
          <w:b/>
          <w:color w:val="000000" w:themeColor="text1"/>
          <w:sz w:val="24"/>
        </w:rPr>
      </w:pPr>
    </w:p>
    <w:p w14:paraId="338D1CCB" w14:textId="77777777" w:rsidR="00881A82" w:rsidRPr="00473486" w:rsidRDefault="00881A82">
      <w:pPr>
        <w:spacing w:line="360" w:lineRule="auto"/>
        <w:rPr>
          <w:rFonts w:eastAsiaTheme="minorEastAsia"/>
          <w:b/>
          <w:color w:val="000000" w:themeColor="text1"/>
          <w:sz w:val="24"/>
        </w:rPr>
      </w:pPr>
    </w:p>
    <w:p w14:paraId="47965CD4"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6E741CFC"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基金托管人：广发证券股份有限公司</w:t>
      </w:r>
    </w:p>
    <w:p w14:paraId="7788E5EE"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报告送出日期：二〇二五年一月二十二日</w:t>
      </w:r>
    </w:p>
    <w:p w14:paraId="59E9DB5D"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7B915B05"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25DBFA9"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基金托管人广发证券股份有限公司根据本基金合同规定，于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18E7F27"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2B0BCF5"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14DC8EA"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0217E8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日止。</w:t>
      </w:r>
    </w:p>
    <w:p w14:paraId="5000638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3774EDC0" w14:textId="77777777">
        <w:tc>
          <w:tcPr>
            <w:tcW w:w="2835" w:type="dxa"/>
            <w:vAlign w:val="center"/>
          </w:tcPr>
          <w:p w14:paraId="39F7F5F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78A39AC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摩根标普港股通低波红利</w:t>
            </w:r>
            <w:r w:rsidRPr="00473486">
              <w:rPr>
                <w:rFonts w:eastAsiaTheme="minorEastAsia"/>
                <w:color w:val="000000" w:themeColor="text1"/>
                <w:kern w:val="0"/>
                <w:szCs w:val="21"/>
              </w:rPr>
              <w:t>ETF</w:t>
            </w:r>
          </w:p>
        </w:tc>
      </w:tr>
      <w:tr w:rsidR="00881A82" w:rsidRPr="00473486" w14:paraId="5796CED7" w14:textId="77777777">
        <w:tc>
          <w:tcPr>
            <w:tcW w:w="2835" w:type="dxa"/>
            <w:tcBorders>
              <w:top w:val="single" w:sz="4" w:space="0" w:color="auto"/>
              <w:left w:val="single" w:sz="4" w:space="0" w:color="auto"/>
              <w:bottom w:val="single" w:sz="4" w:space="0" w:color="auto"/>
              <w:right w:val="single" w:sz="4" w:space="0" w:color="auto"/>
            </w:tcBorders>
            <w:vAlign w:val="center"/>
          </w:tcPr>
          <w:p w14:paraId="1BD1C08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58D3FCD1"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6A0C70E1" w14:textId="77777777">
        <w:tc>
          <w:tcPr>
            <w:tcW w:w="2835" w:type="dxa"/>
            <w:tcBorders>
              <w:top w:val="single" w:sz="4" w:space="0" w:color="auto"/>
              <w:left w:val="single" w:sz="4" w:space="0" w:color="auto"/>
              <w:bottom w:val="single" w:sz="4" w:space="0" w:color="auto"/>
              <w:right w:val="single" w:sz="4" w:space="0" w:color="auto"/>
            </w:tcBorders>
            <w:vAlign w:val="center"/>
          </w:tcPr>
          <w:p w14:paraId="4F8A040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7CC9F01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6CA56A1B" w14:textId="77777777">
        <w:tc>
          <w:tcPr>
            <w:tcW w:w="2835" w:type="dxa"/>
            <w:vAlign w:val="center"/>
          </w:tcPr>
          <w:p w14:paraId="7A534F5C"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691884A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774ED1F3" w14:textId="77777777">
        <w:tc>
          <w:tcPr>
            <w:tcW w:w="2835" w:type="dxa"/>
            <w:vAlign w:val="center"/>
          </w:tcPr>
          <w:p w14:paraId="20E4888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7A57045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w:t>
            </w:r>
          </w:p>
        </w:tc>
      </w:tr>
      <w:tr w:rsidR="00881A82" w:rsidRPr="00473486" w14:paraId="36EFF001" w14:textId="77777777">
        <w:tc>
          <w:tcPr>
            <w:tcW w:w="2835" w:type="dxa"/>
            <w:vAlign w:val="center"/>
          </w:tcPr>
          <w:p w14:paraId="25D94EC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1CB06A6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4,666,359,000.00</w:t>
            </w:r>
            <w:r w:rsidRPr="00473486">
              <w:rPr>
                <w:rFonts w:eastAsiaTheme="minorEastAsia"/>
                <w:color w:val="000000" w:themeColor="text1"/>
                <w:kern w:val="0"/>
                <w:szCs w:val="21"/>
              </w:rPr>
              <w:t>份</w:t>
            </w:r>
          </w:p>
        </w:tc>
      </w:tr>
      <w:tr w:rsidR="00881A82" w:rsidRPr="00473486" w14:paraId="6CB4CC18" w14:textId="77777777">
        <w:tc>
          <w:tcPr>
            <w:tcW w:w="2835" w:type="dxa"/>
            <w:vAlign w:val="center"/>
          </w:tcPr>
          <w:p w14:paraId="2DD71B60"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3041F08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14:paraId="068D5463" w14:textId="77777777">
        <w:tc>
          <w:tcPr>
            <w:tcW w:w="2835" w:type="dxa"/>
            <w:vAlign w:val="center"/>
          </w:tcPr>
          <w:p w14:paraId="6F06B43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6F3DB4B8"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D4ADCF9"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2C0C061D"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64534F37"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6B12D229"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4C155F49"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6AF55F0A"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624BF592"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1718D475"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2E9B4DFE"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170BD9AD"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3CAA7181"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14:paraId="71D1296B"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。如因标的指数编制规则调整等其他原因，导致基金跟踪偏离度和跟踪误差超过上述范围，基金管理人应采取合理措施，避免跟踪偏离度和跟踪误差的进一步扩大。</w:t>
            </w:r>
          </w:p>
          <w:p w14:paraId="002ED99F" w14:textId="77777777" w:rsidR="00B86F3D" w:rsidRDefault="00A161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）港股通标的股票投资策略</w:t>
            </w:r>
          </w:p>
          <w:p w14:paraId="205F640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309210E2" w14:textId="77777777">
        <w:tc>
          <w:tcPr>
            <w:tcW w:w="2835" w:type="dxa"/>
            <w:vAlign w:val="center"/>
          </w:tcPr>
          <w:p w14:paraId="76EB14C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业绩比较基准</w:t>
            </w:r>
          </w:p>
        </w:tc>
        <w:tc>
          <w:tcPr>
            <w:tcW w:w="5479" w:type="dxa"/>
            <w:vAlign w:val="center"/>
          </w:tcPr>
          <w:p w14:paraId="33892D0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本基金的业绩比较基准为标的指数，即标普港股通低波红利指数收益率。本基金标的指数变更的，相应更换基金名称和业绩比较基准，并在履行适当程序后及时公告。</w:t>
            </w:r>
          </w:p>
        </w:tc>
      </w:tr>
      <w:tr w:rsidR="00881A82" w:rsidRPr="00473486" w14:paraId="1DC9FF87" w14:textId="77777777">
        <w:tc>
          <w:tcPr>
            <w:tcW w:w="2835" w:type="dxa"/>
            <w:vAlign w:val="center"/>
          </w:tcPr>
          <w:p w14:paraId="6E9E7AA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50D5311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3D5AD8E2" w14:textId="77777777">
        <w:tc>
          <w:tcPr>
            <w:tcW w:w="2835" w:type="dxa"/>
            <w:vAlign w:val="center"/>
          </w:tcPr>
          <w:p w14:paraId="695C9749"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2024C30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571478EE" w14:textId="77777777">
        <w:tc>
          <w:tcPr>
            <w:tcW w:w="2835" w:type="dxa"/>
            <w:vAlign w:val="center"/>
          </w:tcPr>
          <w:p w14:paraId="613F1AC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4CF466B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广发证券股份有限公司</w:t>
            </w:r>
          </w:p>
        </w:tc>
      </w:tr>
    </w:tbl>
    <w:p w14:paraId="47701A2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32A72B6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52389F8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16177" w:rsidRPr="00473486" w14:paraId="5B6B9749" w14:textId="77777777" w:rsidTr="00A16177">
        <w:tc>
          <w:tcPr>
            <w:tcW w:w="3402" w:type="dxa"/>
            <w:vAlign w:val="center"/>
          </w:tcPr>
          <w:p w14:paraId="614BDB39"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3625FEDC"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6AAF2000"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10</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12</w:t>
            </w:r>
            <w:r w:rsidRPr="00473486">
              <w:rPr>
                <w:rFonts w:eastAsiaTheme="minorEastAsia"/>
                <w:color w:val="000000" w:themeColor="text1"/>
                <w:szCs w:val="21"/>
              </w:rPr>
              <w:t>月</w:t>
            </w:r>
            <w:r w:rsidRPr="00473486">
              <w:rPr>
                <w:rFonts w:eastAsiaTheme="minorEastAsia"/>
                <w:color w:val="000000" w:themeColor="text1"/>
                <w:szCs w:val="21"/>
              </w:rPr>
              <w:t>31</w:t>
            </w:r>
            <w:r w:rsidRPr="00473486">
              <w:rPr>
                <w:rFonts w:eastAsiaTheme="minorEastAsia"/>
                <w:color w:val="000000" w:themeColor="text1"/>
                <w:szCs w:val="21"/>
              </w:rPr>
              <w:t>日</w:t>
            </w:r>
            <w:r w:rsidRPr="00473486">
              <w:rPr>
                <w:rFonts w:eastAsiaTheme="minorEastAsia"/>
                <w:color w:val="000000" w:themeColor="text1"/>
                <w:szCs w:val="21"/>
              </w:rPr>
              <w:t>)</w:t>
            </w:r>
          </w:p>
        </w:tc>
      </w:tr>
      <w:tr w:rsidR="00A16177" w:rsidRPr="00473486" w14:paraId="26D2B47D" w14:textId="77777777" w:rsidTr="00A16177">
        <w:tc>
          <w:tcPr>
            <w:tcW w:w="3402" w:type="dxa"/>
            <w:vAlign w:val="center"/>
          </w:tcPr>
          <w:p w14:paraId="4997ABF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5AAC80B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46,430,782.35</w:t>
            </w:r>
          </w:p>
        </w:tc>
      </w:tr>
      <w:tr w:rsidR="00A16177" w:rsidRPr="00473486" w14:paraId="7FDE9B04" w14:textId="77777777" w:rsidTr="00A16177">
        <w:tc>
          <w:tcPr>
            <w:tcW w:w="3402" w:type="dxa"/>
            <w:vAlign w:val="center"/>
          </w:tcPr>
          <w:p w14:paraId="7C62E83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79745B47"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166,570,061.68</w:t>
            </w:r>
          </w:p>
        </w:tc>
      </w:tr>
      <w:tr w:rsidR="00A16177" w:rsidRPr="00473486" w14:paraId="1C6FFB76" w14:textId="77777777" w:rsidTr="00A16177">
        <w:tc>
          <w:tcPr>
            <w:tcW w:w="3402" w:type="dxa"/>
            <w:vAlign w:val="center"/>
          </w:tcPr>
          <w:p w14:paraId="19EDDBC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5514DD0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0.0513</w:t>
            </w:r>
          </w:p>
        </w:tc>
      </w:tr>
      <w:tr w:rsidR="00A16177" w:rsidRPr="00473486" w14:paraId="41939BFF" w14:textId="77777777" w:rsidTr="00A16177">
        <w:tc>
          <w:tcPr>
            <w:tcW w:w="3402" w:type="dxa"/>
            <w:vAlign w:val="center"/>
          </w:tcPr>
          <w:p w14:paraId="0F0E8DE6"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3C667497"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5,983,307,058.89</w:t>
            </w:r>
          </w:p>
        </w:tc>
      </w:tr>
      <w:tr w:rsidR="00A16177" w:rsidRPr="00473486" w14:paraId="20051DC8" w14:textId="77777777" w:rsidTr="00A16177">
        <w:trPr>
          <w:trHeight w:val="158"/>
        </w:trPr>
        <w:tc>
          <w:tcPr>
            <w:tcW w:w="3402" w:type="dxa"/>
            <w:vAlign w:val="center"/>
          </w:tcPr>
          <w:p w14:paraId="56D468F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2DCCAC92"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1.2822</w:t>
            </w:r>
          </w:p>
        </w:tc>
      </w:tr>
    </w:tbl>
    <w:p w14:paraId="7F5432BB" w14:textId="77777777" w:rsidR="00B86F3D" w:rsidRDefault="00A1617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C2B2F2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FBD2237"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5D68E8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6326459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24B93C0C" w14:textId="77777777">
        <w:tc>
          <w:tcPr>
            <w:tcW w:w="1395" w:type="dxa"/>
            <w:vAlign w:val="center"/>
          </w:tcPr>
          <w:p w14:paraId="4E48209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4018562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00AD8FE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1D75545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3930C6B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1F4492F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24C7EC1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B86F3D" w14:paraId="36D9623E" w14:textId="77777777">
        <w:tc>
          <w:tcPr>
            <w:tcW w:w="1395" w:type="dxa"/>
            <w:vAlign w:val="center"/>
          </w:tcPr>
          <w:p w14:paraId="71415E57" w14:textId="77777777" w:rsidR="00B86F3D" w:rsidRDefault="00A16177">
            <w:pPr>
              <w:jc w:val="left"/>
            </w:pPr>
            <w:r>
              <w:rPr>
                <w:rFonts w:eastAsiaTheme="minorEastAsia"/>
                <w:color w:val="000000" w:themeColor="text1"/>
                <w:szCs w:val="21"/>
              </w:rPr>
              <w:t>过去三个月</w:t>
            </w:r>
          </w:p>
        </w:tc>
        <w:tc>
          <w:tcPr>
            <w:tcW w:w="1092" w:type="dxa"/>
            <w:vAlign w:val="center"/>
          </w:tcPr>
          <w:p w14:paraId="73CD2278" w14:textId="77777777" w:rsidR="00B86F3D" w:rsidRDefault="00A16177">
            <w:pPr>
              <w:jc w:val="center"/>
            </w:pPr>
            <w:r>
              <w:rPr>
                <w:rFonts w:eastAsiaTheme="minorEastAsia"/>
                <w:color w:val="000000" w:themeColor="text1"/>
                <w:szCs w:val="21"/>
              </w:rPr>
              <w:t>3.14%</w:t>
            </w:r>
          </w:p>
        </w:tc>
        <w:tc>
          <w:tcPr>
            <w:tcW w:w="1161" w:type="dxa"/>
            <w:vAlign w:val="center"/>
          </w:tcPr>
          <w:p w14:paraId="1FB040F8" w14:textId="77777777" w:rsidR="00B86F3D" w:rsidRDefault="00A16177">
            <w:pPr>
              <w:jc w:val="center"/>
            </w:pPr>
            <w:r>
              <w:rPr>
                <w:rFonts w:eastAsiaTheme="minorEastAsia"/>
                <w:color w:val="000000" w:themeColor="text1"/>
                <w:szCs w:val="21"/>
              </w:rPr>
              <w:t>1.26%</w:t>
            </w:r>
          </w:p>
        </w:tc>
        <w:tc>
          <w:tcPr>
            <w:tcW w:w="1181" w:type="dxa"/>
            <w:vAlign w:val="center"/>
          </w:tcPr>
          <w:p w14:paraId="47B928CF" w14:textId="77777777" w:rsidR="00B86F3D" w:rsidRDefault="00A16177">
            <w:pPr>
              <w:jc w:val="center"/>
            </w:pPr>
            <w:r>
              <w:rPr>
                <w:rFonts w:eastAsiaTheme="minorEastAsia"/>
                <w:color w:val="000000" w:themeColor="text1"/>
                <w:szCs w:val="21"/>
              </w:rPr>
              <w:t>4.14%</w:t>
            </w:r>
          </w:p>
        </w:tc>
        <w:tc>
          <w:tcPr>
            <w:tcW w:w="1188" w:type="dxa"/>
            <w:vAlign w:val="center"/>
          </w:tcPr>
          <w:p w14:paraId="255F6850" w14:textId="77777777" w:rsidR="00B86F3D" w:rsidRDefault="00A16177">
            <w:pPr>
              <w:jc w:val="center"/>
            </w:pPr>
            <w:r>
              <w:rPr>
                <w:rFonts w:eastAsiaTheme="minorEastAsia"/>
                <w:color w:val="000000" w:themeColor="text1"/>
                <w:szCs w:val="21"/>
              </w:rPr>
              <w:t>1.22%</w:t>
            </w:r>
          </w:p>
        </w:tc>
        <w:tc>
          <w:tcPr>
            <w:tcW w:w="1199" w:type="dxa"/>
            <w:vAlign w:val="center"/>
          </w:tcPr>
          <w:p w14:paraId="58319A1B" w14:textId="77777777" w:rsidR="00B86F3D" w:rsidRDefault="00A16177">
            <w:pPr>
              <w:jc w:val="center"/>
            </w:pPr>
            <w:r>
              <w:rPr>
                <w:rFonts w:eastAsiaTheme="minorEastAsia"/>
                <w:color w:val="000000" w:themeColor="text1"/>
                <w:szCs w:val="21"/>
              </w:rPr>
              <w:t>-1.00%</w:t>
            </w:r>
          </w:p>
        </w:tc>
        <w:tc>
          <w:tcPr>
            <w:tcW w:w="1204" w:type="dxa"/>
            <w:vAlign w:val="center"/>
          </w:tcPr>
          <w:p w14:paraId="01F1DDDF" w14:textId="77777777" w:rsidR="00B86F3D" w:rsidRDefault="00A16177">
            <w:pPr>
              <w:jc w:val="center"/>
            </w:pPr>
            <w:r>
              <w:rPr>
                <w:rFonts w:eastAsiaTheme="minorEastAsia"/>
                <w:color w:val="000000" w:themeColor="text1"/>
                <w:szCs w:val="21"/>
              </w:rPr>
              <w:t>0.04%</w:t>
            </w:r>
          </w:p>
        </w:tc>
      </w:tr>
      <w:tr w:rsidR="00B86F3D" w14:paraId="6A06EB9B" w14:textId="77777777">
        <w:tc>
          <w:tcPr>
            <w:tcW w:w="1395" w:type="dxa"/>
            <w:vAlign w:val="center"/>
          </w:tcPr>
          <w:p w14:paraId="4C9AC123" w14:textId="77777777" w:rsidR="00B86F3D" w:rsidRDefault="00A16177">
            <w:pPr>
              <w:jc w:val="left"/>
            </w:pPr>
            <w:r>
              <w:rPr>
                <w:rFonts w:eastAsiaTheme="minorEastAsia"/>
                <w:color w:val="000000" w:themeColor="text1"/>
                <w:szCs w:val="21"/>
              </w:rPr>
              <w:t>过去六个月</w:t>
            </w:r>
          </w:p>
        </w:tc>
        <w:tc>
          <w:tcPr>
            <w:tcW w:w="1092" w:type="dxa"/>
            <w:vAlign w:val="center"/>
          </w:tcPr>
          <w:p w14:paraId="67F039AC" w14:textId="77777777" w:rsidR="00B86F3D" w:rsidRDefault="00A16177">
            <w:pPr>
              <w:jc w:val="center"/>
            </w:pPr>
            <w:r>
              <w:rPr>
                <w:rFonts w:eastAsiaTheme="minorEastAsia"/>
                <w:color w:val="000000" w:themeColor="text1"/>
                <w:szCs w:val="21"/>
              </w:rPr>
              <w:t>12.45%</w:t>
            </w:r>
          </w:p>
        </w:tc>
        <w:tc>
          <w:tcPr>
            <w:tcW w:w="1161" w:type="dxa"/>
            <w:vAlign w:val="center"/>
          </w:tcPr>
          <w:p w14:paraId="05E17326" w14:textId="77777777" w:rsidR="00B86F3D" w:rsidRDefault="00A16177">
            <w:pPr>
              <w:jc w:val="center"/>
            </w:pPr>
            <w:r>
              <w:rPr>
                <w:rFonts w:eastAsiaTheme="minorEastAsia"/>
                <w:color w:val="000000" w:themeColor="text1"/>
                <w:szCs w:val="21"/>
              </w:rPr>
              <w:t>1.14%</w:t>
            </w:r>
          </w:p>
        </w:tc>
        <w:tc>
          <w:tcPr>
            <w:tcW w:w="1181" w:type="dxa"/>
            <w:vAlign w:val="center"/>
          </w:tcPr>
          <w:p w14:paraId="350B2F5A" w14:textId="77777777" w:rsidR="00B86F3D" w:rsidRDefault="00A16177">
            <w:pPr>
              <w:jc w:val="center"/>
            </w:pPr>
            <w:r>
              <w:rPr>
                <w:rFonts w:eastAsiaTheme="minorEastAsia"/>
                <w:color w:val="000000" w:themeColor="text1"/>
                <w:szCs w:val="21"/>
              </w:rPr>
              <w:t>10.42%</w:t>
            </w:r>
          </w:p>
        </w:tc>
        <w:tc>
          <w:tcPr>
            <w:tcW w:w="1188" w:type="dxa"/>
            <w:vAlign w:val="center"/>
          </w:tcPr>
          <w:p w14:paraId="09247288" w14:textId="77777777" w:rsidR="00B86F3D" w:rsidRDefault="00A16177">
            <w:pPr>
              <w:jc w:val="center"/>
            </w:pPr>
            <w:r>
              <w:rPr>
                <w:rFonts w:eastAsiaTheme="minorEastAsia"/>
                <w:color w:val="000000" w:themeColor="text1"/>
                <w:szCs w:val="21"/>
              </w:rPr>
              <w:t>1.14%</w:t>
            </w:r>
          </w:p>
        </w:tc>
        <w:tc>
          <w:tcPr>
            <w:tcW w:w="1199" w:type="dxa"/>
            <w:vAlign w:val="center"/>
          </w:tcPr>
          <w:p w14:paraId="564A6EEC" w14:textId="77777777" w:rsidR="00B86F3D" w:rsidRDefault="00A16177">
            <w:pPr>
              <w:jc w:val="center"/>
            </w:pPr>
            <w:r>
              <w:rPr>
                <w:rFonts w:eastAsiaTheme="minorEastAsia"/>
                <w:color w:val="000000" w:themeColor="text1"/>
                <w:szCs w:val="21"/>
              </w:rPr>
              <w:t>2.03%</w:t>
            </w:r>
          </w:p>
        </w:tc>
        <w:tc>
          <w:tcPr>
            <w:tcW w:w="1204" w:type="dxa"/>
            <w:vAlign w:val="center"/>
          </w:tcPr>
          <w:p w14:paraId="008E3153" w14:textId="77777777" w:rsidR="00B86F3D" w:rsidRDefault="00A16177">
            <w:pPr>
              <w:jc w:val="center"/>
            </w:pPr>
            <w:r>
              <w:rPr>
                <w:rFonts w:eastAsiaTheme="minorEastAsia"/>
                <w:color w:val="000000" w:themeColor="text1"/>
                <w:szCs w:val="21"/>
              </w:rPr>
              <w:t>0.00%</w:t>
            </w:r>
          </w:p>
        </w:tc>
      </w:tr>
      <w:tr w:rsidR="00B86F3D" w14:paraId="4D7FA4DB" w14:textId="77777777">
        <w:tc>
          <w:tcPr>
            <w:tcW w:w="1395" w:type="dxa"/>
            <w:vAlign w:val="center"/>
          </w:tcPr>
          <w:p w14:paraId="26898AD4" w14:textId="77777777" w:rsidR="00B86F3D" w:rsidRDefault="00A16177">
            <w:pPr>
              <w:jc w:val="left"/>
            </w:pPr>
            <w:r>
              <w:rPr>
                <w:rFonts w:eastAsiaTheme="minorEastAsia"/>
                <w:color w:val="000000" w:themeColor="text1"/>
                <w:szCs w:val="21"/>
              </w:rPr>
              <w:t>过去一年</w:t>
            </w:r>
          </w:p>
        </w:tc>
        <w:tc>
          <w:tcPr>
            <w:tcW w:w="1092" w:type="dxa"/>
            <w:vAlign w:val="center"/>
          </w:tcPr>
          <w:p w14:paraId="059FAD14" w14:textId="77777777" w:rsidR="00B86F3D" w:rsidRDefault="00A16177">
            <w:pPr>
              <w:jc w:val="center"/>
            </w:pPr>
            <w:r>
              <w:rPr>
                <w:rFonts w:eastAsiaTheme="minorEastAsia"/>
                <w:color w:val="000000" w:themeColor="text1"/>
                <w:szCs w:val="21"/>
              </w:rPr>
              <w:t>25.24%</w:t>
            </w:r>
          </w:p>
        </w:tc>
        <w:tc>
          <w:tcPr>
            <w:tcW w:w="1161" w:type="dxa"/>
            <w:vAlign w:val="center"/>
          </w:tcPr>
          <w:p w14:paraId="59BF855F" w14:textId="77777777" w:rsidR="00B86F3D" w:rsidRDefault="00A16177">
            <w:pPr>
              <w:jc w:val="center"/>
            </w:pPr>
            <w:r>
              <w:rPr>
                <w:rFonts w:eastAsiaTheme="minorEastAsia"/>
                <w:color w:val="000000" w:themeColor="text1"/>
                <w:szCs w:val="21"/>
              </w:rPr>
              <w:t>1.12%</w:t>
            </w:r>
          </w:p>
        </w:tc>
        <w:tc>
          <w:tcPr>
            <w:tcW w:w="1181" w:type="dxa"/>
            <w:vAlign w:val="center"/>
          </w:tcPr>
          <w:p w14:paraId="236C74B1" w14:textId="77777777" w:rsidR="00B86F3D" w:rsidRDefault="00A16177">
            <w:pPr>
              <w:jc w:val="center"/>
            </w:pPr>
            <w:r>
              <w:rPr>
                <w:rFonts w:eastAsiaTheme="minorEastAsia"/>
                <w:color w:val="000000" w:themeColor="text1"/>
                <w:szCs w:val="21"/>
              </w:rPr>
              <w:t>24.81%</w:t>
            </w:r>
          </w:p>
        </w:tc>
        <w:tc>
          <w:tcPr>
            <w:tcW w:w="1188" w:type="dxa"/>
            <w:vAlign w:val="center"/>
          </w:tcPr>
          <w:p w14:paraId="12C5625A" w14:textId="77777777" w:rsidR="00B86F3D" w:rsidRDefault="00A16177">
            <w:pPr>
              <w:jc w:val="center"/>
            </w:pPr>
            <w:r>
              <w:rPr>
                <w:rFonts w:eastAsiaTheme="minorEastAsia"/>
                <w:color w:val="000000" w:themeColor="text1"/>
                <w:szCs w:val="21"/>
              </w:rPr>
              <w:t>1.13%</w:t>
            </w:r>
          </w:p>
        </w:tc>
        <w:tc>
          <w:tcPr>
            <w:tcW w:w="1199" w:type="dxa"/>
            <w:vAlign w:val="center"/>
          </w:tcPr>
          <w:p w14:paraId="395AC514" w14:textId="77777777" w:rsidR="00B86F3D" w:rsidRDefault="00A16177">
            <w:pPr>
              <w:jc w:val="center"/>
            </w:pPr>
            <w:r>
              <w:rPr>
                <w:rFonts w:eastAsiaTheme="minorEastAsia"/>
                <w:color w:val="000000" w:themeColor="text1"/>
                <w:szCs w:val="21"/>
              </w:rPr>
              <w:t>0.43%</w:t>
            </w:r>
          </w:p>
        </w:tc>
        <w:tc>
          <w:tcPr>
            <w:tcW w:w="1204" w:type="dxa"/>
            <w:vAlign w:val="center"/>
          </w:tcPr>
          <w:p w14:paraId="6A475473" w14:textId="77777777" w:rsidR="00B86F3D" w:rsidRDefault="00A16177">
            <w:pPr>
              <w:jc w:val="center"/>
            </w:pPr>
            <w:r>
              <w:rPr>
                <w:rFonts w:eastAsiaTheme="minorEastAsia"/>
                <w:color w:val="000000" w:themeColor="text1"/>
                <w:szCs w:val="21"/>
              </w:rPr>
              <w:t>-0.01%</w:t>
            </w:r>
          </w:p>
        </w:tc>
      </w:tr>
      <w:tr w:rsidR="00B86F3D" w14:paraId="16D71090" w14:textId="77777777">
        <w:tc>
          <w:tcPr>
            <w:tcW w:w="1395" w:type="dxa"/>
            <w:vAlign w:val="center"/>
          </w:tcPr>
          <w:p w14:paraId="34E440AC" w14:textId="77777777" w:rsidR="00B86F3D" w:rsidRDefault="00A16177">
            <w:pPr>
              <w:jc w:val="left"/>
            </w:pPr>
            <w:r>
              <w:rPr>
                <w:rFonts w:eastAsiaTheme="minorEastAsia"/>
                <w:color w:val="000000" w:themeColor="text1"/>
                <w:szCs w:val="21"/>
              </w:rPr>
              <w:t>过去三年</w:t>
            </w:r>
          </w:p>
        </w:tc>
        <w:tc>
          <w:tcPr>
            <w:tcW w:w="1092" w:type="dxa"/>
            <w:vAlign w:val="center"/>
          </w:tcPr>
          <w:p w14:paraId="3391DB87" w14:textId="77777777" w:rsidR="00B86F3D" w:rsidRDefault="00A16177">
            <w:pPr>
              <w:jc w:val="center"/>
            </w:pPr>
            <w:r>
              <w:rPr>
                <w:rFonts w:eastAsiaTheme="minorEastAsia"/>
                <w:color w:val="000000" w:themeColor="text1"/>
                <w:szCs w:val="21"/>
              </w:rPr>
              <w:t>-</w:t>
            </w:r>
          </w:p>
        </w:tc>
        <w:tc>
          <w:tcPr>
            <w:tcW w:w="1161" w:type="dxa"/>
            <w:vAlign w:val="center"/>
          </w:tcPr>
          <w:p w14:paraId="7D9FAA19" w14:textId="77777777" w:rsidR="00B86F3D" w:rsidRDefault="00A16177">
            <w:pPr>
              <w:jc w:val="center"/>
            </w:pPr>
            <w:r>
              <w:rPr>
                <w:rFonts w:eastAsiaTheme="minorEastAsia"/>
                <w:color w:val="000000" w:themeColor="text1"/>
                <w:szCs w:val="21"/>
              </w:rPr>
              <w:t>-</w:t>
            </w:r>
          </w:p>
        </w:tc>
        <w:tc>
          <w:tcPr>
            <w:tcW w:w="1181" w:type="dxa"/>
            <w:vAlign w:val="center"/>
          </w:tcPr>
          <w:p w14:paraId="714D7C09" w14:textId="77777777" w:rsidR="00B86F3D" w:rsidRDefault="00A16177">
            <w:pPr>
              <w:jc w:val="center"/>
            </w:pPr>
            <w:r>
              <w:rPr>
                <w:rFonts w:eastAsiaTheme="minorEastAsia"/>
                <w:color w:val="000000" w:themeColor="text1"/>
                <w:szCs w:val="21"/>
              </w:rPr>
              <w:t>-</w:t>
            </w:r>
          </w:p>
        </w:tc>
        <w:tc>
          <w:tcPr>
            <w:tcW w:w="1188" w:type="dxa"/>
            <w:vAlign w:val="center"/>
          </w:tcPr>
          <w:p w14:paraId="449C6852" w14:textId="77777777" w:rsidR="00B86F3D" w:rsidRDefault="00A16177">
            <w:pPr>
              <w:jc w:val="center"/>
            </w:pPr>
            <w:r>
              <w:rPr>
                <w:rFonts w:eastAsiaTheme="minorEastAsia"/>
                <w:color w:val="000000" w:themeColor="text1"/>
                <w:szCs w:val="21"/>
              </w:rPr>
              <w:t>-</w:t>
            </w:r>
          </w:p>
        </w:tc>
        <w:tc>
          <w:tcPr>
            <w:tcW w:w="1199" w:type="dxa"/>
            <w:vAlign w:val="center"/>
          </w:tcPr>
          <w:p w14:paraId="3F5ADFCA" w14:textId="77777777" w:rsidR="00B86F3D" w:rsidRDefault="00A16177">
            <w:pPr>
              <w:jc w:val="center"/>
            </w:pPr>
            <w:r>
              <w:rPr>
                <w:rFonts w:eastAsiaTheme="minorEastAsia"/>
                <w:color w:val="000000" w:themeColor="text1"/>
                <w:szCs w:val="21"/>
              </w:rPr>
              <w:t>-</w:t>
            </w:r>
          </w:p>
        </w:tc>
        <w:tc>
          <w:tcPr>
            <w:tcW w:w="1204" w:type="dxa"/>
            <w:vAlign w:val="center"/>
          </w:tcPr>
          <w:p w14:paraId="1C482599" w14:textId="77777777" w:rsidR="00B86F3D" w:rsidRDefault="00A16177">
            <w:pPr>
              <w:jc w:val="center"/>
            </w:pPr>
            <w:r>
              <w:rPr>
                <w:rFonts w:eastAsiaTheme="minorEastAsia"/>
                <w:color w:val="000000" w:themeColor="text1"/>
                <w:szCs w:val="21"/>
              </w:rPr>
              <w:t>-</w:t>
            </w:r>
          </w:p>
        </w:tc>
      </w:tr>
      <w:tr w:rsidR="00B86F3D" w14:paraId="500BA7AF" w14:textId="77777777">
        <w:tc>
          <w:tcPr>
            <w:tcW w:w="1395" w:type="dxa"/>
            <w:vAlign w:val="center"/>
          </w:tcPr>
          <w:p w14:paraId="53A31DB5" w14:textId="77777777" w:rsidR="00B86F3D" w:rsidRDefault="00A16177">
            <w:pPr>
              <w:jc w:val="left"/>
            </w:pPr>
            <w:r>
              <w:rPr>
                <w:rFonts w:eastAsiaTheme="minorEastAsia"/>
                <w:color w:val="000000" w:themeColor="text1"/>
                <w:szCs w:val="21"/>
              </w:rPr>
              <w:t>过去五年</w:t>
            </w:r>
          </w:p>
        </w:tc>
        <w:tc>
          <w:tcPr>
            <w:tcW w:w="1092" w:type="dxa"/>
            <w:vAlign w:val="center"/>
          </w:tcPr>
          <w:p w14:paraId="33B787D7" w14:textId="77777777" w:rsidR="00B86F3D" w:rsidRDefault="00A16177">
            <w:pPr>
              <w:jc w:val="center"/>
            </w:pPr>
            <w:r>
              <w:rPr>
                <w:rFonts w:eastAsiaTheme="minorEastAsia"/>
                <w:color w:val="000000" w:themeColor="text1"/>
                <w:szCs w:val="21"/>
              </w:rPr>
              <w:t>-</w:t>
            </w:r>
          </w:p>
        </w:tc>
        <w:tc>
          <w:tcPr>
            <w:tcW w:w="1161" w:type="dxa"/>
            <w:vAlign w:val="center"/>
          </w:tcPr>
          <w:p w14:paraId="22E309D7" w14:textId="77777777" w:rsidR="00B86F3D" w:rsidRDefault="00A16177">
            <w:pPr>
              <w:jc w:val="center"/>
            </w:pPr>
            <w:r>
              <w:rPr>
                <w:rFonts w:eastAsiaTheme="minorEastAsia"/>
                <w:color w:val="000000" w:themeColor="text1"/>
                <w:szCs w:val="21"/>
              </w:rPr>
              <w:t>-</w:t>
            </w:r>
          </w:p>
        </w:tc>
        <w:tc>
          <w:tcPr>
            <w:tcW w:w="1181" w:type="dxa"/>
            <w:vAlign w:val="center"/>
          </w:tcPr>
          <w:p w14:paraId="7AFD4290" w14:textId="77777777" w:rsidR="00B86F3D" w:rsidRDefault="00A16177">
            <w:pPr>
              <w:jc w:val="center"/>
            </w:pPr>
            <w:r>
              <w:rPr>
                <w:rFonts w:eastAsiaTheme="minorEastAsia"/>
                <w:color w:val="000000" w:themeColor="text1"/>
                <w:szCs w:val="21"/>
              </w:rPr>
              <w:t>-</w:t>
            </w:r>
          </w:p>
        </w:tc>
        <w:tc>
          <w:tcPr>
            <w:tcW w:w="1188" w:type="dxa"/>
            <w:vAlign w:val="center"/>
          </w:tcPr>
          <w:p w14:paraId="60EF76C3" w14:textId="77777777" w:rsidR="00B86F3D" w:rsidRDefault="00A16177">
            <w:pPr>
              <w:jc w:val="center"/>
            </w:pPr>
            <w:r>
              <w:rPr>
                <w:rFonts w:eastAsiaTheme="minorEastAsia"/>
                <w:color w:val="000000" w:themeColor="text1"/>
                <w:szCs w:val="21"/>
              </w:rPr>
              <w:t>-</w:t>
            </w:r>
          </w:p>
        </w:tc>
        <w:tc>
          <w:tcPr>
            <w:tcW w:w="1199" w:type="dxa"/>
            <w:vAlign w:val="center"/>
          </w:tcPr>
          <w:p w14:paraId="5DABF8C5" w14:textId="77777777" w:rsidR="00B86F3D" w:rsidRDefault="00A16177">
            <w:pPr>
              <w:jc w:val="center"/>
            </w:pPr>
            <w:r>
              <w:rPr>
                <w:rFonts w:eastAsiaTheme="minorEastAsia"/>
                <w:color w:val="000000" w:themeColor="text1"/>
                <w:szCs w:val="21"/>
              </w:rPr>
              <w:t>-</w:t>
            </w:r>
          </w:p>
        </w:tc>
        <w:tc>
          <w:tcPr>
            <w:tcW w:w="1204" w:type="dxa"/>
            <w:vAlign w:val="center"/>
          </w:tcPr>
          <w:p w14:paraId="297386EB" w14:textId="77777777" w:rsidR="00B86F3D" w:rsidRDefault="00A16177">
            <w:pPr>
              <w:jc w:val="center"/>
            </w:pPr>
            <w:r>
              <w:rPr>
                <w:rFonts w:eastAsiaTheme="minorEastAsia"/>
                <w:color w:val="000000" w:themeColor="text1"/>
                <w:szCs w:val="21"/>
              </w:rPr>
              <w:t>-</w:t>
            </w:r>
          </w:p>
        </w:tc>
      </w:tr>
      <w:tr w:rsidR="00B86F3D" w14:paraId="509A98D0" w14:textId="77777777">
        <w:tc>
          <w:tcPr>
            <w:tcW w:w="1395" w:type="dxa"/>
            <w:vAlign w:val="center"/>
          </w:tcPr>
          <w:p w14:paraId="6A2CB4E5" w14:textId="77777777" w:rsidR="00B86F3D" w:rsidRDefault="00A16177">
            <w:pPr>
              <w:jc w:val="left"/>
            </w:pPr>
            <w:r>
              <w:rPr>
                <w:rFonts w:eastAsiaTheme="minorEastAsia"/>
                <w:color w:val="000000" w:themeColor="text1"/>
                <w:szCs w:val="21"/>
              </w:rPr>
              <w:t>自基金合同生效起至今</w:t>
            </w:r>
          </w:p>
        </w:tc>
        <w:tc>
          <w:tcPr>
            <w:tcW w:w="1092" w:type="dxa"/>
            <w:vAlign w:val="center"/>
          </w:tcPr>
          <w:p w14:paraId="5024AA9A" w14:textId="77777777" w:rsidR="00B86F3D" w:rsidRDefault="00A16177">
            <w:pPr>
              <w:jc w:val="center"/>
            </w:pPr>
            <w:r>
              <w:rPr>
                <w:rFonts w:eastAsiaTheme="minorEastAsia"/>
                <w:color w:val="000000" w:themeColor="text1"/>
                <w:szCs w:val="21"/>
              </w:rPr>
              <w:t>28.22%</w:t>
            </w:r>
          </w:p>
        </w:tc>
        <w:tc>
          <w:tcPr>
            <w:tcW w:w="1161" w:type="dxa"/>
            <w:vAlign w:val="center"/>
          </w:tcPr>
          <w:p w14:paraId="29B1C7FD" w14:textId="77777777" w:rsidR="00B86F3D" w:rsidRDefault="00A16177">
            <w:pPr>
              <w:jc w:val="center"/>
            </w:pPr>
            <w:r>
              <w:rPr>
                <w:rFonts w:eastAsiaTheme="minorEastAsia"/>
                <w:color w:val="000000" w:themeColor="text1"/>
                <w:szCs w:val="21"/>
              </w:rPr>
              <w:t>1.08%</w:t>
            </w:r>
          </w:p>
        </w:tc>
        <w:tc>
          <w:tcPr>
            <w:tcW w:w="1181" w:type="dxa"/>
            <w:vAlign w:val="center"/>
          </w:tcPr>
          <w:p w14:paraId="2451F9EC" w14:textId="77777777" w:rsidR="00B86F3D" w:rsidRDefault="00A16177">
            <w:pPr>
              <w:jc w:val="center"/>
            </w:pPr>
            <w:r>
              <w:rPr>
                <w:rFonts w:eastAsiaTheme="minorEastAsia"/>
                <w:color w:val="000000" w:themeColor="text1"/>
                <w:szCs w:val="21"/>
              </w:rPr>
              <w:t>25.67%</w:t>
            </w:r>
          </w:p>
        </w:tc>
        <w:tc>
          <w:tcPr>
            <w:tcW w:w="1188" w:type="dxa"/>
            <w:vAlign w:val="center"/>
          </w:tcPr>
          <w:p w14:paraId="77ED915F" w14:textId="77777777" w:rsidR="00B86F3D" w:rsidRDefault="00A16177">
            <w:pPr>
              <w:jc w:val="center"/>
            </w:pPr>
            <w:r>
              <w:rPr>
                <w:rFonts w:eastAsiaTheme="minorEastAsia"/>
                <w:color w:val="000000" w:themeColor="text1"/>
                <w:szCs w:val="21"/>
              </w:rPr>
              <w:t>1.10%</w:t>
            </w:r>
          </w:p>
        </w:tc>
        <w:tc>
          <w:tcPr>
            <w:tcW w:w="1199" w:type="dxa"/>
            <w:vAlign w:val="center"/>
          </w:tcPr>
          <w:p w14:paraId="6FEEE404" w14:textId="77777777" w:rsidR="00B86F3D" w:rsidRDefault="00A16177">
            <w:pPr>
              <w:jc w:val="center"/>
            </w:pPr>
            <w:r>
              <w:rPr>
                <w:rFonts w:eastAsiaTheme="minorEastAsia"/>
                <w:color w:val="000000" w:themeColor="text1"/>
                <w:szCs w:val="21"/>
              </w:rPr>
              <w:t>2.55%</w:t>
            </w:r>
          </w:p>
        </w:tc>
        <w:tc>
          <w:tcPr>
            <w:tcW w:w="1204" w:type="dxa"/>
            <w:vAlign w:val="center"/>
          </w:tcPr>
          <w:p w14:paraId="3AAE6D0F" w14:textId="77777777" w:rsidR="00B86F3D" w:rsidRDefault="00A16177">
            <w:pPr>
              <w:jc w:val="center"/>
            </w:pPr>
            <w:r>
              <w:rPr>
                <w:rFonts w:eastAsiaTheme="minorEastAsia"/>
                <w:color w:val="000000" w:themeColor="text1"/>
                <w:szCs w:val="21"/>
              </w:rPr>
              <w:t>-0.02%</w:t>
            </w:r>
          </w:p>
        </w:tc>
      </w:tr>
    </w:tbl>
    <w:p w14:paraId="55E53E8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69C8826"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4E20021B"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摩根标普港股通低波红利交易型开放式指数证券投资基金</w:t>
      </w:r>
    </w:p>
    <w:p w14:paraId="3CFD99A7"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67FC7F52"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12</w:t>
      </w:r>
      <w:r w:rsidRPr="00473486">
        <w:rPr>
          <w:rFonts w:eastAsiaTheme="minorEastAsia"/>
          <w:color w:val="000000" w:themeColor="text1"/>
          <w:kern w:val="0"/>
          <w:szCs w:val="21"/>
        </w:rPr>
        <w:t>月</w:t>
      </w:r>
      <w:r w:rsidRPr="00473486">
        <w:rPr>
          <w:rFonts w:eastAsiaTheme="minorEastAsia"/>
          <w:color w:val="000000" w:themeColor="text1"/>
          <w:kern w:val="0"/>
          <w:szCs w:val="21"/>
        </w:rPr>
        <w:t>31</w:t>
      </w:r>
      <w:r w:rsidRPr="00473486">
        <w:rPr>
          <w:rFonts w:eastAsiaTheme="minorEastAsia"/>
          <w:color w:val="000000" w:themeColor="text1"/>
          <w:kern w:val="0"/>
          <w:szCs w:val="21"/>
        </w:rPr>
        <w:t>日）</w:t>
      </w:r>
    </w:p>
    <w:p w14:paraId="5CAD5CF5"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69010277" wp14:editId="66C8835E">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01D3F9A0" w14:textId="77777777" w:rsidR="00B86F3D" w:rsidRDefault="00A1617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14:paraId="3C1C21B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14:paraId="1E45C12C"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75108A1A" w14:textId="77777777" w:rsidR="00881A82" w:rsidRPr="00473486" w:rsidRDefault="00881A82">
      <w:pPr>
        <w:tabs>
          <w:tab w:val="left" w:pos="1800"/>
        </w:tabs>
        <w:spacing w:line="288" w:lineRule="auto"/>
        <w:rPr>
          <w:rFonts w:eastAsiaTheme="minorEastAsia"/>
          <w:color w:val="000000" w:themeColor="text1"/>
          <w:szCs w:val="21"/>
        </w:rPr>
      </w:pPr>
    </w:p>
    <w:p w14:paraId="168EEE7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045F688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3689D204" w14:textId="77777777">
        <w:trPr>
          <w:cantSplit/>
          <w:trHeight w:val="292"/>
        </w:trPr>
        <w:tc>
          <w:tcPr>
            <w:tcW w:w="851" w:type="dxa"/>
            <w:vMerge w:val="restart"/>
            <w:vAlign w:val="center"/>
          </w:tcPr>
          <w:p w14:paraId="5B3900D1"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34E1379B"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F1EFB7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22A0F87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1469B678"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1E9122CF" w14:textId="77777777">
        <w:trPr>
          <w:cantSplit/>
        </w:trPr>
        <w:tc>
          <w:tcPr>
            <w:tcW w:w="851" w:type="dxa"/>
            <w:vMerge/>
            <w:vAlign w:val="center"/>
          </w:tcPr>
          <w:p w14:paraId="604AB4AC"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2D0226CB"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4696FA5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290E7EC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2C21467F"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139A3933" w14:textId="77777777" w:rsidR="00881A82" w:rsidRPr="00473486" w:rsidRDefault="00881A82">
            <w:pPr>
              <w:widowControl/>
              <w:spacing w:line="360" w:lineRule="auto"/>
              <w:jc w:val="left"/>
              <w:rPr>
                <w:rFonts w:eastAsiaTheme="minorEastAsia"/>
                <w:color w:val="000000" w:themeColor="text1"/>
                <w:kern w:val="0"/>
                <w:szCs w:val="21"/>
              </w:rPr>
            </w:pPr>
          </w:p>
        </w:tc>
      </w:tr>
      <w:tr w:rsidR="00B86F3D" w14:paraId="1E776E51" w14:textId="77777777">
        <w:tc>
          <w:tcPr>
            <w:tcW w:w="851" w:type="dxa"/>
            <w:vAlign w:val="center"/>
          </w:tcPr>
          <w:p w14:paraId="40F12B67" w14:textId="77777777" w:rsidR="00B86F3D" w:rsidRDefault="00A16177">
            <w:pPr>
              <w:jc w:val="center"/>
            </w:pPr>
            <w:r>
              <w:rPr>
                <w:rFonts w:eastAsiaTheme="minorEastAsia"/>
                <w:color w:val="000000" w:themeColor="text1"/>
                <w:szCs w:val="21"/>
              </w:rPr>
              <w:t>胡迪</w:t>
            </w:r>
          </w:p>
        </w:tc>
        <w:tc>
          <w:tcPr>
            <w:tcW w:w="850" w:type="dxa"/>
            <w:vAlign w:val="center"/>
          </w:tcPr>
          <w:p w14:paraId="7F1ADDD7" w14:textId="77777777" w:rsidR="00B86F3D" w:rsidRDefault="00A16177">
            <w:pPr>
              <w:jc w:val="center"/>
            </w:pPr>
            <w:r>
              <w:rPr>
                <w:rFonts w:eastAsiaTheme="minorEastAsia"/>
                <w:color w:val="000000" w:themeColor="text1"/>
                <w:szCs w:val="21"/>
              </w:rPr>
              <w:t>本基金基金经理、指数及量化投资部总监</w:t>
            </w:r>
          </w:p>
        </w:tc>
        <w:tc>
          <w:tcPr>
            <w:tcW w:w="1560" w:type="dxa"/>
            <w:vAlign w:val="center"/>
          </w:tcPr>
          <w:p w14:paraId="44BD6FA0" w14:textId="77777777" w:rsidR="00B86F3D" w:rsidRDefault="00A16177">
            <w:pPr>
              <w:jc w:val="center"/>
            </w:pPr>
            <w:r>
              <w:rPr>
                <w:rFonts w:eastAsiaTheme="minorEastAsia"/>
                <w:color w:val="000000" w:themeColor="text1"/>
                <w:szCs w:val="21"/>
              </w:rPr>
              <w:t>2023-11-23</w:t>
            </w:r>
          </w:p>
        </w:tc>
        <w:tc>
          <w:tcPr>
            <w:tcW w:w="1559" w:type="dxa"/>
            <w:vAlign w:val="center"/>
          </w:tcPr>
          <w:p w14:paraId="327023F8" w14:textId="77777777" w:rsidR="00B86F3D" w:rsidRDefault="00A16177">
            <w:pPr>
              <w:jc w:val="center"/>
            </w:pPr>
            <w:r>
              <w:rPr>
                <w:rFonts w:eastAsiaTheme="minorEastAsia"/>
                <w:color w:val="000000" w:themeColor="text1"/>
                <w:szCs w:val="21"/>
              </w:rPr>
              <w:t>-</w:t>
            </w:r>
          </w:p>
        </w:tc>
        <w:tc>
          <w:tcPr>
            <w:tcW w:w="1417" w:type="dxa"/>
            <w:vAlign w:val="center"/>
          </w:tcPr>
          <w:p w14:paraId="1320A894" w14:textId="77777777" w:rsidR="00B86F3D" w:rsidRDefault="00A16177">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14:paraId="66EFF42E" w14:textId="77777777" w:rsidR="00B86F3D" w:rsidRDefault="00A16177">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B86F3D" w14:paraId="1541D30D" w14:textId="77777777">
        <w:tc>
          <w:tcPr>
            <w:tcW w:w="851" w:type="dxa"/>
            <w:vAlign w:val="center"/>
          </w:tcPr>
          <w:p w14:paraId="66CFD897" w14:textId="77777777" w:rsidR="00B86F3D" w:rsidRDefault="00A16177">
            <w:pPr>
              <w:jc w:val="center"/>
            </w:pPr>
            <w:r>
              <w:rPr>
                <w:rFonts w:eastAsiaTheme="minorEastAsia"/>
                <w:color w:val="000000" w:themeColor="text1"/>
                <w:szCs w:val="21"/>
              </w:rPr>
              <w:t>何智豪</w:t>
            </w:r>
          </w:p>
        </w:tc>
        <w:tc>
          <w:tcPr>
            <w:tcW w:w="850" w:type="dxa"/>
            <w:vAlign w:val="center"/>
          </w:tcPr>
          <w:p w14:paraId="4EB4F76A" w14:textId="77777777" w:rsidR="00B86F3D" w:rsidRDefault="00A16177">
            <w:pPr>
              <w:jc w:val="center"/>
            </w:pPr>
            <w:r>
              <w:rPr>
                <w:rFonts w:eastAsiaTheme="minorEastAsia"/>
                <w:color w:val="000000" w:themeColor="text1"/>
                <w:szCs w:val="21"/>
              </w:rPr>
              <w:t>本基金基金经理</w:t>
            </w:r>
          </w:p>
        </w:tc>
        <w:tc>
          <w:tcPr>
            <w:tcW w:w="1560" w:type="dxa"/>
            <w:vAlign w:val="center"/>
          </w:tcPr>
          <w:p w14:paraId="0F848031" w14:textId="77777777" w:rsidR="00B86F3D" w:rsidRDefault="00A16177">
            <w:pPr>
              <w:jc w:val="center"/>
            </w:pPr>
            <w:r>
              <w:rPr>
                <w:rFonts w:eastAsiaTheme="minorEastAsia"/>
                <w:color w:val="000000" w:themeColor="text1"/>
                <w:szCs w:val="21"/>
              </w:rPr>
              <w:t>2023-11-23</w:t>
            </w:r>
          </w:p>
        </w:tc>
        <w:tc>
          <w:tcPr>
            <w:tcW w:w="1559" w:type="dxa"/>
            <w:vAlign w:val="center"/>
          </w:tcPr>
          <w:p w14:paraId="693693BE" w14:textId="77777777" w:rsidR="00B86F3D" w:rsidRDefault="00A16177">
            <w:pPr>
              <w:jc w:val="center"/>
            </w:pPr>
            <w:r>
              <w:rPr>
                <w:rFonts w:eastAsiaTheme="minorEastAsia"/>
                <w:color w:val="000000" w:themeColor="text1"/>
                <w:szCs w:val="21"/>
              </w:rPr>
              <w:t>-</w:t>
            </w:r>
          </w:p>
        </w:tc>
        <w:tc>
          <w:tcPr>
            <w:tcW w:w="1417" w:type="dxa"/>
            <w:vAlign w:val="center"/>
          </w:tcPr>
          <w:p w14:paraId="6DCEC5D9" w14:textId="77777777" w:rsidR="00B86F3D" w:rsidRDefault="00A16177">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30891044" w14:textId="77777777" w:rsidR="00B86F3D" w:rsidRDefault="00A16177">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月起加入摩根基金管理（中国）有限公司（原上投摩根基金管理有限公司），现任指数及量化投资部基金经理。</w:t>
            </w:r>
          </w:p>
        </w:tc>
      </w:tr>
    </w:tbl>
    <w:p w14:paraId="194A651A" w14:textId="77777777" w:rsidR="00B86F3D" w:rsidRDefault="00A1617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561565F1" w14:textId="77777777" w:rsidR="00B86F3D" w:rsidRDefault="00A1617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胡迪女士、何智豪先生为本基金首任基金经理，其任职日期指本基金基金合同生效之日。</w:t>
      </w:r>
      <w:r>
        <w:rPr>
          <w:rFonts w:eastAsiaTheme="minorEastAsia"/>
          <w:color w:val="000000" w:themeColor="text1"/>
          <w:szCs w:val="21"/>
        </w:rPr>
        <w:t xml:space="preserve"> </w:t>
      </w:r>
    </w:p>
    <w:p w14:paraId="0DF4C40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0211864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7559390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AEE406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1288A8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2B56326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4D98F50"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95BB260"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DD6DD3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6F0BC9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2C7F4572"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2997EB6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442F733D" w14:textId="77777777" w:rsidR="00881A82" w:rsidRPr="00473486" w:rsidRDefault="00881A82">
      <w:pPr>
        <w:spacing w:line="360" w:lineRule="auto"/>
        <w:ind w:firstLineChars="200" w:firstLine="480"/>
        <w:rPr>
          <w:rFonts w:eastAsiaTheme="minorEastAsia"/>
          <w:color w:val="000000" w:themeColor="text1"/>
          <w:sz w:val="24"/>
        </w:rPr>
      </w:pPr>
    </w:p>
    <w:p w14:paraId="6B64BF4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130BEC8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4B7CCA55"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四季度以来，港股市场呈现震荡态势。今年以来在国内经济延续弱复苏、地缘冲突频发的宏观背景下，资金风格更偏向防御，具备红利属性的资产占优。中国十年期国债收益率在</w:t>
      </w:r>
      <w:r>
        <w:rPr>
          <w:rFonts w:eastAsiaTheme="minorEastAsia"/>
          <w:color w:val="000000" w:themeColor="text1"/>
          <w:szCs w:val="21"/>
        </w:rPr>
        <w:t>12</w:t>
      </w:r>
      <w:r>
        <w:rPr>
          <w:rFonts w:eastAsiaTheme="minorEastAsia"/>
          <w:color w:val="000000" w:themeColor="text1"/>
          <w:szCs w:val="21"/>
        </w:rPr>
        <w:t>月一度下行突破</w:t>
      </w:r>
      <w:r>
        <w:rPr>
          <w:rFonts w:eastAsiaTheme="minorEastAsia"/>
          <w:color w:val="000000" w:themeColor="text1"/>
          <w:szCs w:val="21"/>
        </w:rPr>
        <w:t>1.7%</w:t>
      </w:r>
      <w:r>
        <w:rPr>
          <w:rFonts w:eastAsiaTheme="minorEastAsia"/>
          <w:color w:val="000000" w:themeColor="text1"/>
          <w:szCs w:val="21"/>
        </w:rPr>
        <w:t>关口，股息率大于长端无风险收益率的红利资产持续受到长久期资金的追捧。政策上，</w:t>
      </w:r>
      <w:r>
        <w:rPr>
          <w:rFonts w:eastAsiaTheme="minorEastAsia"/>
          <w:color w:val="000000" w:themeColor="text1"/>
          <w:szCs w:val="21"/>
        </w:rPr>
        <w:t>12</w:t>
      </w:r>
      <w:r>
        <w:rPr>
          <w:rFonts w:eastAsiaTheme="minorEastAsia"/>
          <w:color w:val="000000" w:themeColor="text1"/>
          <w:szCs w:val="21"/>
        </w:rPr>
        <w:t>月发布的《关于改进和加强中央企业控股上市公司市值管理工作的若干意见》对央国企提出了更高的股东回报的要求，该意见相比</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，对中央企业提出了更高的股东回报的要求。报告期内，本基金跟踪的标普港股通低波红利指数录得</w:t>
      </w:r>
      <w:r>
        <w:rPr>
          <w:rFonts w:eastAsiaTheme="minorEastAsia"/>
          <w:color w:val="000000" w:themeColor="text1"/>
          <w:szCs w:val="21"/>
        </w:rPr>
        <w:t>4.14%</w:t>
      </w:r>
      <w:r>
        <w:rPr>
          <w:rFonts w:eastAsiaTheme="minorEastAsia"/>
          <w:color w:val="000000" w:themeColor="text1"/>
          <w:szCs w:val="21"/>
        </w:rPr>
        <w:t>的涨幅，表现优于恒生指数的</w:t>
      </w:r>
      <w:r>
        <w:rPr>
          <w:rFonts w:eastAsiaTheme="minorEastAsia"/>
          <w:color w:val="000000" w:themeColor="text1"/>
          <w:szCs w:val="21"/>
        </w:rPr>
        <w:t>-5.08%</w:t>
      </w:r>
      <w:r>
        <w:rPr>
          <w:rFonts w:eastAsiaTheme="minorEastAsia"/>
          <w:color w:val="000000" w:themeColor="text1"/>
          <w:szCs w:val="21"/>
        </w:rPr>
        <w:t>。本基金采用被动投资的方法跟踪标的指数，争取跟踪误差保持在合理范围内。</w:t>
      </w:r>
    </w:p>
    <w:p w14:paraId="0D6B04E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在国内外不确定性扰动短期内难以消除的大背景下，对确定性的追求使得高胜率投资成为市场新共识。而盈利相对稳定、能够提供确定性分红回报的红利资产作为天然的高胜率资产，有望持续成为市场重点关注的底仓品种。利率下行环境下高股息驱动的红利投资逻辑并未发生改变，当前国内正处于</w:t>
      </w:r>
      <w:r w:rsidRPr="00473486">
        <w:rPr>
          <w:rFonts w:eastAsiaTheme="minorEastAsia"/>
          <w:color w:val="000000" w:themeColor="text1"/>
          <w:szCs w:val="21"/>
        </w:rPr>
        <w:t>“</w:t>
      </w:r>
      <w:r w:rsidRPr="00473486">
        <w:rPr>
          <w:rFonts w:eastAsiaTheme="minorEastAsia"/>
          <w:color w:val="000000" w:themeColor="text1"/>
          <w:szCs w:val="21"/>
        </w:rPr>
        <w:t>新旧动能转换</w:t>
      </w:r>
      <w:r w:rsidRPr="00473486">
        <w:rPr>
          <w:rFonts w:eastAsiaTheme="minorEastAsia"/>
          <w:color w:val="000000" w:themeColor="text1"/>
          <w:szCs w:val="21"/>
        </w:rPr>
        <w:t>”</w:t>
      </w:r>
      <w:r w:rsidRPr="00473486">
        <w:rPr>
          <w:rFonts w:eastAsiaTheme="minorEastAsia"/>
          <w:color w:val="000000" w:themeColor="text1"/>
          <w:szCs w:val="21"/>
        </w:rPr>
        <w:t>之下的降息周期，中国</w:t>
      </w:r>
      <w:r w:rsidRPr="00473486">
        <w:rPr>
          <w:rFonts w:eastAsiaTheme="minorEastAsia"/>
          <w:color w:val="000000" w:themeColor="text1"/>
          <w:szCs w:val="21"/>
        </w:rPr>
        <w:t>10</w:t>
      </w:r>
      <w:r w:rsidRPr="00473486">
        <w:rPr>
          <w:rFonts w:eastAsiaTheme="minorEastAsia"/>
          <w:color w:val="000000" w:themeColor="text1"/>
          <w:szCs w:val="21"/>
        </w:rPr>
        <w:t>年期国债收益率持续回落至低位。国内低利率和社会广义投资回报率中枢下行的背景下，高股息资产的相对吸引力上升，伴随国内资金长线化，险资、养老金对港股红利的配置力度有望中枢抬升。政策层面，从</w:t>
      </w:r>
      <w:r w:rsidRPr="00473486">
        <w:rPr>
          <w:rFonts w:eastAsiaTheme="minorEastAsia"/>
          <w:color w:val="000000" w:themeColor="text1"/>
          <w:szCs w:val="21"/>
        </w:rPr>
        <w:t>4</w:t>
      </w:r>
      <w:r w:rsidRPr="00473486">
        <w:rPr>
          <w:rFonts w:eastAsiaTheme="minorEastAsia"/>
          <w:color w:val="000000" w:themeColor="text1"/>
          <w:szCs w:val="21"/>
        </w:rPr>
        <w:t>月的新</w:t>
      </w:r>
      <w:r w:rsidRPr="00473486">
        <w:rPr>
          <w:rFonts w:eastAsiaTheme="minorEastAsia"/>
          <w:color w:val="000000" w:themeColor="text1"/>
          <w:szCs w:val="21"/>
        </w:rPr>
        <w:t>“</w:t>
      </w:r>
      <w:r w:rsidRPr="00473486">
        <w:rPr>
          <w:rFonts w:eastAsiaTheme="minorEastAsia"/>
          <w:color w:val="000000" w:themeColor="text1"/>
          <w:szCs w:val="21"/>
        </w:rPr>
        <w:t>国九条</w:t>
      </w:r>
      <w:r w:rsidRPr="00473486">
        <w:rPr>
          <w:rFonts w:eastAsiaTheme="minorEastAsia"/>
          <w:color w:val="000000" w:themeColor="text1"/>
          <w:szCs w:val="21"/>
        </w:rPr>
        <w:t>”</w:t>
      </w:r>
      <w:r w:rsidRPr="00473486">
        <w:rPr>
          <w:rFonts w:eastAsiaTheme="minorEastAsia"/>
          <w:color w:val="000000" w:themeColor="text1"/>
          <w:szCs w:val="21"/>
        </w:rPr>
        <w:t>到</w:t>
      </w:r>
      <w:r w:rsidRPr="00473486">
        <w:rPr>
          <w:rFonts w:eastAsiaTheme="minorEastAsia"/>
          <w:color w:val="000000" w:themeColor="text1"/>
          <w:szCs w:val="21"/>
        </w:rPr>
        <w:t>10</w:t>
      </w:r>
      <w:r w:rsidRPr="00473486">
        <w:rPr>
          <w:rFonts w:eastAsiaTheme="minorEastAsia"/>
          <w:color w:val="000000" w:themeColor="text1"/>
          <w:szCs w:val="21"/>
        </w:rPr>
        <w:t>月股票回购增持再贷款政策正式落地，再到</w:t>
      </w:r>
      <w:r w:rsidRPr="00473486">
        <w:rPr>
          <w:rFonts w:eastAsiaTheme="minorEastAsia"/>
          <w:color w:val="000000" w:themeColor="text1"/>
          <w:szCs w:val="21"/>
        </w:rPr>
        <w:t>12</w:t>
      </w:r>
      <w:r w:rsidRPr="00473486">
        <w:rPr>
          <w:rFonts w:eastAsiaTheme="minorEastAsia"/>
          <w:color w:val="000000" w:themeColor="text1"/>
          <w:szCs w:val="21"/>
        </w:rPr>
        <w:t>月关于央国企市值管理的若干意见颁布，受益于政策组合拳，标普港股通低波红利指数成分股有望持续提升公司治理、进一步提升分红比率，长期配置价值进一步凸显。本基金所跟踪的标普港股通低波红利指数用于衡量标普港股通指数内</w:t>
      </w:r>
      <w:r w:rsidRPr="00473486">
        <w:rPr>
          <w:rFonts w:eastAsiaTheme="minorEastAsia"/>
          <w:color w:val="000000" w:themeColor="text1"/>
          <w:szCs w:val="21"/>
        </w:rPr>
        <w:t>50</w:t>
      </w:r>
      <w:r w:rsidRPr="00473486">
        <w:rPr>
          <w:rFonts w:eastAsiaTheme="minorEastAsia"/>
          <w:color w:val="000000" w:themeColor="text1"/>
          <w:szCs w:val="21"/>
        </w:rPr>
        <w:t>只波幅最小、股息率高的股票的表现。整体指数以低估值行业为主要持仓特征，在安全边际上有望为投资者组合提供较好的保护。</w:t>
      </w:r>
    </w:p>
    <w:p w14:paraId="5DA9076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388F198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本报告期摩根标普港股通低波红利</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:3.14%</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:4.14%</w:t>
      </w:r>
      <w:r w:rsidRPr="00473486">
        <w:rPr>
          <w:rFonts w:eastAsiaTheme="minorEastAsia"/>
          <w:color w:val="000000" w:themeColor="text1"/>
          <w:szCs w:val="21"/>
        </w:rPr>
        <w:t>。</w:t>
      </w:r>
    </w:p>
    <w:p w14:paraId="64D2E83E" w14:textId="77777777" w:rsidR="00881A82" w:rsidRPr="00473486" w:rsidRDefault="00881A82">
      <w:pPr>
        <w:spacing w:line="360" w:lineRule="auto"/>
        <w:ind w:firstLineChars="200" w:firstLine="480"/>
        <w:rPr>
          <w:rFonts w:eastAsiaTheme="minorEastAsia"/>
          <w:color w:val="000000" w:themeColor="text1"/>
          <w:sz w:val="24"/>
        </w:rPr>
      </w:pPr>
    </w:p>
    <w:p w14:paraId="0A248611"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3637F11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1B292B6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157276F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1E2E4792" w14:textId="77777777">
        <w:trPr>
          <w:jc w:val="center"/>
        </w:trPr>
        <w:tc>
          <w:tcPr>
            <w:tcW w:w="720" w:type="dxa"/>
            <w:vAlign w:val="center"/>
          </w:tcPr>
          <w:p w14:paraId="634AC13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45E2380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128BA24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11DE74A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4928627E" w14:textId="77777777">
        <w:trPr>
          <w:jc w:val="center"/>
        </w:trPr>
        <w:tc>
          <w:tcPr>
            <w:tcW w:w="720" w:type="dxa"/>
            <w:vAlign w:val="center"/>
          </w:tcPr>
          <w:p w14:paraId="707C6D2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7074451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378B479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5,932,986,816.01</w:t>
            </w:r>
          </w:p>
        </w:tc>
        <w:tc>
          <w:tcPr>
            <w:tcW w:w="1843" w:type="dxa"/>
            <w:vAlign w:val="center"/>
          </w:tcPr>
          <w:p w14:paraId="75473E2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93.48</w:t>
            </w:r>
          </w:p>
        </w:tc>
      </w:tr>
      <w:tr w:rsidR="00881A82" w:rsidRPr="00473486" w14:paraId="1BD5258C" w14:textId="77777777">
        <w:trPr>
          <w:jc w:val="center"/>
        </w:trPr>
        <w:tc>
          <w:tcPr>
            <w:tcW w:w="720" w:type="dxa"/>
            <w:vAlign w:val="center"/>
          </w:tcPr>
          <w:p w14:paraId="2D574D39"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93A483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1BF05A6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5,932,986,816.01</w:t>
            </w:r>
          </w:p>
        </w:tc>
        <w:tc>
          <w:tcPr>
            <w:tcW w:w="1843" w:type="dxa"/>
            <w:vAlign w:val="center"/>
          </w:tcPr>
          <w:p w14:paraId="6EC878F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93.48</w:t>
            </w:r>
          </w:p>
        </w:tc>
      </w:tr>
      <w:tr w:rsidR="00881A82" w:rsidRPr="00473486" w14:paraId="5B8EBC75" w14:textId="77777777">
        <w:trPr>
          <w:jc w:val="center"/>
        </w:trPr>
        <w:tc>
          <w:tcPr>
            <w:tcW w:w="720" w:type="dxa"/>
            <w:vAlign w:val="center"/>
          </w:tcPr>
          <w:p w14:paraId="5B0E3DE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4C69C32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107068C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370DB0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C1EAAA4" w14:textId="77777777">
        <w:trPr>
          <w:jc w:val="center"/>
        </w:trPr>
        <w:tc>
          <w:tcPr>
            <w:tcW w:w="720" w:type="dxa"/>
            <w:vAlign w:val="center"/>
          </w:tcPr>
          <w:p w14:paraId="0DE0C174"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026A36A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3FBFE21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F51470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EB29F27" w14:textId="77777777">
        <w:trPr>
          <w:jc w:val="center"/>
        </w:trPr>
        <w:tc>
          <w:tcPr>
            <w:tcW w:w="720" w:type="dxa"/>
            <w:vAlign w:val="center"/>
          </w:tcPr>
          <w:p w14:paraId="2F8519EA"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03FF2A9"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504D104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775D67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BFA75A" w14:textId="77777777">
        <w:trPr>
          <w:jc w:val="center"/>
        </w:trPr>
        <w:tc>
          <w:tcPr>
            <w:tcW w:w="720" w:type="dxa"/>
          </w:tcPr>
          <w:p w14:paraId="65906CE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70AF2D5D"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0B6C394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51DD3ED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0140369" w14:textId="77777777">
        <w:trPr>
          <w:jc w:val="center"/>
        </w:trPr>
        <w:tc>
          <w:tcPr>
            <w:tcW w:w="720" w:type="dxa"/>
            <w:vAlign w:val="center"/>
          </w:tcPr>
          <w:p w14:paraId="6683EFD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6E9554F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71E9483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1D855B8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AF9EF70" w14:textId="77777777">
        <w:trPr>
          <w:jc w:val="center"/>
        </w:trPr>
        <w:tc>
          <w:tcPr>
            <w:tcW w:w="720" w:type="dxa"/>
            <w:vAlign w:val="center"/>
          </w:tcPr>
          <w:p w14:paraId="3AD398A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6295144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0C37525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415F959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855F6E2" w14:textId="77777777">
        <w:trPr>
          <w:jc w:val="center"/>
        </w:trPr>
        <w:tc>
          <w:tcPr>
            <w:tcW w:w="720" w:type="dxa"/>
            <w:vAlign w:val="center"/>
          </w:tcPr>
          <w:p w14:paraId="316356A8"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B0042F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641713E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463EBB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4C6CBB9" w14:textId="77777777">
        <w:trPr>
          <w:jc w:val="center"/>
        </w:trPr>
        <w:tc>
          <w:tcPr>
            <w:tcW w:w="720" w:type="dxa"/>
            <w:vAlign w:val="center"/>
          </w:tcPr>
          <w:p w14:paraId="44ED398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5BC4F2CB"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2DA32E2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401,530,739.86</w:t>
            </w:r>
          </w:p>
        </w:tc>
        <w:tc>
          <w:tcPr>
            <w:tcW w:w="1843" w:type="dxa"/>
            <w:vAlign w:val="center"/>
          </w:tcPr>
          <w:p w14:paraId="682EC19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6.33</w:t>
            </w:r>
          </w:p>
        </w:tc>
      </w:tr>
      <w:tr w:rsidR="00881A82" w:rsidRPr="00473486" w14:paraId="32D8892D" w14:textId="77777777">
        <w:trPr>
          <w:jc w:val="center"/>
        </w:trPr>
        <w:tc>
          <w:tcPr>
            <w:tcW w:w="720" w:type="dxa"/>
            <w:vAlign w:val="center"/>
          </w:tcPr>
          <w:p w14:paraId="398265A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5A838626"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02BE33A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12,168,743.08</w:t>
            </w:r>
          </w:p>
        </w:tc>
        <w:tc>
          <w:tcPr>
            <w:tcW w:w="1843" w:type="dxa"/>
            <w:vAlign w:val="center"/>
          </w:tcPr>
          <w:p w14:paraId="55D04AF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0.19</w:t>
            </w:r>
          </w:p>
        </w:tc>
      </w:tr>
      <w:tr w:rsidR="00881A82" w:rsidRPr="00473486" w14:paraId="04D10F61" w14:textId="77777777">
        <w:trPr>
          <w:jc w:val="center"/>
        </w:trPr>
        <w:tc>
          <w:tcPr>
            <w:tcW w:w="720" w:type="dxa"/>
            <w:vAlign w:val="center"/>
          </w:tcPr>
          <w:p w14:paraId="38134A9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5721EC2E"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4B6E92A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6,346,686,298.95</w:t>
            </w:r>
          </w:p>
        </w:tc>
        <w:tc>
          <w:tcPr>
            <w:tcW w:w="1843" w:type="dxa"/>
            <w:vAlign w:val="center"/>
          </w:tcPr>
          <w:p w14:paraId="6BFDDB4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6347A9B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注：本基金本报告期末通过港股通交易机制投资的港股公允价值为人民币</w:t>
      </w:r>
      <w:r w:rsidRPr="00473486">
        <w:rPr>
          <w:rFonts w:eastAsiaTheme="minorEastAsia"/>
          <w:color w:val="000000" w:themeColor="text1"/>
          <w:szCs w:val="21"/>
        </w:rPr>
        <w:t>5,932,986,816.01</w:t>
      </w:r>
      <w:r w:rsidRPr="00473486">
        <w:rPr>
          <w:rFonts w:eastAsiaTheme="minorEastAsia"/>
          <w:color w:val="000000" w:themeColor="text1"/>
          <w:szCs w:val="21"/>
        </w:rPr>
        <w:t>元</w:t>
      </w:r>
      <w:r w:rsidRPr="00473486">
        <w:rPr>
          <w:rFonts w:eastAsiaTheme="minorEastAsia"/>
          <w:color w:val="000000" w:themeColor="text1"/>
          <w:szCs w:val="21"/>
        </w:rPr>
        <w:t>,</w:t>
      </w:r>
      <w:r w:rsidRPr="00473486">
        <w:rPr>
          <w:rFonts w:eastAsiaTheme="minorEastAsia"/>
          <w:color w:val="000000" w:themeColor="text1"/>
          <w:szCs w:val="21"/>
        </w:rPr>
        <w:t>占期末净值比例为</w:t>
      </w:r>
      <w:r w:rsidRPr="00473486">
        <w:rPr>
          <w:rFonts w:eastAsiaTheme="minorEastAsia"/>
          <w:color w:val="000000" w:themeColor="text1"/>
          <w:szCs w:val="21"/>
        </w:rPr>
        <w:t>99.16%</w:t>
      </w:r>
      <w:r w:rsidRPr="00473486">
        <w:rPr>
          <w:rFonts w:eastAsiaTheme="minorEastAsia"/>
          <w:color w:val="000000" w:themeColor="text1"/>
          <w:szCs w:val="21"/>
        </w:rPr>
        <w:t>。</w:t>
      </w:r>
    </w:p>
    <w:p w14:paraId="4F46DB7F"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C5F874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27D691F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6DAA169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31311CE9" w14:textId="77777777" w:rsidR="00881A82" w:rsidRPr="00473486" w:rsidRDefault="007D1E3A">
      <w:pPr>
        <w:jc w:val="left"/>
        <w:rPr>
          <w:rFonts w:eastAsiaTheme="minorEastAsia"/>
          <w:color w:val="000000" w:themeColor="text1"/>
          <w:sz w:val="24"/>
        </w:rPr>
      </w:pPr>
      <w:r w:rsidRPr="00473486">
        <w:rPr>
          <w:rFonts w:eastAsiaTheme="minorEastAsia"/>
          <w:b/>
          <w:color w:val="000000" w:themeColor="text1"/>
          <w:kern w:val="0"/>
          <w:sz w:val="24"/>
        </w:rPr>
        <w:t>5.2.</w:t>
      </w:r>
      <w:r w:rsidR="00A16177">
        <w:rPr>
          <w:rFonts w:eastAsiaTheme="minorEastAsia"/>
          <w:b/>
          <w:color w:val="000000" w:themeColor="text1"/>
          <w:kern w:val="0"/>
          <w:sz w:val="24"/>
        </w:rPr>
        <w:t>2</w:t>
      </w:r>
      <w:r w:rsidRPr="00473486">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81A82" w:rsidRPr="00473486" w14:paraId="1F798368" w14:textId="77777777">
        <w:trPr>
          <w:jc w:val="center"/>
        </w:trPr>
        <w:tc>
          <w:tcPr>
            <w:tcW w:w="2397" w:type="dxa"/>
            <w:vAlign w:val="center"/>
          </w:tcPr>
          <w:p w14:paraId="442ED4E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行业类别</w:t>
            </w:r>
          </w:p>
        </w:tc>
        <w:tc>
          <w:tcPr>
            <w:tcW w:w="3119" w:type="dxa"/>
            <w:vAlign w:val="center"/>
          </w:tcPr>
          <w:p w14:paraId="53AAC64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公允价值（人民币）</w:t>
            </w:r>
          </w:p>
        </w:tc>
        <w:tc>
          <w:tcPr>
            <w:tcW w:w="3118" w:type="dxa"/>
            <w:vAlign w:val="center"/>
          </w:tcPr>
          <w:p w14:paraId="5986B27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p>
        </w:tc>
      </w:tr>
      <w:tr w:rsidR="00B86F3D" w14:paraId="217797E1" w14:textId="77777777">
        <w:trPr>
          <w:jc w:val="center"/>
        </w:trPr>
        <w:tc>
          <w:tcPr>
            <w:tcW w:w="2397" w:type="dxa"/>
            <w:vAlign w:val="center"/>
          </w:tcPr>
          <w:p w14:paraId="13B2F025" w14:textId="77777777" w:rsidR="00B86F3D" w:rsidRDefault="00A1617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2B37A3B" w14:textId="77777777" w:rsidR="00B86F3D" w:rsidRDefault="00A16177">
            <w:pPr>
              <w:jc w:val="center"/>
            </w:pPr>
            <w:r>
              <w:rPr>
                <w:rFonts w:eastAsiaTheme="minorEastAsia"/>
                <w:color w:val="000000" w:themeColor="text1"/>
                <w:szCs w:val="21"/>
              </w:rPr>
              <w:t>155,527,529.00</w:t>
            </w:r>
          </w:p>
        </w:tc>
        <w:tc>
          <w:tcPr>
            <w:tcW w:w="3118" w:type="dxa"/>
            <w:vAlign w:val="center"/>
          </w:tcPr>
          <w:p w14:paraId="4A650B84" w14:textId="77777777" w:rsidR="00B86F3D" w:rsidRDefault="00A16177">
            <w:pPr>
              <w:jc w:val="center"/>
            </w:pPr>
            <w:r>
              <w:rPr>
                <w:rFonts w:eastAsiaTheme="minorEastAsia"/>
                <w:color w:val="000000" w:themeColor="text1"/>
                <w:szCs w:val="21"/>
              </w:rPr>
              <w:t>2.60</w:t>
            </w:r>
          </w:p>
        </w:tc>
      </w:tr>
      <w:tr w:rsidR="00B86F3D" w14:paraId="06CC2486" w14:textId="77777777">
        <w:trPr>
          <w:jc w:val="center"/>
        </w:trPr>
        <w:tc>
          <w:tcPr>
            <w:tcW w:w="2397" w:type="dxa"/>
            <w:vAlign w:val="center"/>
          </w:tcPr>
          <w:p w14:paraId="040A4CD0" w14:textId="77777777" w:rsidR="00B86F3D" w:rsidRDefault="00A1617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A317246" w14:textId="77777777" w:rsidR="00B86F3D" w:rsidRDefault="00A16177">
            <w:pPr>
              <w:jc w:val="center"/>
            </w:pPr>
            <w:r>
              <w:rPr>
                <w:rFonts w:eastAsiaTheme="minorEastAsia"/>
                <w:color w:val="000000" w:themeColor="text1"/>
                <w:szCs w:val="21"/>
              </w:rPr>
              <w:t>-</w:t>
            </w:r>
          </w:p>
        </w:tc>
        <w:tc>
          <w:tcPr>
            <w:tcW w:w="3118" w:type="dxa"/>
            <w:vAlign w:val="center"/>
          </w:tcPr>
          <w:p w14:paraId="75F9AF6F" w14:textId="77777777" w:rsidR="00B86F3D" w:rsidRDefault="00A16177">
            <w:pPr>
              <w:jc w:val="center"/>
            </w:pPr>
            <w:r>
              <w:rPr>
                <w:rFonts w:eastAsiaTheme="minorEastAsia"/>
                <w:color w:val="000000" w:themeColor="text1"/>
                <w:szCs w:val="21"/>
              </w:rPr>
              <w:t>-</w:t>
            </w:r>
          </w:p>
        </w:tc>
      </w:tr>
      <w:tr w:rsidR="00B86F3D" w14:paraId="12565A27" w14:textId="77777777">
        <w:trPr>
          <w:jc w:val="center"/>
        </w:trPr>
        <w:tc>
          <w:tcPr>
            <w:tcW w:w="2397" w:type="dxa"/>
            <w:vAlign w:val="center"/>
          </w:tcPr>
          <w:p w14:paraId="60A1CB12" w14:textId="77777777" w:rsidR="00B86F3D" w:rsidRDefault="00A1617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39F859B1" w14:textId="77777777" w:rsidR="00B86F3D" w:rsidRDefault="00A16177">
            <w:pPr>
              <w:jc w:val="center"/>
            </w:pPr>
            <w:r>
              <w:rPr>
                <w:rFonts w:eastAsiaTheme="minorEastAsia"/>
                <w:color w:val="000000" w:themeColor="text1"/>
                <w:szCs w:val="21"/>
              </w:rPr>
              <w:t>266,633,419.27</w:t>
            </w:r>
          </w:p>
        </w:tc>
        <w:tc>
          <w:tcPr>
            <w:tcW w:w="3118" w:type="dxa"/>
            <w:vAlign w:val="center"/>
          </w:tcPr>
          <w:p w14:paraId="0795A136" w14:textId="77777777" w:rsidR="00B86F3D" w:rsidRDefault="00A16177">
            <w:pPr>
              <w:jc w:val="center"/>
            </w:pPr>
            <w:r>
              <w:rPr>
                <w:rFonts w:eastAsiaTheme="minorEastAsia"/>
                <w:color w:val="000000" w:themeColor="text1"/>
                <w:szCs w:val="21"/>
              </w:rPr>
              <w:t>4.46</w:t>
            </w:r>
          </w:p>
        </w:tc>
      </w:tr>
      <w:tr w:rsidR="00B86F3D" w14:paraId="5C319238" w14:textId="77777777">
        <w:trPr>
          <w:jc w:val="center"/>
        </w:trPr>
        <w:tc>
          <w:tcPr>
            <w:tcW w:w="2397" w:type="dxa"/>
            <w:vAlign w:val="center"/>
          </w:tcPr>
          <w:p w14:paraId="15CD533A" w14:textId="77777777" w:rsidR="00B86F3D" w:rsidRDefault="00A1617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0FE8F5F" w14:textId="77777777" w:rsidR="00B86F3D" w:rsidRDefault="00A16177">
            <w:pPr>
              <w:jc w:val="center"/>
            </w:pPr>
            <w:r>
              <w:rPr>
                <w:rFonts w:eastAsiaTheme="minorEastAsia"/>
                <w:color w:val="000000" w:themeColor="text1"/>
                <w:szCs w:val="21"/>
              </w:rPr>
              <w:t>517,694,309.12</w:t>
            </w:r>
          </w:p>
        </w:tc>
        <w:tc>
          <w:tcPr>
            <w:tcW w:w="3118" w:type="dxa"/>
            <w:vAlign w:val="center"/>
          </w:tcPr>
          <w:p w14:paraId="40CEE4F0" w14:textId="77777777" w:rsidR="00B86F3D" w:rsidRDefault="00A16177">
            <w:pPr>
              <w:jc w:val="center"/>
            </w:pPr>
            <w:r>
              <w:rPr>
                <w:rFonts w:eastAsiaTheme="minorEastAsia"/>
                <w:color w:val="000000" w:themeColor="text1"/>
                <w:szCs w:val="21"/>
              </w:rPr>
              <w:t>8.65</w:t>
            </w:r>
          </w:p>
        </w:tc>
      </w:tr>
      <w:tr w:rsidR="00B86F3D" w14:paraId="238D7FB1" w14:textId="77777777">
        <w:trPr>
          <w:jc w:val="center"/>
        </w:trPr>
        <w:tc>
          <w:tcPr>
            <w:tcW w:w="2397" w:type="dxa"/>
            <w:vAlign w:val="center"/>
          </w:tcPr>
          <w:p w14:paraId="74C35B23" w14:textId="77777777" w:rsidR="00B86F3D" w:rsidRDefault="00A1617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058C4408" w14:textId="77777777" w:rsidR="00B86F3D" w:rsidRDefault="00A16177">
            <w:pPr>
              <w:jc w:val="center"/>
            </w:pPr>
            <w:r>
              <w:rPr>
                <w:rFonts w:eastAsiaTheme="minorEastAsia"/>
                <w:color w:val="000000" w:themeColor="text1"/>
                <w:szCs w:val="21"/>
              </w:rPr>
              <w:t>1,874,509,661.15</w:t>
            </w:r>
          </w:p>
        </w:tc>
        <w:tc>
          <w:tcPr>
            <w:tcW w:w="3118" w:type="dxa"/>
            <w:vAlign w:val="center"/>
          </w:tcPr>
          <w:p w14:paraId="711A9330" w14:textId="77777777" w:rsidR="00B86F3D" w:rsidRDefault="00A16177">
            <w:pPr>
              <w:jc w:val="center"/>
            </w:pPr>
            <w:r>
              <w:rPr>
                <w:rFonts w:eastAsiaTheme="minorEastAsia"/>
                <w:color w:val="000000" w:themeColor="text1"/>
                <w:szCs w:val="21"/>
              </w:rPr>
              <w:t>31.33</w:t>
            </w:r>
          </w:p>
        </w:tc>
      </w:tr>
      <w:tr w:rsidR="00B86F3D" w14:paraId="4D386331" w14:textId="77777777">
        <w:trPr>
          <w:jc w:val="center"/>
        </w:trPr>
        <w:tc>
          <w:tcPr>
            <w:tcW w:w="2397" w:type="dxa"/>
            <w:vAlign w:val="center"/>
          </w:tcPr>
          <w:p w14:paraId="06686878" w14:textId="77777777" w:rsidR="00B86F3D" w:rsidRDefault="00A16177">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E7C7BCA" w14:textId="77777777" w:rsidR="00B86F3D" w:rsidRDefault="00A16177">
            <w:pPr>
              <w:jc w:val="center"/>
            </w:pPr>
            <w:r>
              <w:rPr>
                <w:rFonts w:eastAsiaTheme="minorEastAsia"/>
                <w:color w:val="000000" w:themeColor="text1"/>
                <w:szCs w:val="21"/>
              </w:rPr>
              <w:t>84,981,690.68</w:t>
            </w:r>
          </w:p>
        </w:tc>
        <w:tc>
          <w:tcPr>
            <w:tcW w:w="3118" w:type="dxa"/>
            <w:vAlign w:val="center"/>
          </w:tcPr>
          <w:p w14:paraId="38A5D710" w14:textId="77777777" w:rsidR="00B86F3D" w:rsidRDefault="00A16177">
            <w:pPr>
              <w:jc w:val="center"/>
            </w:pPr>
            <w:r>
              <w:rPr>
                <w:rFonts w:eastAsiaTheme="minorEastAsia"/>
                <w:color w:val="000000" w:themeColor="text1"/>
                <w:szCs w:val="21"/>
              </w:rPr>
              <w:t>1.42</w:t>
            </w:r>
          </w:p>
        </w:tc>
      </w:tr>
      <w:tr w:rsidR="00B86F3D" w14:paraId="1BCF6A1B" w14:textId="77777777">
        <w:trPr>
          <w:jc w:val="center"/>
        </w:trPr>
        <w:tc>
          <w:tcPr>
            <w:tcW w:w="2397" w:type="dxa"/>
            <w:vAlign w:val="center"/>
          </w:tcPr>
          <w:p w14:paraId="07423B9A" w14:textId="77777777" w:rsidR="00B86F3D" w:rsidRDefault="00A1617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12F52C89" w14:textId="77777777" w:rsidR="00B86F3D" w:rsidRDefault="00A16177">
            <w:pPr>
              <w:jc w:val="center"/>
            </w:pPr>
            <w:r>
              <w:rPr>
                <w:rFonts w:eastAsiaTheme="minorEastAsia"/>
                <w:color w:val="000000" w:themeColor="text1"/>
                <w:szCs w:val="21"/>
              </w:rPr>
              <w:t>908,831,301.45</w:t>
            </w:r>
          </w:p>
        </w:tc>
        <w:tc>
          <w:tcPr>
            <w:tcW w:w="3118" w:type="dxa"/>
            <w:vAlign w:val="center"/>
          </w:tcPr>
          <w:p w14:paraId="62BA2FFA" w14:textId="77777777" w:rsidR="00B86F3D" w:rsidRDefault="00A16177">
            <w:pPr>
              <w:jc w:val="center"/>
            </w:pPr>
            <w:r>
              <w:rPr>
                <w:rFonts w:eastAsiaTheme="minorEastAsia"/>
                <w:color w:val="000000" w:themeColor="text1"/>
                <w:szCs w:val="21"/>
              </w:rPr>
              <w:t>15.19</w:t>
            </w:r>
          </w:p>
        </w:tc>
      </w:tr>
      <w:tr w:rsidR="00B86F3D" w14:paraId="2168E45A" w14:textId="77777777">
        <w:trPr>
          <w:jc w:val="center"/>
        </w:trPr>
        <w:tc>
          <w:tcPr>
            <w:tcW w:w="2397" w:type="dxa"/>
            <w:vAlign w:val="center"/>
          </w:tcPr>
          <w:p w14:paraId="7F2650F1" w14:textId="77777777" w:rsidR="00B86F3D" w:rsidRDefault="00A1617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BFC2429" w14:textId="77777777" w:rsidR="00B86F3D" w:rsidRDefault="00A16177">
            <w:pPr>
              <w:jc w:val="center"/>
            </w:pPr>
            <w:r>
              <w:rPr>
                <w:rFonts w:eastAsiaTheme="minorEastAsia"/>
                <w:color w:val="000000" w:themeColor="text1"/>
                <w:szCs w:val="21"/>
              </w:rPr>
              <w:t>-</w:t>
            </w:r>
          </w:p>
        </w:tc>
        <w:tc>
          <w:tcPr>
            <w:tcW w:w="3118" w:type="dxa"/>
            <w:vAlign w:val="center"/>
          </w:tcPr>
          <w:p w14:paraId="1304276B" w14:textId="77777777" w:rsidR="00B86F3D" w:rsidRDefault="00A16177">
            <w:pPr>
              <w:jc w:val="center"/>
            </w:pPr>
            <w:r>
              <w:rPr>
                <w:rFonts w:eastAsiaTheme="minorEastAsia"/>
                <w:color w:val="000000" w:themeColor="text1"/>
                <w:szCs w:val="21"/>
              </w:rPr>
              <w:t>-</w:t>
            </w:r>
          </w:p>
        </w:tc>
      </w:tr>
      <w:tr w:rsidR="00B86F3D" w14:paraId="028C569A" w14:textId="77777777">
        <w:trPr>
          <w:jc w:val="center"/>
        </w:trPr>
        <w:tc>
          <w:tcPr>
            <w:tcW w:w="2397" w:type="dxa"/>
            <w:vAlign w:val="center"/>
          </w:tcPr>
          <w:p w14:paraId="500D182D" w14:textId="77777777" w:rsidR="00B86F3D" w:rsidRDefault="00A1617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21655B21" w14:textId="77777777" w:rsidR="00B86F3D" w:rsidRDefault="00A16177">
            <w:pPr>
              <w:jc w:val="center"/>
            </w:pPr>
            <w:r>
              <w:rPr>
                <w:rFonts w:eastAsiaTheme="minorEastAsia"/>
                <w:color w:val="000000" w:themeColor="text1"/>
                <w:szCs w:val="21"/>
              </w:rPr>
              <w:t>461,583,786.04</w:t>
            </w:r>
          </w:p>
        </w:tc>
        <w:tc>
          <w:tcPr>
            <w:tcW w:w="3118" w:type="dxa"/>
            <w:vAlign w:val="center"/>
          </w:tcPr>
          <w:p w14:paraId="4865C03A" w14:textId="77777777" w:rsidR="00B86F3D" w:rsidRDefault="00A16177">
            <w:pPr>
              <w:jc w:val="center"/>
            </w:pPr>
            <w:r>
              <w:rPr>
                <w:rFonts w:eastAsiaTheme="minorEastAsia"/>
                <w:color w:val="000000" w:themeColor="text1"/>
                <w:szCs w:val="21"/>
              </w:rPr>
              <w:t>7.71</w:t>
            </w:r>
          </w:p>
        </w:tc>
      </w:tr>
      <w:tr w:rsidR="00B86F3D" w14:paraId="5E16EBC7" w14:textId="77777777">
        <w:trPr>
          <w:jc w:val="center"/>
        </w:trPr>
        <w:tc>
          <w:tcPr>
            <w:tcW w:w="2397" w:type="dxa"/>
            <w:vAlign w:val="center"/>
          </w:tcPr>
          <w:p w14:paraId="5CE30A24" w14:textId="77777777" w:rsidR="00B86F3D" w:rsidRDefault="00A1617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0D08E9C4" w14:textId="77777777" w:rsidR="00B86F3D" w:rsidRDefault="00A16177">
            <w:pPr>
              <w:jc w:val="center"/>
            </w:pPr>
            <w:r>
              <w:rPr>
                <w:rFonts w:eastAsiaTheme="minorEastAsia"/>
                <w:color w:val="000000" w:themeColor="text1"/>
                <w:szCs w:val="21"/>
              </w:rPr>
              <w:t>732,594,758.46</w:t>
            </w:r>
          </w:p>
        </w:tc>
        <w:tc>
          <w:tcPr>
            <w:tcW w:w="3118" w:type="dxa"/>
            <w:vAlign w:val="center"/>
          </w:tcPr>
          <w:p w14:paraId="29FCB0CA" w14:textId="77777777" w:rsidR="00B86F3D" w:rsidRDefault="00A16177">
            <w:pPr>
              <w:jc w:val="center"/>
            </w:pPr>
            <w:r>
              <w:rPr>
                <w:rFonts w:eastAsiaTheme="minorEastAsia"/>
                <w:color w:val="000000" w:themeColor="text1"/>
                <w:szCs w:val="21"/>
              </w:rPr>
              <w:t>12.24</w:t>
            </w:r>
          </w:p>
        </w:tc>
      </w:tr>
      <w:tr w:rsidR="00B86F3D" w14:paraId="54B9BDC6" w14:textId="77777777">
        <w:trPr>
          <w:jc w:val="center"/>
        </w:trPr>
        <w:tc>
          <w:tcPr>
            <w:tcW w:w="2397" w:type="dxa"/>
            <w:vAlign w:val="center"/>
          </w:tcPr>
          <w:p w14:paraId="30602C8D" w14:textId="77777777" w:rsidR="00B86F3D" w:rsidRDefault="00A1617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7499EF57" w14:textId="77777777" w:rsidR="00B86F3D" w:rsidRDefault="00A16177">
            <w:pPr>
              <w:jc w:val="center"/>
            </w:pPr>
            <w:r>
              <w:rPr>
                <w:rFonts w:eastAsiaTheme="minorEastAsia"/>
                <w:color w:val="000000" w:themeColor="text1"/>
                <w:szCs w:val="21"/>
              </w:rPr>
              <w:t>930,630,360.84</w:t>
            </w:r>
          </w:p>
        </w:tc>
        <w:tc>
          <w:tcPr>
            <w:tcW w:w="3118" w:type="dxa"/>
            <w:vAlign w:val="center"/>
          </w:tcPr>
          <w:p w14:paraId="507FDFCE" w14:textId="77777777" w:rsidR="00B86F3D" w:rsidRDefault="00A16177">
            <w:pPr>
              <w:jc w:val="center"/>
            </w:pPr>
            <w:r>
              <w:rPr>
                <w:rFonts w:eastAsiaTheme="minorEastAsia"/>
                <w:color w:val="000000" w:themeColor="text1"/>
                <w:szCs w:val="21"/>
              </w:rPr>
              <w:t>15.55</w:t>
            </w:r>
          </w:p>
        </w:tc>
      </w:tr>
      <w:tr w:rsidR="00881A82" w:rsidRPr="00473486" w14:paraId="44339037" w14:textId="77777777">
        <w:trPr>
          <w:jc w:val="center"/>
        </w:trPr>
        <w:tc>
          <w:tcPr>
            <w:tcW w:w="2397" w:type="dxa"/>
            <w:vAlign w:val="center"/>
          </w:tcPr>
          <w:p w14:paraId="74B229E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合计</w:t>
            </w:r>
          </w:p>
        </w:tc>
        <w:tc>
          <w:tcPr>
            <w:tcW w:w="3119" w:type="dxa"/>
            <w:vAlign w:val="center"/>
          </w:tcPr>
          <w:p w14:paraId="71FE35A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5,932,986,816.01</w:t>
            </w:r>
          </w:p>
        </w:tc>
        <w:tc>
          <w:tcPr>
            <w:tcW w:w="3118" w:type="dxa"/>
            <w:vAlign w:val="center"/>
          </w:tcPr>
          <w:p w14:paraId="405CD3B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99.16</w:t>
            </w:r>
          </w:p>
        </w:tc>
      </w:tr>
    </w:tbl>
    <w:p w14:paraId="09305B4F"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1F2BAA9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693B070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198952D3" w14:textId="77777777">
        <w:tc>
          <w:tcPr>
            <w:tcW w:w="817" w:type="dxa"/>
            <w:vAlign w:val="center"/>
          </w:tcPr>
          <w:p w14:paraId="188900D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5AF2108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1370A50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637871F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1EB8B17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2E7D574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B86F3D" w14:paraId="4136EBB4" w14:textId="77777777">
        <w:tc>
          <w:tcPr>
            <w:tcW w:w="817" w:type="dxa"/>
            <w:vAlign w:val="center"/>
          </w:tcPr>
          <w:p w14:paraId="443B25F2" w14:textId="77777777" w:rsidR="00B86F3D" w:rsidRDefault="00A16177">
            <w:pPr>
              <w:jc w:val="center"/>
            </w:pPr>
            <w:r>
              <w:rPr>
                <w:rFonts w:eastAsiaTheme="minorEastAsia"/>
                <w:color w:val="000000" w:themeColor="text1"/>
                <w:szCs w:val="21"/>
              </w:rPr>
              <w:t>1</w:t>
            </w:r>
          </w:p>
        </w:tc>
        <w:tc>
          <w:tcPr>
            <w:tcW w:w="1276" w:type="dxa"/>
            <w:vAlign w:val="center"/>
          </w:tcPr>
          <w:p w14:paraId="2C2B7EB8" w14:textId="77777777" w:rsidR="00B86F3D" w:rsidRDefault="00A16177">
            <w:pPr>
              <w:jc w:val="center"/>
            </w:pPr>
            <w:r>
              <w:rPr>
                <w:rFonts w:eastAsiaTheme="minorEastAsia"/>
                <w:color w:val="000000" w:themeColor="text1"/>
                <w:szCs w:val="21"/>
              </w:rPr>
              <w:t>00270</w:t>
            </w:r>
          </w:p>
        </w:tc>
        <w:tc>
          <w:tcPr>
            <w:tcW w:w="1701" w:type="dxa"/>
            <w:vAlign w:val="center"/>
          </w:tcPr>
          <w:p w14:paraId="1BA92F77" w14:textId="77777777" w:rsidR="00B86F3D" w:rsidRDefault="00A16177">
            <w:pPr>
              <w:jc w:val="center"/>
            </w:pPr>
            <w:r>
              <w:rPr>
                <w:rFonts w:eastAsiaTheme="minorEastAsia"/>
                <w:color w:val="000000" w:themeColor="text1"/>
                <w:szCs w:val="21"/>
              </w:rPr>
              <w:t>粤海投资</w:t>
            </w:r>
          </w:p>
        </w:tc>
        <w:tc>
          <w:tcPr>
            <w:tcW w:w="1276" w:type="dxa"/>
            <w:vAlign w:val="center"/>
          </w:tcPr>
          <w:p w14:paraId="448E9ACF" w14:textId="77777777" w:rsidR="00B86F3D" w:rsidRDefault="00A16177">
            <w:pPr>
              <w:jc w:val="right"/>
            </w:pPr>
            <w:r>
              <w:rPr>
                <w:rFonts w:eastAsiaTheme="minorEastAsia"/>
                <w:color w:val="000000" w:themeColor="text1"/>
                <w:szCs w:val="21"/>
              </w:rPr>
              <w:t>29,252,000.00</w:t>
            </w:r>
          </w:p>
        </w:tc>
        <w:tc>
          <w:tcPr>
            <w:tcW w:w="1842" w:type="dxa"/>
            <w:vAlign w:val="center"/>
          </w:tcPr>
          <w:p w14:paraId="2DD5C1FB" w14:textId="77777777" w:rsidR="00B86F3D" w:rsidRDefault="00A16177">
            <w:pPr>
              <w:jc w:val="right"/>
            </w:pPr>
            <w:r>
              <w:rPr>
                <w:rFonts w:eastAsiaTheme="minorEastAsia"/>
                <w:color w:val="000000" w:themeColor="text1"/>
                <w:szCs w:val="21"/>
              </w:rPr>
              <w:t>181,763,983.16</w:t>
            </w:r>
          </w:p>
        </w:tc>
        <w:tc>
          <w:tcPr>
            <w:tcW w:w="1616" w:type="dxa"/>
            <w:vAlign w:val="center"/>
          </w:tcPr>
          <w:p w14:paraId="7C7F784C" w14:textId="77777777" w:rsidR="00B86F3D" w:rsidRDefault="00A16177">
            <w:pPr>
              <w:jc w:val="right"/>
            </w:pPr>
            <w:r>
              <w:rPr>
                <w:rFonts w:eastAsiaTheme="minorEastAsia"/>
                <w:color w:val="000000" w:themeColor="text1"/>
                <w:szCs w:val="21"/>
              </w:rPr>
              <w:t>3.04</w:t>
            </w:r>
          </w:p>
        </w:tc>
      </w:tr>
      <w:tr w:rsidR="00B86F3D" w14:paraId="698BC9F1" w14:textId="77777777">
        <w:tc>
          <w:tcPr>
            <w:tcW w:w="817" w:type="dxa"/>
            <w:vAlign w:val="center"/>
          </w:tcPr>
          <w:p w14:paraId="72FD2809" w14:textId="77777777" w:rsidR="00B86F3D" w:rsidRDefault="00A16177">
            <w:pPr>
              <w:jc w:val="center"/>
            </w:pPr>
            <w:r>
              <w:rPr>
                <w:rFonts w:eastAsiaTheme="minorEastAsia"/>
                <w:color w:val="000000" w:themeColor="text1"/>
                <w:szCs w:val="21"/>
              </w:rPr>
              <w:t>2</w:t>
            </w:r>
          </w:p>
        </w:tc>
        <w:tc>
          <w:tcPr>
            <w:tcW w:w="1276" w:type="dxa"/>
            <w:vAlign w:val="center"/>
          </w:tcPr>
          <w:p w14:paraId="74F5E4B1" w14:textId="77777777" w:rsidR="00B86F3D" w:rsidRDefault="00A16177">
            <w:pPr>
              <w:jc w:val="center"/>
            </w:pPr>
            <w:r>
              <w:rPr>
                <w:rFonts w:eastAsiaTheme="minorEastAsia"/>
                <w:color w:val="000000" w:themeColor="text1"/>
                <w:szCs w:val="21"/>
              </w:rPr>
              <w:t>00008</w:t>
            </w:r>
          </w:p>
        </w:tc>
        <w:tc>
          <w:tcPr>
            <w:tcW w:w="1701" w:type="dxa"/>
            <w:vAlign w:val="center"/>
          </w:tcPr>
          <w:p w14:paraId="18534B38" w14:textId="77777777" w:rsidR="00B86F3D" w:rsidRDefault="00A16177">
            <w:pPr>
              <w:jc w:val="center"/>
            </w:pPr>
            <w:r>
              <w:rPr>
                <w:rFonts w:eastAsiaTheme="minorEastAsia"/>
                <w:color w:val="000000" w:themeColor="text1"/>
                <w:szCs w:val="21"/>
              </w:rPr>
              <w:t>电讯盈科</w:t>
            </w:r>
          </w:p>
        </w:tc>
        <w:tc>
          <w:tcPr>
            <w:tcW w:w="1276" w:type="dxa"/>
            <w:vAlign w:val="center"/>
          </w:tcPr>
          <w:p w14:paraId="4E7972FE" w14:textId="77777777" w:rsidR="00B86F3D" w:rsidRDefault="00A16177">
            <w:pPr>
              <w:jc w:val="right"/>
            </w:pPr>
            <w:r>
              <w:rPr>
                <w:rFonts w:eastAsiaTheme="minorEastAsia"/>
                <w:color w:val="000000" w:themeColor="text1"/>
                <w:szCs w:val="21"/>
              </w:rPr>
              <w:t>42,880,000.00</w:t>
            </w:r>
          </w:p>
        </w:tc>
        <w:tc>
          <w:tcPr>
            <w:tcW w:w="1842" w:type="dxa"/>
            <w:vAlign w:val="center"/>
          </w:tcPr>
          <w:p w14:paraId="243D5756" w14:textId="77777777" w:rsidR="00B86F3D" w:rsidRDefault="00A16177">
            <w:pPr>
              <w:jc w:val="right"/>
            </w:pPr>
            <w:r>
              <w:rPr>
                <w:rFonts w:eastAsiaTheme="minorEastAsia"/>
                <w:color w:val="000000" w:themeColor="text1"/>
                <w:szCs w:val="21"/>
              </w:rPr>
              <w:t>179,482,850.30</w:t>
            </w:r>
          </w:p>
        </w:tc>
        <w:tc>
          <w:tcPr>
            <w:tcW w:w="1616" w:type="dxa"/>
            <w:vAlign w:val="center"/>
          </w:tcPr>
          <w:p w14:paraId="604C48A5" w14:textId="77777777" w:rsidR="00B86F3D" w:rsidRDefault="00A16177">
            <w:pPr>
              <w:jc w:val="right"/>
            </w:pPr>
            <w:r>
              <w:rPr>
                <w:rFonts w:eastAsiaTheme="minorEastAsia"/>
                <w:color w:val="000000" w:themeColor="text1"/>
                <w:szCs w:val="21"/>
              </w:rPr>
              <w:t>3.00</w:t>
            </w:r>
          </w:p>
        </w:tc>
      </w:tr>
      <w:tr w:rsidR="00B86F3D" w14:paraId="77EBF747" w14:textId="77777777">
        <w:tc>
          <w:tcPr>
            <w:tcW w:w="817" w:type="dxa"/>
            <w:vAlign w:val="center"/>
          </w:tcPr>
          <w:p w14:paraId="32CF00E3" w14:textId="77777777" w:rsidR="00B86F3D" w:rsidRDefault="00A16177">
            <w:pPr>
              <w:jc w:val="center"/>
            </w:pPr>
            <w:r>
              <w:rPr>
                <w:rFonts w:eastAsiaTheme="minorEastAsia"/>
                <w:color w:val="000000" w:themeColor="text1"/>
                <w:szCs w:val="21"/>
              </w:rPr>
              <w:t>3</w:t>
            </w:r>
          </w:p>
        </w:tc>
        <w:tc>
          <w:tcPr>
            <w:tcW w:w="1276" w:type="dxa"/>
            <w:vAlign w:val="center"/>
          </w:tcPr>
          <w:p w14:paraId="4A61D23D" w14:textId="77777777" w:rsidR="00B86F3D" w:rsidRDefault="00A16177">
            <w:pPr>
              <w:jc w:val="center"/>
            </w:pPr>
            <w:r>
              <w:rPr>
                <w:rFonts w:eastAsiaTheme="minorEastAsia"/>
                <w:color w:val="000000" w:themeColor="text1"/>
                <w:szCs w:val="21"/>
              </w:rPr>
              <w:t>00101</w:t>
            </w:r>
          </w:p>
        </w:tc>
        <w:tc>
          <w:tcPr>
            <w:tcW w:w="1701" w:type="dxa"/>
            <w:vAlign w:val="center"/>
          </w:tcPr>
          <w:p w14:paraId="25CB5CD5" w14:textId="77777777" w:rsidR="00B86F3D" w:rsidRDefault="00A16177">
            <w:pPr>
              <w:jc w:val="center"/>
            </w:pPr>
            <w:r>
              <w:rPr>
                <w:rFonts w:eastAsiaTheme="minorEastAsia"/>
                <w:color w:val="000000" w:themeColor="text1"/>
                <w:szCs w:val="21"/>
              </w:rPr>
              <w:t>恒隆地产</w:t>
            </w:r>
          </w:p>
        </w:tc>
        <w:tc>
          <w:tcPr>
            <w:tcW w:w="1276" w:type="dxa"/>
            <w:vAlign w:val="center"/>
          </w:tcPr>
          <w:p w14:paraId="05B515B9" w14:textId="77777777" w:rsidR="00B86F3D" w:rsidRDefault="00A16177">
            <w:pPr>
              <w:jc w:val="right"/>
            </w:pPr>
            <w:r>
              <w:rPr>
                <w:rFonts w:eastAsiaTheme="minorEastAsia"/>
                <w:color w:val="000000" w:themeColor="text1"/>
                <w:szCs w:val="21"/>
              </w:rPr>
              <w:t>30,999,000.00</w:t>
            </w:r>
          </w:p>
        </w:tc>
        <w:tc>
          <w:tcPr>
            <w:tcW w:w="1842" w:type="dxa"/>
            <w:vAlign w:val="center"/>
          </w:tcPr>
          <w:p w14:paraId="0F0F127B" w14:textId="77777777" w:rsidR="00B86F3D" w:rsidRDefault="00A16177">
            <w:pPr>
              <w:jc w:val="right"/>
            </w:pPr>
            <w:r>
              <w:rPr>
                <w:rFonts w:eastAsiaTheme="minorEastAsia"/>
                <w:color w:val="000000" w:themeColor="text1"/>
                <w:szCs w:val="21"/>
              </w:rPr>
              <w:t>178,840,335.97</w:t>
            </w:r>
          </w:p>
        </w:tc>
        <w:tc>
          <w:tcPr>
            <w:tcW w:w="1616" w:type="dxa"/>
            <w:vAlign w:val="center"/>
          </w:tcPr>
          <w:p w14:paraId="5044BBF8" w14:textId="77777777" w:rsidR="00B86F3D" w:rsidRDefault="00A16177">
            <w:pPr>
              <w:jc w:val="right"/>
            </w:pPr>
            <w:r>
              <w:rPr>
                <w:rFonts w:eastAsiaTheme="minorEastAsia"/>
                <w:color w:val="000000" w:themeColor="text1"/>
                <w:szCs w:val="21"/>
              </w:rPr>
              <w:t>2.99</w:t>
            </w:r>
          </w:p>
        </w:tc>
      </w:tr>
      <w:tr w:rsidR="00B86F3D" w14:paraId="4050098D" w14:textId="77777777">
        <w:tc>
          <w:tcPr>
            <w:tcW w:w="817" w:type="dxa"/>
            <w:vAlign w:val="center"/>
          </w:tcPr>
          <w:p w14:paraId="327A44FF" w14:textId="77777777" w:rsidR="00B86F3D" w:rsidRDefault="00A16177">
            <w:pPr>
              <w:jc w:val="center"/>
            </w:pPr>
            <w:r>
              <w:rPr>
                <w:rFonts w:eastAsiaTheme="minorEastAsia"/>
                <w:color w:val="000000" w:themeColor="text1"/>
                <w:szCs w:val="21"/>
              </w:rPr>
              <w:t>4</w:t>
            </w:r>
          </w:p>
        </w:tc>
        <w:tc>
          <w:tcPr>
            <w:tcW w:w="1276" w:type="dxa"/>
            <w:vAlign w:val="center"/>
          </w:tcPr>
          <w:p w14:paraId="17B5BB30" w14:textId="77777777" w:rsidR="00B86F3D" w:rsidRDefault="00A16177">
            <w:pPr>
              <w:jc w:val="center"/>
            </w:pPr>
            <w:r>
              <w:rPr>
                <w:rFonts w:eastAsiaTheme="minorEastAsia"/>
                <w:color w:val="000000" w:themeColor="text1"/>
                <w:szCs w:val="21"/>
              </w:rPr>
              <w:t>01988</w:t>
            </w:r>
          </w:p>
        </w:tc>
        <w:tc>
          <w:tcPr>
            <w:tcW w:w="1701" w:type="dxa"/>
            <w:vAlign w:val="center"/>
          </w:tcPr>
          <w:p w14:paraId="31DADE08" w14:textId="77777777" w:rsidR="00B86F3D" w:rsidRDefault="00A16177">
            <w:pPr>
              <w:jc w:val="center"/>
            </w:pPr>
            <w:r>
              <w:rPr>
                <w:rFonts w:eastAsiaTheme="minorEastAsia"/>
                <w:color w:val="000000" w:themeColor="text1"/>
                <w:szCs w:val="21"/>
              </w:rPr>
              <w:t>民生银行</w:t>
            </w:r>
          </w:p>
        </w:tc>
        <w:tc>
          <w:tcPr>
            <w:tcW w:w="1276" w:type="dxa"/>
            <w:vAlign w:val="center"/>
          </w:tcPr>
          <w:p w14:paraId="34849839" w14:textId="77777777" w:rsidR="00B86F3D" w:rsidRDefault="00A16177">
            <w:pPr>
              <w:jc w:val="right"/>
            </w:pPr>
            <w:r>
              <w:rPr>
                <w:rFonts w:eastAsiaTheme="minorEastAsia"/>
                <w:color w:val="000000" w:themeColor="text1"/>
                <w:szCs w:val="21"/>
              </w:rPr>
              <w:t>55,902,000.00</w:t>
            </w:r>
          </w:p>
        </w:tc>
        <w:tc>
          <w:tcPr>
            <w:tcW w:w="1842" w:type="dxa"/>
            <w:vAlign w:val="center"/>
          </w:tcPr>
          <w:p w14:paraId="5DD088D7" w14:textId="77777777" w:rsidR="00B86F3D" w:rsidRDefault="00A16177">
            <w:pPr>
              <w:jc w:val="right"/>
            </w:pPr>
            <w:r>
              <w:rPr>
                <w:rFonts w:eastAsiaTheme="minorEastAsia"/>
                <w:color w:val="000000" w:themeColor="text1"/>
                <w:szCs w:val="21"/>
              </w:rPr>
              <w:t>178,080,159.00</w:t>
            </w:r>
          </w:p>
        </w:tc>
        <w:tc>
          <w:tcPr>
            <w:tcW w:w="1616" w:type="dxa"/>
            <w:vAlign w:val="center"/>
          </w:tcPr>
          <w:p w14:paraId="241E7A8C" w14:textId="77777777" w:rsidR="00B86F3D" w:rsidRDefault="00A16177">
            <w:pPr>
              <w:jc w:val="right"/>
            </w:pPr>
            <w:r>
              <w:rPr>
                <w:rFonts w:eastAsiaTheme="minorEastAsia"/>
                <w:color w:val="000000" w:themeColor="text1"/>
                <w:szCs w:val="21"/>
              </w:rPr>
              <w:t>2.98</w:t>
            </w:r>
          </w:p>
        </w:tc>
      </w:tr>
      <w:tr w:rsidR="00B86F3D" w14:paraId="2EAFA7C9" w14:textId="77777777">
        <w:tc>
          <w:tcPr>
            <w:tcW w:w="817" w:type="dxa"/>
            <w:vAlign w:val="center"/>
          </w:tcPr>
          <w:p w14:paraId="598B4501" w14:textId="77777777" w:rsidR="00B86F3D" w:rsidRDefault="00A16177">
            <w:pPr>
              <w:jc w:val="center"/>
            </w:pPr>
            <w:r>
              <w:rPr>
                <w:rFonts w:eastAsiaTheme="minorEastAsia"/>
                <w:color w:val="000000" w:themeColor="text1"/>
                <w:szCs w:val="21"/>
              </w:rPr>
              <w:t>5</w:t>
            </w:r>
          </w:p>
        </w:tc>
        <w:tc>
          <w:tcPr>
            <w:tcW w:w="1276" w:type="dxa"/>
            <w:vAlign w:val="center"/>
          </w:tcPr>
          <w:p w14:paraId="4EE32EF3" w14:textId="77777777" w:rsidR="00B86F3D" w:rsidRDefault="00A16177">
            <w:pPr>
              <w:jc w:val="center"/>
            </w:pPr>
            <w:r>
              <w:rPr>
                <w:rFonts w:eastAsiaTheme="minorEastAsia"/>
                <w:color w:val="000000" w:themeColor="text1"/>
                <w:szCs w:val="21"/>
              </w:rPr>
              <w:t>01972</w:t>
            </w:r>
          </w:p>
        </w:tc>
        <w:tc>
          <w:tcPr>
            <w:tcW w:w="1701" w:type="dxa"/>
            <w:vAlign w:val="center"/>
          </w:tcPr>
          <w:p w14:paraId="7C8CF637" w14:textId="77777777" w:rsidR="00B86F3D" w:rsidRDefault="00A16177">
            <w:pPr>
              <w:jc w:val="center"/>
            </w:pPr>
            <w:r>
              <w:rPr>
                <w:rFonts w:eastAsiaTheme="minorEastAsia"/>
                <w:color w:val="000000" w:themeColor="text1"/>
                <w:szCs w:val="21"/>
              </w:rPr>
              <w:t>太古地产</w:t>
            </w:r>
          </w:p>
        </w:tc>
        <w:tc>
          <w:tcPr>
            <w:tcW w:w="1276" w:type="dxa"/>
            <w:vAlign w:val="center"/>
          </w:tcPr>
          <w:p w14:paraId="46CEA94C" w14:textId="77777777" w:rsidR="00B86F3D" w:rsidRDefault="00A16177">
            <w:pPr>
              <w:jc w:val="right"/>
            </w:pPr>
            <w:r>
              <w:rPr>
                <w:rFonts w:eastAsiaTheme="minorEastAsia"/>
                <w:color w:val="000000" w:themeColor="text1"/>
                <w:szCs w:val="21"/>
              </w:rPr>
              <w:t>11,584,200.00</w:t>
            </w:r>
          </w:p>
        </w:tc>
        <w:tc>
          <w:tcPr>
            <w:tcW w:w="1842" w:type="dxa"/>
            <w:vAlign w:val="center"/>
          </w:tcPr>
          <w:p w14:paraId="01419245" w14:textId="77777777" w:rsidR="00B86F3D" w:rsidRDefault="00A16177">
            <w:pPr>
              <w:jc w:val="right"/>
            </w:pPr>
            <w:r>
              <w:rPr>
                <w:rFonts w:eastAsiaTheme="minorEastAsia"/>
                <w:color w:val="000000" w:themeColor="text1"/>
                <w:szCs w:val="21"/>
              </w:rPr>
              <w:t>169,707,983.23</w:t>
            </w:r>
          </w:p>
        </w:tc>
        <w:tc>
          <w:tcPr>
            <w:tcW w:w="1616" w:type="dxa"/>
            <w:vAlign w:val="center"/>
          </w:tcPr>
          <w:p w14:paraId="4B950362" w14:textId="77777777" w:rsidR="00B86F3D" w:rsidRDefault="00A16177">
            <w:pPr>
              <w:jc w:val="right"/>
            </w:pPr>
            <w:r>
              <w:rPr>
                <w:rFonts w:eastAsiaTheme="minorEastAsia"/>
                <w:color w:val="000000" w:themeColor="text1"/>
                <w:szCs w:val="21"/>
              </w:rPr>
              <w:t>2.84</w:t>
            </w:r>
          </w:p>
        </w:tc>
      </w:tr>
      <w:tr w:rsidR="00B86F3D" w14:paraId="7DC23FC5" w14:textId="77777777">
        <w:tc>
          <w:tcPr>
            <w:tcW w:w="817" w:type="dxa"/>
            <w:vAlign w:val="center"/>
          </w:tcPr>
          <w:p w14:paraId="23C49F84" w14:textId="77777777" w:rsidR="00B86F3D" w:rsidRDefault="00A16177">
            <w:pPr>
              <w:jc w:val="center"/>
            </w:pPr>
            <w:r>
              <w:rPr>
                <w:rFonts w:eastAsiaTheme="minorEastAsia"/>
                <w:color w:val="000000" w:themeColor="text1"/>
                <w:szCs w:val="21"/>
              </w:rPr>
              <w:t>6</w:t>
            </w:r>
          </w:p>
        </w:tc>
        <w:tc>
          <w:tcPr>
            <w:tcW w:w="1276" w:type="dxa"/>
            <w:vAlign w:val="center"/>
          </w:tcPr>
          <w:p w14:paraId="49284818" w14:textId="77777777" w:rsidR="00B86F3D" w:rsidRDefault="00A16177">
            <w:pPr>
              <w:jc w:val="center"/>
            </w:pPr>
            <w:r>
              <w:rPr>
                <w:rFonts w:eastAsiaTheme="minorEastAsia"/>
                <w:color w:val="000000" w:themeColor="text1"/>
                <w:szCs w:val="21"/>
              </w:rPr>
              <w:t>00267</w:t>
            </w:r>
          </w:p>
        </w:tc>
        <w:tc>
          <w:tcPr>
            <w:tcW w:w="1701" w:type="dxa"/>
            <w:vAlign w:val="center"/>
          </w:tcPr>
          <w:p w14:paraId="2962A2F4" w14:textId="77777777" w:rsidR="00B86F3D" w:rsidRDefault="00A16177">
            <w:pPr>
              <w:jc w:val="center"/>
            </w:pPr>
            <w:r>
              <w:rPr>
                <w:rFonts w:eastAsiaTheme="minorEastAsia"/>
                <w:color w:val="000000" w:themeColor="text1"/>
                <w:szCs w:val="21"/>
              </w:rPr>
              <w:t>中信股份</w:t>
            </w:r>
          </w:p>
        </w:tc>
        <w:tc>
          <w:tcPr>
            <w:tcW w:w="1276" w:type="dxa"/>
            <w:vAlign w:val="center"/>
          </w:tcPr>
          <w:p w14:paraId="48122323" w14:textId="77777777" w:rsidR="00B86F3D" w:rsidRDefault="00A16177">
            <w:pPr>
              <w:jc w:val="right"/>
            </w:pPr>
            <w:r>
              <w:rPr>
                <w:rFonts w:eastAsiaTheme="minorEastAsia"/>
                <w:color w:val="000000" w:themeColor="text1"/>
                <w:szCs w:val="21"/>
              </w:rPr>
              <w:t>19,454,000.00</w:t>
            </w:r>
          </w:p>
        </w:tc>
        <w:tc>
          <w:tcPr>
            <w:tcW w:w="1842" w:type="dxa"/>
            <w:vAlign w:val="center"/>
          </w:tcPr>
          <w:p w14:paraId="7ADACDE7" w14:textId="77777777" w:rsidR="00B86F3D" w:rsidRDefault="00A16177">
            <w:pPr>
              <w:jc w:val="right"/>
            </w:pPr>
            <w:r>
              <w:rPr>
                <w:rFonts w:eastAsiaTheme="minorEastAsia"/>
                <w:color w:val="000000" w:themeColor="text1"/>
                <w:szCs w:val="21"/>
              </w:rPr>
              <w:t>165,919,827.69</w:t>
            </w:r>
          </w:p>
        </w:tc>
        <w:tc>
          <w:tcPr>
            <w:tcW w:w="1616" w:type="dxa"/>
            <w:vAlign w:val="center"/>
          </w:tcPr>
          <w:p w14:paraId="371A0F1B" w14:textId="77777777" w:rsidR="00B86F3D" w:rsidRDefault="00A16177">
            <w:pPr>
              <w:jc w:val="right"/>
            </w:pPr>
            <w:r>
              <w:rPr>
                <w:rFonts w:eastAsiaTheme="minorEastAsia"/>
                <w:color w:val="000000" w:themeColor="text1"/>
                <w:szCs w:val="21"/>
              </w:rPr>
              <w:t>2.77</w:t>
            </w:r>
          </w:p>
        </w:tc>
      </w:tr>
      <w:tr w:rsidR="00B86F3D" w14:paraId="4C4D90C5" w14:textId="77777777">
        <w:tc>
          <w:tcPr>
            <w:tcW w:w="817" w:type="dxa"/>
            <w:vAlign w:val="center"/>
          </w:tcPr>
          <w:p w14:paraId="201554EA" w14:textId="77777777" w:rsidR="00B86F3D" w:rsidRDefault="00A16177">
            <w:pPr>
              <w:jc w:val="center"/>
            </w:pPr>
            <w:r>
              <w:rPr>
                <w:rFonts w:eastAsiaTheme="minorEastAsia"/>
                <w:color w:val="000000" w:themeColor="text1"/>
                <w:szCs w:val="21"/>
              </w:rPr>
              <w:t>7</w:t>
            </w:r>
          </w:p>
        </w:tc>
        <w:tc>
          <w:tcPr>
            <w:tcW w:w="1276" w:type="dxa"/>
            <w:vAlign w:val="center"/>
          </w:tcPr>
          <w:p w14:paraId="6D6761A8" w14:textId="77777777" w:rsidR="00B86F3D" w:rsidRDefault="00A16177">
            <w:pPr>
              <w:jc w:val="center"/>
            </w:pPr>
            <w:r>
              <w:rPr>
                <w:rFonts w:eastAsiaTheme="minorEastAsia"/>
                <w:color w:val="000000" w:themeColor="text1"/>
                <w:szCs w:val="21"/>
              </w:rPr>
              <w:t>01336</w:t>
            </w:r>
          </w:p>
        </w:tc>
        <w:tc>
          <w:tcPr>
            <w:tcW w:w="1701" w:type="dxa"/>
            <w:vAlign w:val="center"/>
          </w:tcPr>
          <w:p w14:paraId="321A6344" w14:textId="77777777" w:rsidR="00B86F3D" w:rsidRDefault="00A16177">
            <w:pPr>
              <w:jc w:val="center"/>
            </w:pPr>
            <w:r>
              <w:rPr>
                <w:rFonts w:eastAsiaTheme="minorEastAsia"/>
                <w:color w:val="000000" w:themeColor="text1"/>
                <w:szCs w:val="21"/>
              </w:rPr>
              <w:t>新华保险</w:t>
            </w:r>
          </w:p>
        </w:tc>
        <w:tc>
          <w:tcPr>
            <w:tcW w:w="1276" w:type="dxa"/>
            <w:vAlign w:val="center"/>
          </w:tcPr>
          <w:p w14:paraId="395EFDA6" w14:textId="77777777" w:rsidR="00B86F3D" w:rsidRDefault="00A16177">
            <w:pPr>
              <w:jc w:val="right"/>
            </w:pPr>
            <w:r>
              <w:rPr>
                <w:rFonts w:eastAsiaTheme="minorEastAsia"/>
                <w:color w:val="000000" w:themeColor="text1"/>
                <w:szCs w:val="21"/>
              </w:rPr>
              <w:t>7,514,100.00</w:t>
            </w:r>
          </w:p>
        </w:tc>
        <w:tc>
          <w:tcPr>
            <w:tcW w:w="1842" w:type="dxa"/>
            <w:vAlign w:val="center"/>
          </w:tcPr>
          <w:p w14:paraId="0C3589E5" w14:textId="77777777" w:rsidR="00B86F3D" w:rsidRDefault="00A16177">
            <w:pPr>
              <w:jc w:val="right"/>
            </w:pPr>
            <w:r>
              <w:rPr>
                <w:rFonts w:eastAsiaTheme="minorEastAsia"/>
                <w:color w:val="000000" w:themeColor="text1"/>
                <w:szCs w:val="21"/>
              </w:rPr>
              <w:t>164,217,229.07</w:t>
            </w:r>
          </w:p>
        </w:tc>
        <w:tc>
          <w:tcPr>
            <w:tcW w:w="1616" w:type="dxa"/>
            <w:vAlign w:val="center"/>
          </w:tcPr>
          <w:p w14:paraId="7CF7DFB1" w14:textId="77777777" w:rsidR="00B86F3D" w:rsidRDefault="00A16177">
            <w:pPr>
              <w:jc w:val="right"/>
            </w:pPr>
            <w:r>
              <w:rPr>
                <w:rFonts w:eastAsiaTheme="minorEastAsia"/>
                <w:color w:val="000000" w:themeColor="text1"/>
                <w:szCs w:val="21"/>
              </w:rPr>
              <w:t>2.74</w:t>
            </w:r>
          </w:p>
        </w:tc>
      </w:tr>
      <w:tr w:rsidR="00B86F3D" w14:paraId="642BC987" w14:textId="77777777">
        <w:tc>
          <w:tcPr>
            <w:tcW w:w="817" w:type="dxa"/>
            <w:vAlign w:val="center"/>
          </w:tcPr>
          <w:p w14:paraId="56B7BEFD" w14:textId="77777777" w:rsidR="00B86F3D" w:rsidRDefault="00A16177">
            <w:pPr>
              <w:jc w:val="center"/>
            </w:pPr>
            <w:r>
              <w:rPr>
                <w:rFonts w:eastAsiaTheme="minorEastAsia"/>
                <w:color w:val="000000" w:themeColor="text1"/>
                <w:szCs w:val="21"/>
              </w:rPr>
              <w:t>8</w:t>
            </w:r>
          </w:p>
        </w:tc>
        <w:tc>
          <w:tcPr>
            <w:tcW w:w="1276" w:type="dxa"/>
            <w:vAlign w:val="center"/>
          </w:tcPr>
          <w:p w14:paraId="6226DF8D" w14:textId="77777777" w:rsidR="00B86F3D" w:rsidRDefault="00A16177">
            <w:pPr>
              <w:jc w:val="center"/>
            </w:pPr>
            <w:r>
              <w:rPr>
                <w:rFonts w:eastAsiaTheme="minorEastAsia"/>
                <w:color w:val="000000" w:themeColor="text1"/>
                <w:szCs w:val="21"/>
              </w:rPr>
              <w:t>03360</w:t>
            </w:r>
          </w:p>
        </w:tc>
        <w:tc>
          <w:tcPr>
            <w:tcW w:w="1701" w:type="dxa"/>
            <w:vAlign w:val="center"/>
          </w:tcPr>
          <w:p w14:paraId="085B16CB" w14:textId="77777777" w:rsidR="00B86F3D" w:rsidRDefault="00A16177">
            <w:pPr>
              <w:jc w:val="center"/>
            </w:pPr>
            <w:r>
              <w:rPr>
                <w:rFonts w:eastAsiaTheme="minorEastAsia"/>
                <w:color w:val="000000" w:themeColor="text1"/>
                <w:szCs w:val="21"/>
              </w:rPr>
              <w:t>远东宏信</w:t>
            </w:r>
          </w:p>
        </w:tc>
        <w:tc>
          <w:tcPr>
            <w:tcW w:w="1276" w:type="dxa"/>
            <w:vAlign w:val="center"/>
          </w:tcPr>
          <w:p w14:paraId="298612CF" w14:textId="77777777" w:rsidR="00B86F3D" w:rsidRDefault="00A16177">
            <w:pPr>
              <w:jc w:val="right"/>
            </w:pPr>
            <w:r>
              <w:rPr>
                <w:rFonts w:eastAsiaTheme="minorEastAsia"/>
                <w:color w:val="000000" w:themeColor="text1"/>
                <w:szCs w:val="21"/>
              </w:rPr>
              <w:t>31,253,000.00</w:t>
            </w:r>
          </w:p>
        </w:tc>
        <w:tc>
          <w:tcPr>
            <w:tcW w:w="1842" w:type="dxa"/>
            <w:vAlign w:val="center"/>
          </w:tcPr>
          <w:p w14:paraId="178C575C" w14:textId="77777777" w:rsidR="00B86F3D" w:rsidRDefault="00A16177">
            <w:pPr>
              <w:jc w:val="right"/>
            </w:pPr>
            <w:r>
              <w:rPr>
                <w:rFonts w:eastAsiaTheme="minorEastAsia"/>
                <w:color w:val="000000" w:themeColor="text1"/>
                <w:szCs w:val="21"/>
              </w:rPr>
              <w:t>164,098,464.44</w:t>
            </w:r>
          </w:p>
        </w:tc>
        <w:tc>
          <w:tcPr>
            <w:tcW w:w="1616" w:type="dxa"/>
            <w:vAlign w:val="center"/>
          </w:tcPr>
          <w:p w14:paraId="7E0014D2" w14:textId="77777777" w:rsidR="00B86F3D" w:rsidRDefault="00A16177">
            <w:pPr>
              <w:jc w:val="right"/>
            </w:pPr>
            <w:r>
              <w:rPr>
                <w:rFonts w:eastAsiaTheme="minorEastAsia"/>
                <w:color w:val="000000" w:themeColor="text1"/>
                <w:szCs w:val="21"/>
              </w:rPr>
              <w:t>2.74</w:t>
            </w:r>
          </w:p>
        </w:tc>
      </w:tr>
      <w:tr w:rsidR="00B86F3D" w14:paraId="7D6DCE83" w14:textId="77777777">
        <w:tc>
          <w:tcPr>
            <w:tcW w:w="817" w:type="dxa"/>
            <w:vAlign w:val="center"/>
          </w:tcPr>
          <w:p w14:paraId="7EDF2904" w14:textId="77777777" w:rsidR="00B86F3D" w:rsidRDefault="00A16177">
            <w:pPr>
              <w:jc w:val="center"/>
            </w:pPr>
            <w:r>
              <w:rPr>
                <w:rFonts w:eastAsiaTheme="minorEastAsia"/>
                <w:color w:val="000000" w:themeColor="text1"/>
                <w:szCs w:val="21"/>
              </w:rPr>
              <w:t>9</w:t>
            </w:r>
          </w:p>
        </w:tc>
        <w:tc>
          <w:tcPr>
            <w:tcW w:w="1276" w:type="dxa"/>
            <w:vAlign w:val="center"/>
          </w:tcPr>
          <w:p w14:paraId="52356AA6" w14:textId="77777777" w:rsidR="00B86F3D" w:rsidRDefault="00A16177">
            <w:pPr>
              <w:jc w:val="center"/>
            </w:pPr>
            <w:r>
              <w:rPr>
                <w:rFonts w:eastAsiaTheme="minorEastAsia"/>
                <w:color w:val="000000" w:themeColor="text1"/>
                <w:szCs w:val="21"/>
              </w:rPr>
              <w:t>01288</w:t>
            </w:r>
          </w:p>
        </w:tc>
        <w:tc>
          <w:tcPr>
            <w:tcW w:w="1701" w:type="dxa"/>
            <w:vAlign w:val="center"/>
          </w:tcPr>
          <w:p w14:paraId="6649473B" w14:textId="77777777" w:rsidR="00B86F3D" w:rsidRDefault="00A16177">
            <w:pPr>
              <w:jc w:val="center"/>
            </w:pPr>
            <w:r>
              <w:rPr>
                <w:rFonts w:eastAsiaTheme="minorEastAsia"/>
                <w:color w:val="000000" w:themeColor="text1"/>
                <w:szCs w:val="21"/>
              </w:rPr>
              <w:t>农业银行</w:t>
            </w:r>
          </w:p>
        </w:tc>
        <w:tc>
          <w:tcPr>
            <w:tcW w:w="1276" w:type="dxa"/>
            <w:vAlign w:val="center"/>
          </w:tcPr>
          <w:p w14:paraId="243E95FA" w14:textId="77777777" w:rsidR="00B86F3D" w:rsidRDefault="00A16177">
            <w:pPr>
              <w:jc w:val="right"/>
            </w:pPr>
            <w:r>
              <w:rPr>
                <w:rFonts w:eastAsiaTheme="minorEastAsia"/>
                <w:color w:val="000000" w:themeColor="text1"/>
                <w:szCs w:val="21"/>
              </w:rPr>
              <w:t>39,676,000.00</w:t>
            </w:r>
          </w:p>
        </w:tc>
        <w:tc>
          <w:tcPr>
            <w:tcW w:w="1842" w:type="dxa"/>
            <w:vAlign w:val="center"/>
          </w:tcPr>
          <w:p w14:paraId="100C4EBF" w14:textId="77777777" w:rsidR="00B86F3D" w:rsidRDefault="00A16177">
            <w:pPr>
              <w:jc w:val="right"/>
            </w:pPr>
            <w:r>
              <w:rPr>
                <w:rFonts w:eastAsiaTheme="minorEastAsia"/>
                <w:color w:val="000000" w:themeColor="text1"/>
                <w:szCs w:val="21"/>
              </w:rPr>
              <w:t>162,765,124.27</w:t>
            </w:r>
          </w:p>
        </w:tc>
        <w:tc>
          <w:tcPr>
            <w:tcW w:w="1616" w:type="dxa"/>
            <w:vAlign w:val="center"/>
          </w:tcPr>
          <w:p w14:paraId="4335AE55" w14:textId="77777777" w:rsidR="00B86F3D" w:rsidRDefault="00A16177">
            <w:pPr>
              <w:jc w:val="right"/>
            </w:pPr>
            <w:r>
              <w:rPr>
                <w:rFonts w:eastAsiaTheme="minorEastAsia"/>
                <w:color w:val="000000" w:themeColor="text1"/>
                <w:szCs w:val="21"/>
              </w:rPr>
              <w:t>2.72</w:t>
            </w:r>
          </w:p>
        </w:tc>
      </w:tr>
      <w:tr w:rsidR="00B86F3D" w14:paraId="7B0453D5" w14:textId="77777777">
        <w:tc>
          <w:tcPr>
            <w:tcW w:w="817" w:type="dxa"/>
            <w:vAlign w:val="center"/>
          </w:tcPr>
          <w:p w14:paraId="78987D69" w14:textId="77777777" w:rsidR="00B86F3D" w:rsidRDefault="00A16177">
            <w:pPr>
              <w:jc w:val="center"/>
            </w:pPr>
            <w:r>
              <w:rPr>
                <w:rFonts w:eastAsiaTheme="minorEastAsia"/>
                <w:color w:val="000000" w:themeColor="text1"/>
                <w:szCs w:val="21"/>
              </w:rPr>
              <w:t>10</w:t>
            </w:r>
          </w:p>
        </w:tc>
        <w:tc>
          <w:tcPr>
            <w:tcW w:w="1276" w:type="dxa"/>
            <w:vAlign w:val="center"/>
          </w:tcPr>
          <w:p w14:paraId="0D100EDF" w14:textId="77777777" w:rsidR="00B86F3D" w:rsidRDefault="00A16177">
            <w:pPr>
              <w:jc w:val="center"/>
            </w:pPr>
            <w:r>
              <w:rPr>
                <w:rFonts w:eastAsiaTheme="minorEastAsia"/>
                <w:color w:val="000000" w:themeColor="text1"/>
                <w:szCs w:val="21"/>
              </w:rPr>
              <w:t>01339</w:t>
            </w:r>
          </w:p>
        </w:tc>
        <w:tc>
          <w:tcPr>
            <w:tcW w:w="1701" w:type="dxa"/>
            <w:vAlign w:val="center"/>
          </w:tcPr>
          <w:p w14:paraId="3C173FE1" w14:textId="77777777" w:rsidR="00B86F3D" w:rsidRDefault="00A16177">
            <w:pPr>
              <w:jc w:val="center"/>
            </w:pPr>
            <w:r>
              <w:rPr>
                <w:rFonts w:eastAsiaTheme="minorEastAsia"/>
                <w:color w:val="000000" w:themeColor="text1"/>
                <w:szCs w:val="21"/>
              </w:rPr>
              <w:t>中国人民保险集团</w:t>
            </w:r>
          </w:p>
        </w:tc>
        <w:tc>
          <w:tcPr>
            <w:tcW w:w="1276" w:type="dxa"/>
            <w:vAlign w:val="center"/>
          </w:tcPr>
          <w:p w14:paraId="62FA5D6C" w14:textId="77777777" w:rsidR="00B86F3D" w:rsidRDefault="00A16177">
            <w:pPr>
              <w:jc w:val="right"/>
            </w:pPr>
            <w:r>
              <w:rPr>
                <w:rFonts w:eastAsiaTheme="minorEastAsia"/>
                <w:color w:val="000000" w:themeColor="text1"/>
                <w:szCs w:val="21"/>
              </w:rPr>
              <w:t>44,153,000.00</w:t>
            </w:r>
          </w:p>
        </w:tc>
        <w:tc>
          <w:tcPr>
            <w:tcW w:w="1842" w:type="dxa"/>
            <w:vAlign w:val="center"/>
          </w:tcPr>
          <w:p w14:paraId="39DEEB66" w14:textId="77777777" w:rsidR="00B86F3D" w:rsidRDefault="00A16177">
            <w:pPr>
              <w:jc w:val="right"/>
            </w:pPr>
            <w:r>
              <w:rPr>
                <w:rFonts w:eastAsiaTheme="minorEastAsia"/>
                <w:color w:val="000000" w:themeColor="text1"/>
                <w:szCs w:val="21"/>
              </w:rPr>
              <w:t>158,234,408.74</w:t>
            </w:r>
          </w:p>
        </w:tc>
        <w:tc>
          <w:tcPr>
            <w:tcW w:w="1616" w:type="dxa"/>
            <w:vAlign w:val="center"/>
          </w:tcPr>
          <w:p w14:paraId="37F988DD" w14:textId="77777777" w:rsidR="00B86F3D" w:rsidRDefault="00A16177">
            <w:pPr>
              <w:jc w:val="right"/>
            </w:pPr>
            <w:r>
              <w:rPr>
                <w:rFonts w:eastAsiaTheme="minorEastAsia"/>
                <w:color w:val="000000" w:themeColor="text1"/>
                <w:szCs w:val="21"/>
              </w:rPr>
              <w:t>2.64</w:t>
            </w:r>
          </w:p>
        </w:tc>
      </w:tr>
    </w:tbl>
    <w:p w14:paraId="7011128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p w14:paraId="59FFD014"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45DE7ACA"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031963F7"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001CA04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653D50F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7C589CD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6E85069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005ADB0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8922F8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5B35410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250C979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F21355A"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6808BD4C"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3252F35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34E053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32A895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21E476B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4AB6B0D"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4F36B56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00D9140C" w14:textId="77777777" w:rsidR="00881A82" w:rsidRPr="00473486" w:rsidRDefault="00881A82">
      <w:pPr>
        <w:adjustRightInd w:val="0"/>
        <w:snapToGrid w:val="0"/>
        <w:spacing w:line="360" w:lineRule="exact"/>
        <w:rPr>
          <w:rFonts w:eastAsiaTheme="minorEastAsia"/>
          <w:color w:val="000000" w:themeColor="text1"/>
          <w:sz w:val="24"/>
        </w:rPr>
      </w:pPr>
    </w:p>
    <w:p w14:paraId="22E2C09E"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70041FF9"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694B901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12E40240"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本基金投资的前十名证券的发行主体中，新华人寿保险股份有限公司报告编制日前一年内曾受到央行北京市分行的处罚。</w:t>
      </w:r>
    </w:p>
    <w:p w14:paraId="50370BB2" w14:textId="77777777" w:rsidR="00B86F3D" w:rsidRDefault="00A16177">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AC87936"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27DF0CB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1ECE0D2F" w14:textId="77777777">
        <w:trPr>
          <w:trHeight w:val="567"/>
        </w:trPr>
        <w:tc>
          <w:tcPr>
            <w:tcW w:w="944" w:type="dxa"/>
            <w:vAlign w:val="center"/>
          </w:tcPr>
          <w:p w14:paraId="32F8C63E"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0CD9FD9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21E30F4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14E7788C" w14:textId="77777777">
        <w:trPr>
          <w:trHeight w:val="567"/>
        </w:trPr>
        <w:tc>
          <w:tcPr>
            <w:tcW w:w="944" w:type="dxa"/>
            <w:vAlign w:val="center"/>
          </w:tcPr>
          <w:p w14:paraId="61DC7740"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61D7AE69"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2A4ADC0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92BCB48" w14:textId="77777777">
        <w:trPr>
          <w:trHeight w:val="567"/>
        </w:trPr>
        <w:tc>
          <w:tcPr>
            <w:tcW w:w="944" w:type="dxa"/>
            <w:vAlign w:val="center"/>
          </w:tcPr>
          <w:p w14:paraId="0F08465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4B7F22EA"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676B446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4527C77" w14:textId="77777777">
        <w:trPr>
          <w:trHeight w:val="567"/>
        </w:trPr>
        <w:tc>
          <w:tcPr>
            <w:tcW w:w="944" w:type="dxa"/>
            <w:vAlign w:val="center"/>
          </w:tcPr>
          <w:p w14:paraId="402254E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00203AA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6F75C6A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12,168,743.08</w:t>
            </w:r>
          </w:p>
        </w:tc>
      </w:tr>
      <w:tr w:rsidR="00881A82" w:rsidRPr="00473486" w14:paraId="698826B6" w14:textId="77777777">
        <w:trPr>
          <w:trHeight w:val="567"/>
        </w:trPr>
        <w:tc>
          <w:tcPr>
            <w:tcW w:w="944" w:type="dxa"/>
            <w:vAlign w:val="center"/>
          </w:tcPr>
          <w:p w14:paraId="3B7D9EE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5D45A3D6"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53AB311E"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3F518CC" w14:textId="77777777">
        <w:trPr>
          <w:trHeight w:val="567"/>
        </w:trPr>
        <w:tc>
          <w:tcPr>
            <w:tcW w:w="944" w:type="dxa"/>
            <w:vAlign w:val="center"/>
          </w:tcPr>
          <w:p w14:paraId="2741F3A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282D17D9"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64F8B2E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AEEA3A8" w14:textId="77777777">
        <w:trPr>
          <w:trHeight w:val="567"/>
        </w:trPr>
        <w:tc>
          <w:tcPr>
            <w:tcW w:w="944" w:type="dxa"/>
            <w:vAlign w:val="center"/>
          </w:tcPr>
          <w:p w14:paraId="5CC516C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100709B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790C60E8"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433A4C5" w14:textId="77777777">
        <w:trPr>
          <w:trHeight w:val="567"/>
        </w:trPr>
        <w:tc>
          <w:tcPr>
            <w:tcW w:w="944" w:type="dxa"/>
          </w:tcPr>
          <w:p w14:paraId="60095C24"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6220B182"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1B46BFAA"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B1BB6CA" w14:textId="77777777">
        <w:trPr>
          <w:trHeight w:val="567"/>
        </w:trPr>
        <w:tc>
          <w:tcPr>
            <w:tcW w:w="944" w:type="dxa"/>
            <w:vAlign w:val="center"/>
          </w:tcPr>
          <w:p w14:paraId="4C44BC0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03EE6E0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6CFFC45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13C15F0B" w14:textId="77777777">
        <w:trPr>
          <w:trHeight w:val="567"/>
        </w:trPr>
        <w:tc>
          <w:tcPr>
            <w:tcW w:w="944" w:type="dxa"/>
            <w:vAlign w:val="center"/>
          </w:tcPr>
          <w:p w14:paraId="614028FD"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7571684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1ABB052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12,168,743.08</w:t>
            </w:r>
          </w:p>
        </w:tc>
      </w:tr>
    </w:tbl>
    <w:p w14:paraId="7C67F37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3AF457E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4ADDF96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40B52015"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7F9CACA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38987981"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4C7A270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0536FC60" w14:textId="77777777" w:rsidR="00881A82" w:rsidRPr="00473486" w:rsidRDefault="00881A82">
      <w:pPr>
        <w:spacing w:line="360" w:lineRule="auto"/>
        <w:rPr>
          <w:rFonts w:eastAsiaTheme="minorEastAsia"/>
          <w:bCs/>
          <w:color w:val="000000" w:themeColor="text1"/>
          <w:szCs w:val="21"/>
        </w:rPr>
      </w:pPr>
    </w:p>
    <w:p w14:paraId="297CAC6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2EEE570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088DE4E4" w14:textId="77777777" w:rsidR="00881A82" w:rsidRPr="00473486" w:rsidRDefault="00881A82">
      <w:pPr>
        <w:spacing w:line="360" w:lineRule="auto"/>
        <w:ind w:firstLineChars="200" w:firstLine="420"/>
        <w:rPr>
          <w:rFonts w:eastAsiaTheme="minorEastAsia"/>
          <w:color w:val="000000" w:themeColor="text1"/>
          <w:szCs w:val="21"/>
        </w:rPr>
      </w:pPr>
    </w:p>
    <w:p w14:paraId="4692B28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04D7CBA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1877C87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5AB5FC9"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A8697B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2,339,359,000.00</w:t>
            </w:r>
          </w:p>
        </w:tc>
      </w:tr>
      <w:tr w:rsidR="00881A82" w:rsidRPr="00473486" w14:paraId="4BBABA5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6531816"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CCFD21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2,338,000,000.00</w:t>
            </w:r>
          </w:p>
        </w:tc>
      </w:tr>
      <w:tr w:rsidR="00881A82" w:rsidRPr="00473486" w14:paraId="230B718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58C095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84FA8C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11,000,000.00</w:t>
            </w:r>
          </w:p>
        </w:tc>
      </w:tr>
      <w:tr w:rsidR="00881A82" w:rsidRPr="00473486" w14:paraId="7201BAB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0910072B"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6EFA10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D3408F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766217B"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41F3B5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4,666,359,000.00</w:t>
            </w:r>
          </w:p>
        </w:tc>
      </w:tr>
    </w:tbl>
    <w:p w14:paraId="4047CFF4"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1E01ABA5"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412290E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661E2EC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EF59D54"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1FA15DD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0C9A7932"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1D283674"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12B95973" w14:textId="77777777">
        <w:tc>
          <w:tcPr>
            <w:tcW w:w="993" w:type="dxa"/>
            <w:vMerge w:val="restart"/>
            <w:vAlign w:val="center"/>
          </w:tcPr>
          <w:p w14:paraId="2ABDB7F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4B473E92"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0738379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18073D4F" w14:textId="77777777">
        <w:tc>
          <w:tcPr>
            <w:tcW w:w="993" w:type="dxa"/>
            <w:vMerge/>
            <w:vAlign w:val="center"/>
          </w:tcPr>
          <w:p w14:paraId="6BA95017"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59726EDA"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16137BA3"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047AD8E9"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77E01B10"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6B7B2C65"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6F631AFF"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480F8FAA"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B86F3D" w14:paraId="700B3AD6" w14:textId="77777777">
        <w:tc>
          <w:tcPr>
            <w:tcW w:w="993" w:type="dxa"/>
            <w:vMerge w:val="restart"/>
            <w:vAlign w:val="center"/>
          </w:tcPr>
          <w:p w14:paraId="68C7BD4A" w14:textId="77777777" w:rsidR="00B86F3D" w:rsidRDefault="00A16177">
            <w:r>
              <w:rPr>
                <w:bCs/>
                <w:color w:val="000000"/>
                <w:kern w:val="0"/>
                <w:szCs w:val="21"/>
              </w:rPr>
              <w:t>机构</w:t>
            </w:r>
          </w:p>
        </w:tc>
        <w:tc>
          <w:tcPr>
            <w:tcW w:w="992" w:type="dxa"/>
            <w:vAlign w:val="center"/>
          </w:tcPr>
          <w:p w14:paraId="51B5A58F" w14:textId="77777777" w:rsidR="00B86F3D" w:rsidRDefault="00A16177">
            <w:pPr>
              <w:jc w:val="center"/>
            </w:pPr>
            <w:r>
              <w:rPr>
                <w:color w:val="000000"/>
                <w:kern w:val="0"/>
                <w:szCs w:val="21"/>
              </w:rPr>
              <w:t>1</w:t>
            </w:r>
          </w:p>
        </w:tc>
        <w:tc>
          <w:tcPr>
            <w:tcW w:w="1843" w:type="dxa"/>
            <w:vAlign w:val="center"/>
          </w:tcPr>
          <w:p w14:paraId="409D4B72" w14:textId="77777777" w:rsidR="00B86F3D" w:rsidRDefault="00A16177">
            <w:pPr>
              <w:jc w:val="center"/>
            </w:pPr>
            <w:r>
              <w:rPr>
                <w:color w:val="000000"/>
                <w:kern w:val="0"/>
                <w:szCs w:val="21"/>
              </w:rPr>
              <w:t>20241028-20241231</w:t>
            </w:r>
          </w:p>
        </w:tc>
        <w:tc>
          <w:tcPr>
            <w:tcW w:w="851" w:type="dxa"/>
            <w:vAlign w:val="center"/>
          </w:tcPr>
          <w:p w14:paraId="6D642EDA" w14:textId="77777777" w:rsidR="00B86F3D" w:rsidRDefault="00A16177">
            <w:pPr>
              <w:jc w:val="center"/>
            </w:pPr>
            <w:r>
              <w:rPr>
                <w:color w:val="000000"/>
                <w:kern w:val="0"/>
                <w:szCs w:val="21"/>
              </w:rPr>
              <w:t>300,864,200.00</w:t>
            </w:r>
          </w:p>
        </w:tc>
        <w:tc>
          <w:tcPr>
            <w:tcW w:w="850" w:type="dxa"/>
            <w:vAlign w:val="center"/>
          </w:tcPr>
          <w:p w14:paraId="37664440" w14:textId="77777777" w:rsidR="00B86F3D" w:rsidRDefault="00A16177">
            <w:pPr>
              <w:jc w:val="center"/>
            </w:pPr>
            <w:r>
              <w:rPr>
                <w:color w:val="000000"/>
                <w:kern w:val="0"/>
                <w:szCs w:val="21"/>
              </w:rPr>
              <w:t>770,049,100.00</w:t>
            </w:r>
          </w:p>
        </w:tc>
        <w:tc>
          <w:tcPr>
            <w:tcW w:w="1134" w:type="dxa"/>
            <w:vAlign w:val="center"/>
          </w:tcPr>
          <w:p w14:paraId="69552A2F" w14:textId="77777777" w:rsidR="00B86F3D" w:rsidRDefault="00A16177">
            <w:pPr>
              <w:jc w:val="center"/>
            </w:pPr>
            <w:r>
              <w:rPr>
                <w:color w:val="000000"/>
                <w:kern w:val="0"/>
                <w:szCs w:val="21"/>
              </w:rPr>
              <w:t>0.00</w:t>
            </w:r>
          </w:p>
        </w:tc>
        <w:tc>
          <w:tcPr>
            <w:tcW w:w="1419" w:type="dxa"/>
            <w:vAlign w:val="center"/>
          </w:tcPr>
          <w:p w14:paraId="03402C3D" w14:textId="77777777" w:rsidR="00B86F3D" w:rsidRDefault="00A16177">
            <w:pPr>
              <w:jc w:val="center"/>
            </w:pPr>
            <w:r>
              <w:rPr>
                <w:color w:val="000000"/>
                <w:kern w:val="0"/>
                <w:szCs w:val="21"/>
              </w:rPr>
              <w:t>1,070,913,300.00</w:t>
            </w:r>
          </w:p>
        </w:tc>
        <w:tc>
          <w:tcPr>
            <w:tcW w:w="1130" w:type="dxa"/>
            <w:vAlign w:val="center"/>
          </w:tcPr>
          <w:p w14:paraId="4FEDC77F" w14:textId="77777777" w:rsidR="00B86F3D" w:rsidRDefault="00A16177">
            <w:pPr>
              <w:jc w:val="center"/>
            </w:pPr>
            <w:r>
              <w:rPr>
                <w:color w:val="000000"/>
                <w:kern w:val="0"/>
                <w:szCs w:val="21"/>
              </w:rPr>
              <w:t>22.95%</w:t>
            </w:r>
          </w:p>
        </w:tc>
      </w:tr>
      <w:tr w:rsidR="00881A82" w:rsidRPr="00473486" w14:paraId="33AA6D62" w14:textId="77777777">
        <w:tc>
          <w:tcPr>
            <w:tcW w:w="9212" w:type="dxa"/>
            <w:gridSpan w:val="8"/>
            <w:vAlign w:val="center"/>
          </w:tcPr>
          <w:p w14:paraId="79DD2391"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401C21F7" w14:textId="77777777">
        <w:tc>
          <w:tcPr>
            <w:tcW w:w="9212" w:type="dxa"/>
            <w:gridSpan w:val="8"/>
            <w:vAlign w:val="center"/>
          </w:tcPr>
          <w:p w14:paraId="2C331E3F"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124FDAB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1C86A474"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745FC749"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196D30DC"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摩根标普港股通低波红利交易型开放式指数证券投资基金基金合同</w:t>
      </w:r>
    </w:p>
    <w:p w14:paraId="0CF82CC9"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摩根标普港股通低波红利交易型开放式指数证券投资基金托管协议</w:t>
      </w:r>
    </w:p>
    <w:p w14:paraId="27DACBBA"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0FC65499"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46A823A2"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B6BE494" w14:textId="77777777" w:rsidR="00B86F3D" w:rsidRDefault="00A1617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52CDCB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151CB90B" w14:textId="77777777" w:rsidR="00881A82" w:rsidRPr="00473486" w:rsidRDefault="00881A82">
      <w:pPr>
        <w:spacing w:line="360" w:lineRule="auto"/>
        <w:ind w:firstLineChars="200" w:firstLine="480"/>
        <w:rPr>
          <w:rFonts w:eastAsiaTheme="minorEastAsia"/>
          <w:color w:val="000000" w:themeColor="text1"/>
          <w:sz w:val="24"/>
        </w:rPr>
      </w:pPr>
    </w:p>
    <w:p w14:paraId="09F39CF0"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14:paraId="61D850AB"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429B93C7" w14:textId="77777777" w:rsidR="00881A82" w:rsidRPr="00473486" w:rsidRDefault="00881A82">
      <w:pPr>
        <w:spacing w:line="360" w:lineRule="auto"/>
        <w:ind w:firstLineChars="200" w:firstLine="480"/>
        <w:rPr>
          <w:rFonts w:eastAsiaTheme="minorEastAsia"/>
          <w:color w:val="000000" w:themeColor="text1"/>
          <w:sz w:val="24"/>
        </w:rPr>
      </w:pPr>
    </w:p>
    <w:p w14:paraId="6581031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2160ACB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14CE27F8" w14:textId="77777777" w:rsidR="00881A82" w:rsidRPr="00473486" w:rsidRDefault="00881A82">
      <w:pPr>
        <w:spacing w:line="360" w:lineRule="auto"/>
        <w:ind w:left="840"/>
        <w:jc w:val="right"/>
        <w:rPr>
          <w:rFonts w:eastAsiaTheme="minorEastAsia"/>
          <w:color w:val="000000" w:themeColor="text1"/>
          <w:sz w:val="24"/>
        </w:rPr>
      </w:pPr>
    </w:p>
    <w:p w14:paraId="43E01FDF" w14:textId="77777777" w:rsidR="00881A82" w:rsidRPr="00473486" w:rsidRDefault="00881A82">
      <w:pPr>
        <w:spacing w:line="360" w:lineRule="auto"/>
        <w:ind w:left="840"/>
        <w:jc w:val="right"/>
        <w:rPr>
          <w:rFonts w:eastAsiaTheme="minorEastAsia"/>
          <w:color w:val="000000" w:themeColor="text1"/>
          <w:sz w:val="24"/>
        </w:rPr>
      </w:pPr>
    </w:p>
    <w:p w14:paraId="0833927F" w14:textId="77777777" w:rsidR="00881A82" w:rsidRPr="00473486" w:rsidRDefault="00881A82">
      <w:pPr>
        <w:spacing w:line="360" w:lineRule="auto"/>
        <w:ind w:left="840"/>
        <w:jc w:val="right"/>
        <w:rPr>
          <w:rFonts w:eastAsiaTheme="minorEastAsia"/>
          <w:color w:val="000000" w:themeColor="text1"/>
          <w:sz w:val="24"/>
        </w:rPr>
      </w:pPr>
    </w:p>
    <w:p w14:paraId="3D87B581" w14:textId="77777777" w:rsidR="00881A82" w:rsidRPr="00473486" w:rsidRDefault="00881A82">
      <w:pPr>
        <w:spacing w:line="360" w:lineRule="auto"/>
        <w:ind w:left="840"/>
        <w:jc w:val="right"/>
        <w:rPr>
          <w:rFonts w:eastAsiaTheme="minorEastAsia"/>
          <w:color w:val="000000" w:themeColor="text1"/>
          <w:sz w:val="24"/>
        </w:rPr>
      </w:pPr>
    </w:p>
    <w:p w14:paraId="1A4AE584" w14:textId="77777777" w:rsidR="00881A82" w:rsidRPr="00473486" w:rsidRDefault="00881A82">
      <w:pPr>
        <w:spacing w:line="360" w:lineRule="auto"/>
        <w:ind w:left="840"/>
        <w:jc w:val="right"/>
        <w:rPr>
          <w:rFonts w:eastAsiaTheme="minorEastAsia"/>
          <w:color w:val="000000" w:themeColor="text1"/>
          <w:sz w:val="24"/>
        </w:rPr>
      </w:pPr>
    </w:p>
    <w:p w14:paraId="4653AFA7"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13866413"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二〇二五年一月二十二日</w:t>
      </w:r>
    </w:p>
    <w:p w14:paraId="25B9EE8B"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0EB3" w14:textId="77777777" w:rsidR="007F3EDF" w:rsidRDefault="007F3EDF">
      <w:r>
        <w:separator/>
      </w:r>
    </w:p>
  </w:endnote>
  <w:endnote w:type="continuationSeparator" w:id="0">
    <w:p w14:paraId="7997C22B"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B9C"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1617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16177">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B951"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E500CBB"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088B"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16177">
      <w:rPr>
        <w:rStyle w:val="af5"/>
        <w:noProof/>
      </w:rPr>
      <w:t>9</w:t>
    </w:r>
    <w:r>
      <w:rPr>
        <w:rStyle w:val="af5"/>
      </w:rPr>
      <w:fldChar w:fldCharType="end"/>
    </w:r>
  </w:p>
  <w:p w14:paraId="706F9D7D"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9BD2" w14:textId="77777777" w:rsidR="007F3EDF" w:rsidRDefault="007F3EDF">
      <w:r>
        <w:separator/>
      </w:r>
    </w:p>
  </w:footnote>
  <w:footnote w:type="continuationSeparator" w:id="0">
    <w:p w14:paraId="61A5501F"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5A22" w14:textId="77777777" w:rsidR="00881A82" w:rsidRDefault="007D1E3A">
    <w:pPr>
      <w:pStyle w:val="af"/>
      <w:pBdr>
        <w:bottom w:val="single" w:sz="6" w:space="0" w:color="auto"/>
      </w:pBdr>
      <w:jc w:val="right"/>
    </w:pPr>
    <w:r>
      <w:t>摩根标普港股通低波红利交易型开放式指数证券投资基金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231"/>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177"/>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86F3D"/>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124E7"/>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1186</Words>
  <Characters>6761</Characters>
  <Application>Microsoft Office Word</Application>
  <DocSecurity>0</DocSecurity>
  <Lines>56</Lines>
  <Paragraphs>15</Paragraphs>
  <ScaleCrop>false</ScaleCrop>
  <Company>TRT. Ltd. Co.</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159</cp:revision>
  <cp:lastPrinted>2007-07-19T00:46:00Z</cp:lastPrinted>
  <dcterms:created xsi:type="dcterms:W3CDTF">2012-11-21T04:46:00Z</dcterms:created>
  <dcterms:modified xsi:type="dcterms:W3CDTF">2025-01-21T06:24:00Z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