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bookmarkStart w:id="0" w:name="_GoBack"/>
      <w:bookmarkEnd w:id="0"/>
    </w:p>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454D20">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上投摩根中小盘混合型证券投资基金</w:t>
      </w:r>
    </w:p>
    <w:p w:rsidR="00D06738" w:rsidRDefault="00454D20">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2021年第1季度报告</w:t>
      </w:r>
    </w:p>
    <w:p w:rsidR="00D06738" w:rsidRDefault="00454D20">
      <w:pPr>
        <w:spacing w:line="360" w:lineRule="auto"/>
        <w:jc w:val="center"/>
        <w:rPr>
          <w:rFonts w:asciiTheme="minorEastAsia" w:eastAsiaTheme="minorEastAsia" w:hAnsiTheme="minorEastAsia"/>
          <w:b/>
          <w:color w:val="000000" w:themeColor="text1"/>
          <w:sz w:val="24"/>
          <w:szCs w:val="24"/>
        </w:rPr>
      </w:pPr>
      <w:r>
        <w:rPr>
          <w:rFonts w:asciiTheme="minorEastAsia" w:eastAsiaTheme="minorEastAsia" w:hAnsiTheme="minorEastAsia"/>
          <w:b/>
          <w:color w:val="000000" w:themeColor="text1"/>
          <w:sz w:val="24"/>
          <w:szCs w:val="24"/>
        </w:rPr>
        <w:t>2021年3月31日</w:t>
      </w: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rPr>
          <w:rFonts w:asciiTheme="minorEastAsia" w:eastAsiaTheme="minorEastAsia" w:hAnsiTheme="minorEastAsia"/>
          <w:b/>
          <w:bCs/>
          <w:color w:val="000000" w:themeColor="text1"/>
          <w:sz w:val="24"/>
          <w:szCs w:val="24"/>
        </w:rPr>
      </w:pPr>
    </w:p>
    <w:p w:rsidR="00D06738" w:rsidRDefault="00454D20">
      <w:pPr>
        <w:spacing w:line="360" w:lineRule="auto"/>
        <w:ind w:firstLineChars="900" w:firstLine="2168"/>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基金管理人：</w:t>
      </w:r>
      <w:r>
        <w:rPr>
          <w:rFonts w:asciiTheme="minorEastAsia" w:eastAsiaTheme="minorEastAsia" w:hAnsiTheme="minorEastAsia"/>
          <w:b/>
          <w:color w:val="000000" w:themeColor="text1"/>
          <w:sz w:val="24"/>
          <w:szCs w:val="24"/>
        </w:rPr>
        <w:t>上投摩根基金管理有限公司</w:t>
      </w:r>
    </w:p>
    <w:p w:rsidR="00D06738" w:rsidRDefault="00454D20">
      <w:pPr>
        <w:spacing w:line="360" w:lineRule="auto"/>
        <w:ind w:firstLineChars="900" w:firstLine="2168"/>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基金托管人：</w:t>
      </w:r>
      <w:r>
        <w:rPr>
          <w:rFonts w:asciiTheme="minorEastAsia" w:eastAsiaTheme="minorEastAsia" w:hAnsiTheme="minorEastAsia"/>
          <w:b/>
          <w:color w:val="000000" w:themeColor="text1"/>
          <w:sz w:val="24"/>
          <w:szCs w:val="24"/>
        </w:rPr>
        <w:t>中国建设银行股份有限公司</w:t>
      </w:r>
    </w:p>
    <w:p w:rsidR="00D06738" w:rsidRDefault="00454D20">
      <w:pPr>
        <w:spacing w:line="360" w:lineRule="auto"/>
        <w:ind w:firstLineChars="900" w:firstLine="2168"/>
        <w:rPr>
          <w:rFonts w:asciiTheme="minorEastAsia" w:eastAsiaTheme="minorEastAsia" w:hAnsiTheme="minorEastAsia"/>
          <w:b/>
          <w:color w:val="000000" w:themeColor="text1"/>
          <w:sz w:val="24"/>
          <w:szCs w:val="24"/>
        </w:rPr>
        <w:sectPr w:rsidR="00D06738">
          <w:headerReference w:type="default" r:id="rId8"/>
          <w:footerReference w:type="default" r:id="rId9"/>
          <w:pgSz w:w="11926" w:h="15840"/>
          <w:pgMar w:top="1418" w:right="1418" w:bottom="851" w:left="1418" w:header="851" w:footer="992" w:gutter="0"/>
          <w:cols w:space="720"/>
        </w:sectPr>
      </w:pPr>
      <w:r>
        <w:rPr>
          <w:rFonts w:asciiTheme="minorEastAsia" w:eastAsiaTheme="minorEastAsia" w:hAnsiTheme="minorEastAsia" w:hint="eastAsia"/>
          <w:b/>
          <w:color w:val="000000" w:themeColor="text1"/>
          <w:sz w:val="24"/>
          <w:szCs w:val="24"/>
        </w:rPr>
        <w:t>报告送出日期：</w:t>
      </w:r>
      <w:r>
        <w:rPr>
          <w:rFonts w:asciiTheme="minorEastAsia" w:eastAsiaTheme="minorEastAsia" w:hAnsiTheme="minorEastAsia"/>
          <w:b/>
          <w:color w:val="000000" w:themeColor="text1"/>
          <w:sz w:val="24"/>
          <w:szCs w:val="24"/>
        </w:rPr>
        <w:t>二〇二一年四月二十二日</w:t>
      </w:r>
    </w:p>
    <w:p w:rsidR="00D06738" w:rsidRDefault="00454D20">
      <w:pPr>
        <w:pStyle w:val="1"/>
        <w:spacing w:beforeLines="100" w:before="312" w:afterLines="100" w:after="312" w:line="360" w:lineRule="auto"/>
        <w:jc w:val="center"/>
        <w:rPr>
          <w:rFonts w:asciiTheme="minorEastAsia" w:eastAsiaTheme="minorEastAsia" w:hAnsiTheme="minorEastAsia"/>
          <w:b w:val="0"/>
          <w:bCs w:val="0"/>
          <w:color w:val="000000" w:themeColor="text1"/>
          <w:kern w:val="0"/>
          <w:sz w:val="24"/>
          <w:szCs w:val="24"/>
        </w:rPr>
      </w:pPr>
      <w:r>
        <w:rPr>
          <w:rFonts w:asciiTheme="minorEastAsia" w:eastAsiaTheme="minorEastAsia" w:hAnsiTheme="minorEastAsia" w:hint="eastAsia"/>
          <w:color w:val="000000" w:themeColor="text1"/>
          <w:kern w:val="0"/>
          <w:sz w:val="24"/>
          <w:szCs w:val="24"/>
        </w:rPr>
        <w:lastRenderedPageBreak/>
        <w:t>§</w:t>
      </w:r>
      <w:r>
        <w:rPr>
          <w:rFonts w:asciiTheme="minorEastAsia" w:eastAsiaTheme="minorEastAsia" w:hAnsiTheme="minorEastAsia"/>
          <w:color w:val="000000" w:themeColor="text1"/>
          <w:kern w:val="0"/>
          <w:sz w:val="24"/>
          <w:szCs w:val="24"/>
        </w:rPr>
        <w:t xml:space="preserve">1  </w:t>
      </w:r>
      <w:r>
        <w:rPr>
          <w:rFonts w:asciiTheme="minorEastAsia" w:eastAsiaTheme="minorEastAsia" w:hAnsiTheme="minorEastAsia" w:hint="eastAsia"/>
          <w:color w:val="000000" w:themeColor="text1"/>
          <w:kern w:val="0"/>
          <w:sz w:val="24"/>
          <w:szCs w:val="24"/>
        </w:rPr>
        <w:t>重要提示</w:t>
      </w:r>
    </w:p>
    <w:p w:rsidR="007A7494" w:rsidRDefault="00FD23A9">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基金管理人的董事会及董事保证本报告所载资料不存在虚假记载、误导性陈述或重大遗漏，并对其内容的真实性、准确性和完整性承担个别及连带责任。 </w:t>
      </w:r>
    </w:p>
    <w:p w:rsidR="007A7494" w:rsidRDefault="00FD23A9">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基金托管人中国建设银行股份有限公司根据本基金合同规定，于2021年4月21日复核了本报告中的财务指标、净值表现和投资组合报告等内容，保证复核内容不存在虚假记载、误导性陈述或者重大遗漏。 </w:t>
      </w:r>
    </w:p>
    <w:p w:rsidR="007A7494" w:rsidRDefault="00FD23A9">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基金管理人承诺以诚实信用、勤勉尽责的原则管理和运用基金资产，但不保证基金一定盈利。 </w:t>
      </w:r>
    </w:p>
    <w:p w:rsidR="007A7494" w:rsidRDefault="00FD23A9">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基金的过往业绩并不代表其未来表现。投资有风险，投资者在作出投资决策前应仔细阅读本基金的招募说明书。 </w:t>
      </w:r>
    </w:p>
    <w:p w:rsidR="007A7494" w:rsidRDefault="00FD23A9">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本报告中财务资料未经审计。</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本报告期自2021年1月1日起至3月31日止。</w:t>
      </w:r>
    </w:p>
    <w:p w:rsidR="00D06738" w:rsidRDefault="00454D20">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2  </w:t>
      </w:r>
      <w:r>
        <w:rPr>
          <w:rFonts w:asciiTheme="minorEastAsia" w:eastAsiaTheme="minorEastAsia" w:hAnsiTheme="minorEastAsia" w:hint="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479"/>
      </w:tblGrid>
      <w:tr w:rsidR="00D06738">
        <w:tc>
          <w:tcPr>
            <w:tcW w:w="2835"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基金简称</w:t>
            </w:r>
          </w:p>
        </w:tc>
        <w:tc>
          <w:tcPr>
            <w:tcW w:w="5479"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上投摩根中小盘混合</w:t>
            </w:r>
          </w:p>
        </w:tc>
      </w:tr>
      <w:tr w:rsidR="00D06738">
        <w:tc>
          <w:tcPr>
            <w:tcW w:w="2835" w:type="dxa"/>
            <w:tcBorders>
              <w:top w:val="single" w:sz="4" w:space="0" w:color="auto"/>
              <w:left w:val="single" w:sz="4" w:space="0" w:color="auto"/>
              <w:bottom w:val="single" w:sz="4" w:space="0" w:color="auto"/>
              <w:right w:val="single" w:sz="4" w:space="0" w:color="auto"/>
            </w:tcBorders>
            <w:vAlign w:val="center"/>
          </w:tcPr>
          <w:p w:rsidR="00D06738" w:rsidRDefault="00454D20">
            <w:pPr>
              <w:adjustRightInd w:val="0"/>
              <w:spacing w:before="29" w:line="360" w:lineRule="auto"/>
              <w:ind w:left="17"/>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tcPr>
          <w:p w:rsidR="00D06738" w:rsidRDefault="00454D20">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379010</w:t>
            </w:r>
          </w:p>
        </w:tc>
      </w:tr>
      <w:tr w:rsidR="00D06738">
        <w:tc>
          <w:tcPr>
            <w:tcW w:w="2835" w:type="dxa"/>
            <w:tcBorders>
              <w:top w:val="single" w:sz="4" w:space="0" w:color="auto"/>
              <w:left w:val="single" w:sz="4" w:space="0" w:color="auto"/>
              <w:bottom w:val="single" w:sz="4" w:space="0" w:color="auto"/>
              <w:right w:val="single" w:sz="4" w:space="0" w:color="auto"/>
            </w:tcBorders>
            <w:vAlign w:val="center"/>
          </w:tcPr>
          <w:p w:rsidR="00D06738" w:rsidRDefault="00454D20">
            <w:pPr>
              <w:adjustRightInd w:val="0"/>
              <w:spacing w:before="29" w:line="360" w:lineRule="auto"/>
              <w:ind w:left="17"/>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D06738" w:rsidRDefault="00454D20">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379010</w:t>
            </w:r>
          </w:p>
        </w:tc>
      </w:tr>
      <w:tr w:rsidR="00D06738">
        <w:tc>
          <w:tcPr>
            <w:tcW w:w="2835"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基金运作方式</w:t>
            </w:r>
          </w:p>
        </w:tc>
        <w:tc>
          <w:tcPr>
            <w:tcW w:w="5479"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契约型开放式</w:t>
            </w:r>
          </w:p>
        </w:tc>
      </w:tr>
      <w:tr w:rsidR="00D06738">
        <w:tc>
          <w:tcPr>
            <w:tcW w:w="2835"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基金合同生效日</w:t>
            </w:r>
          </w:p>
        </w:tc>
        <w:tc>
          <w:tcPr>
            <w:tcW w:w="5479"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2009年1月21日</w:t>
            </w:r>
          </w:p>
        </w:tc>
      </w:tr>
      <w:tr w:rsidR="00D06738">
        <w:tc>
          <w:tcPr>
            <w:tcW w:w="2835"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报告期末基金份额总额</w:t>
            </w:r>
          </w:p>
        </w:tc>
        <w:tc>
          <w:tcPr>
            <w:tcW w:w="5479"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194,060,537.00</w:t>
            </w:r>
            <w:r>
              <w:rPr>
                <w:rFonts w:asciiTheme="minorEastAsia" w:eastAsiaTheme="minorEastAsia" w:hAnsiTheme="minorEastAsia" w:hint="eastAsia"/>
                <w:color w:val="000000" w:themeColor="text1"/>
                <w:kern w:val="0"/>
              </w:rPr>
              <w:t>份</w:t>
            </w:r>
          </w:p>
        </w:tc>
      </w:tr>
      <w:tr w:rsidR="00D06738">
        <w:tc>
          <w:tcPr>
            <w:tcW w:w="2835"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投资目标</w:t>
            </w:r>
          </w:p>
        </w:tc>
        <w:tc>
          <w:tcPr>
            <w:tcW w:w="5479"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重点投资于中国A股市场上的中小盘股票，通过缜密的资产配置原则和严格的行业个股选择，分享中国经济高速增长给优势中小市值上市公司带来的机遇，并积极运用战略和战术资产配置策略，动态优化投资组合，力求实现基金资产长期稳健增值。</w:t>
            </w:r>
          </w:p>
        </w:tc>
      </w:tr>
      <w:tr w:rsidR="00D06738">
        <w:tc>
          <w:tcPr>
            <w:tcW w:w="2835"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投资策略</w:t>
            </w:r>
          </w:p>
        </w:tc>
        <w:tc>
          <w:tcPr>
            <w:tcW w:w="5479"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本基金充分借鉴摩根资产管理集团全球行之有效的投资理念和技术，运用 “自下而上”精选个股与“自上而</w:t>
            </w:r>
            <w:r>
              <w:rPr>
                <w:rFonts w:asciiTheme="minorEastAsia" w:eastAsiaTheme="minorEastAsia" w:hAnsiTheme="minorEastAsia"/>
                <w:color w:val="000000" w:themeColor="text1"/>
                <w:kern w:val="0"/>
              </w:rPr>
              <w:lastRenderedPageBreak/>
              <w:t>下”资产配置相结合的投资策略，重点投资于具有行业优势、公司优势和估值优势的中小市值上市公司股票。同时结合市场研判，对相关资产类别的预期收益进行监控，动态调整股票、债券等大类资产配置。</w:t>
            </w:r>
          </w:p>
        </w:tc>
      </w:tr>
      <w:tr w:rsidR="00D06738">
        <w:tc>
          <w:tcPr>
            <w:tcW w:w="2835"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lastRenderedPageBreak/>
              <w:t>业绩比较基准</w:t>
            </w:r>
          </w:p>
        </w:tc>
        <w:tc>
          <w:tcPr>
            <w:tcW w:w="5479"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40%×天相中盘指数收益率+40%×天相小盘指数收益率+ 20%×上证国债指数收益率</w:t>
            </w:r>
          </w:p>
        </w:tc>
      </w:tr>
      <w:tr w:rsidR="00D06738">
        <w:tc>
          <w:tcPr>
            <w:tcW w:w="2835"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风险收益特征</w:t>
            </w:r>
          </w:p>
        </w:tc>
        <w:tc>
          <w:tcPr>
            <w:tcW w:w="5479" w:type="dxa"/>
            <w:vAlign w:val="center"/>
          </w:tcPr>
          <w:p w:rsidR="007A7494" w:rsidRDefault="00FD23A9">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本基金是混合型基金，预期收益及预期风险水平低于股票型基金，高于债券型基金和货币市场基金，属于较高预期收益和预期风险水平的投资品种。</w:t>
            </w:r>
          </w:p>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根据2017年7月1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D06738">
        <w:tc>
          <w:tcPr>
            <w:tcW w:w="2835"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基金管理人</w:t>
            </w:r>
          </w:p>
        </w:tc>
        <w:tc>
          <w:tcPr>
            <w:tcW w:w="5479"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上投摩根基金管理有限公司</w:t>
            </w:r>
          </w:p>
        </w:tc>
      </w:tr>
      <w:tr w:rsidR="00D06738">
        <w:tc>
          <w:tcPr>
            <w:tcW w:w="2835"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基金托管人</w:t>
            </w:r>
          </w:p>
        </w:tc>
        <w:tc>
          <w:tcPr>
            <w:tcW w:w="5479"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中国建设银行股份有限公司</w:t>
            </w:r>
          </w:p>
        </w:tc>
      </w:tr>
    </w:tbl>
    <w:p w:rsidR="00D06738" w:rsidRDefault="00454D20">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3  </w:t>
      </w:r>
      <w:r>
        <w:rPr>
          <w:rFonts w:asciiTheme="minorEastAsia" w:eastAsiaTheme="minorEastAsia" w:hAnsiTheme="minorEastAsia" w:hint="eastAsia"/>
          <w:color w:val="000000" w:themeColor="text1"/>
          <w:kern w:val="0"/>
          <w:sz w:val="24"/>
          <w:szCs w:val="24"/>
        </w:rPr>
        <w:t>主要财务指标和基金净值表现</w:t>
      </w: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3.1 </w:t>
      </w:r>
      <w:r>
        <w:rPr>
          <w:rFonts w:asciiTheme="minorEastAsia" w:eastAsiaTheme="minorEastAsia" w:hAnsiTheme="minorEastAsia" w:hint="eastAsia"/>
          <w:b/>
          <w:bCs/>
          <w:color w:val="000000" w:themeColor="text1"/>
          <w:kern w:val="0"/>
          <w:sz w:val="24"/>
          <w:szCs w:val="24"/>
        </w:rPr>
        <w:t>主要财务指标</w:t>
      </w:r>
    </w:p>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962"/>
      </w:tblGrid>
      <w:tr w:rsidR="00FD23A9" w:rsidTr="00FD23A9">
        <w:tc>
          <w:tcPr>
            <w:tcW w:w="3402" w:type="dxa"/>
            <w:vAlign w:val="center"/>
          </w:tcPr>
          <w:p w:rsidR="00D06738" w:rsidRDefault="00454D20">
            <w:pPr>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主要财务指标</w:t>
            </w:r>
          </w:p>
        </w:tc>
        <w:tc>
          <w:tcPr>
            <w:tcW w:w="4962" w:type="dxa"/>
            <w:vAlign w:val="center"/>
          </w:tcPr>
          <w:p w:rsidR="00D06738" w:rsidRDefault="00454D20">
            <w:pPr>
              <w:adjustRightInd w:val="0"/>
              <w:spacing w:before="29" w:line="360" w:lineRule="auto"/>
              <w:ind w:left="17"/>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报告期</w:t>
            </w:r>
          </w:p>
          <w:p w:rsidR="00D06738" w:rsidRDefault="00454D20">
            <w:pPr>
              <w:adjustRightInd w:val="0"/>
              <w:spacing w:before="29" w:line="360" w:lineRule="auto"/>
              <w:ind w:left="17"/>
              <w:jc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2021年1月1日-2021年3月31日</w:t>
            </w:r>
            <w:r>
              <w:rPr>
                <w:rFonts w:asciiTheme="minorEastAsia" w:eastAsiaTheme="minorEastAsia" w:hAnsiTheme="minorEastAsia" w:cs="宋体" w:hint="eastAsia"/>
                <w:color w:val="000000" w:themeColor="text1"/>
              </w:rPr>
              <w:t>)</w:t>
            </w:r>
          </w:p>
        </w:tc>
      </w:tr>
      <w:tr w:rsidR="00FD23A9" w:rsidTr="00FD23A9">
        <w:tc>
          <w:tcPr>
            <w:tcW w:w="3402"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1.</w:t>
            </w:r>
            <w:r>
              <w:rPr>
                <w:rFonts w:asciiTheme="minorEastAsia" w:eastAsiaTheme="minorEastAsia" w:hAnsiTheme="minorEastAsia" w:cs="宋体" w:hint="eastAsia"/>
                <w:color w:val="000000" w:themeColor="text1"/>
                <w:kern w:val="0"/>
              </w:rPr>
              <w:t>本期已实现收益</w:t>
            </w:r>
          </w:p>
        </w:tc>
        <w:tc>
          <w:tcPr>
            <w:tcW w:w="4962" w:type="dxa"/>
            <w:vAlign w:val="center"/>
          </w:tcPr>
          <w:p w:rsidR="00D06738" w:rsidRDefault="00454D20">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38,449,968.82</w:t>
            </w:r>
          </w:p>
        </w:tc>
      </w:tr>
      <w:tr w:rsidR="00FD23A9" w:rsidTr="00FD23A9">
        <w:tc>
          <w:tcPr>
            <w:tcW w:w="3402"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2.</w:t>
            </w:r>
            <w:r>
              <w:rPr>
                <w:rFonts w:asciiTheme="minorEastAsia" w:eastAsiaTheme="minorEastAsia" w:hAnsiTheme="minorEastAsia" w:cs="宋体" w:hint="eastAsia"/>
                <w:color w:val="000000" w:themeColor="text1"/>
                <w:kern w:val="0"/>
              </w:rPr>
              <w:t>本期利润</w:t>
            </w:r>
          </w:p>
        </w:tc>
        <w:tc>
          <w:tcPr>
            <w:tcW w:w="4962" w:type="dxa"/>
            <w:vAlign w:val="center"/>
          </w:tcPr>
          <w:p w:rsidR="00D06738" w:rsidRDefault="00454D20">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-31,048,327.34</w:t>
            </w:r>
          </w:p>
        </w:tc>
      </w:tr>
      <w:tr w:rsidR="00FD23A9" w:rsidTr="00FD23A9">
        <w:tc>
          <w:tcPr>
            <w:tcW w:w="3402"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3.</w:t>
            </w:r>
            <w:r>
              <w:rPr>
                <w:rFonts w:asciiTheme="minorEastAsia" w:eastAsiaTheme="minorEastAsia" w:hAnsiTheme="minorEastAsia" w:cs="宋体" w:hint="eastAsia"/>
                <w:color w:val="000000" w:themeColor="text1"/>
                <w:kern w:val="0"/>
              </w:rPr>
              <w:t>加权平均基金份额本期利润</w:t>
            </w:r>
          </w:p>
        </w:tc>
        <w:tc>
          <w:tcPr>
            <w:tcW w:w="4962" w:type="dxa"/>
            <w:vAlign w:val="center"/>
          </w:tcPr>
          <w:p w:rsidR="00D06738" w:rsidRDefault="00454D20">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-0.1531</w:t>
            </w:r>
          </w:p>
        </w:tc>
      </w:tr>
      <w:tr w:rsidR="00FD23A9" w:rsidTr="00FD23A9">
        <w:tc>
          <w:tcPr>
            <w:tcW w:w="3402"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4.</w:t>
            </w:r>
            <w:r>
              <w:rPr>
                <w:rFonts w:asciiTheme="minorEastAsia" w:eastAsiaTheme="minorEastAsia" w:hAnsiTheme="minorEastAsia" w:cs="宋体" w:hint="eastAsia"/>
                <w:color w:val="000000" w:themeColor="text1"/>
                <w:kern w:val="0"/>
              </w:rPr>
              <w:t>期末基金资产净值</w:t>
            </w:r>
          </w:p>
        </w:tc>
        <w:tc>
          <w:tcPr>
            <w:tcW w:w="4962" w:type="dxa"/>
            <w:vAlign w:val="center"/>
          </w:tcPr>
          <w:p w:rsidR="00D06738" w:rsidRDefault="00454D20">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705,220,433.32</w:t>
            </w:r>
          </w:p>
        </w:tc>
      </w:tr>
      <w:tr w:rsidR="00FD23A9" w:rsidTr="00FD23A9">
        <w:trPr>
          <w:trHeight w:val="158"/>
        </w:trPr>
        <w:tc>
          <w:tcPr>
            <w:tcW w:w="3402"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5.</w:t>
            </w:r>
            <w:r>
              <w:rPr>
                <w:rFonts w:asciiTheme="minorEastAsia" w:eastAsiaTheme="minorEastAsia" w:hAnsiTheme="minorEastAsia" w:cs="宋体" w:hint="eastAsia"/>
                <w:color w:val="000000" w:themeColor="text1"/>
                <w:kern w:val="0"/>
              </w:rPr>
              <w:t>期末基金份额净值</w:t>
            </w:r>
          </w:p>
        </w:tc>
        <w:tc>
          <w:tcPr>
            <w:tcW w:w="4962" w:type="dxa"/>
            <w:vAlign w:val="center"/>
          </w:tcPr>
          <w:p w:rsidR="00D06738" w:rsidRDefault="00454D20">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3.6340</w:t>
            </w:r>
          </w:p>
        </w:tc>
      </w:tr>
    </w:tbl>
    <w:p w:rsidR="007A7494" w:rsidRDefault="00FD23A9">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lastRenderedPageBreak/>
        <w:t xml:space="preserve">注：本期已实现收益指基金本期利息收入、投资收益、其他收入(不含公允价值变动收益)扣除相关费用后的余额，本期利润为本期已实现收益加上本期公允价值变动收益。 </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上述基金业绩指标不包括持有人认购或交易基金的各项费用（例如，开放式基金的申购赎回费、红利再投资费、基金转换费等），计入费用后实际收益水平要低于所列数字。</w:t>
      </w:r>
    </w:p>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3.2 </w:t>
      </w:r>
      <w:r>
        <w:rPr>
          <w:rFonts w:asciiTheme="minorEastAsia" w:eastAsiaTheme="minorEastAsia" w:hAnsiTheme="minorEastAsia" w:hint="eastAsia"/>
          <w:b/>
          <w:bCs/>
          <w:color w:val="000000" w:themeColor="text1"/>
          <w:kern w:val="0"/>
          <w:sz w:val="24"/>
          <w:szCs w:val="24"/>
        </w:rPr>
        <w:t>基金净值表现</w:t>
      </w:r>
    </w:p>
    <w:p w:rsidR="00D06738" w:rsidRDefault="00454D20">
      <w:pPr>
        <w:autoSpaceDE w:val="0"/>
        <w:autoSpaceDN w:val="0"/>
        <w:adjustRightInd w:val="0"/>
        <w:spacing w:line="360" w:lineRule="auto"/>
        <w:jc w:val="left"/>
        <w:rPr>
          <w:rFonts w:asciiTheme="minorEastAsia" w:eastAsiaTheme="minorEastAsia" w:hAnsiTheme="minorEastAsia" w:cs="宋体"/>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3.2.1 </w:t>
      </w:r>
      <w:r>
        <w:rPr>
          <w:rFonts w:asciiTheme="minorEastAsia" w:eastAsiaTheme="minorEastAsia" w:hAnsiTheme="minorEastAsia" w:cs="宋体" w:hint="eastAsia"/>
          <w:b/>
          <w:bCs/>
          <w:color w:val="000000" w:themeColor="text1"/>
          <w:kern w:val="0"/>
          <w:sz w:val="24"/>
          <w:szCs w:val="24"/>
        </w:rPr>
        <w:t>本报告期基金份额净值增长率及其与同期业绩比较基准收益率的比较</w:t>
      </w:r>
    </w:p>
    <w:tbl>
      <w:tblPr>
        <w:tblStyle w:val="aff4"/>
        <w:tblW w:w="8420" w:type="dxa"/>
        <w:tblInd w:w="108" w:type="dxa"/>
        <w:tblLayout w:type="fixed"/>
        <w:tblLook w:val="04A0" w:firstRow="1" w:lastRow="0" w:firstColumn="1" w:lastColumn="0" w:noHBand="0" w:noVBand="1"/>
      </w:tblPr>
      <w:tblGrid>
        <w:gridCol w:w="1395"/>
        <w:gridCol w:w="1092"/>
        <w:gridCol w:w="1161"/>
        <w:gridCol w:w="1181"/>
        <w:gridCol w:w="1188"/>
        <w:gridCol w:w="1199"/>
        <w:gridCol w:w="1204"/>
      </w:tblGrid>
      <w:tr w:rsidR="00D06738">
        <w:tc>
          <w:tcPr>
            <w:tcW w:w="1395"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阶段</w:t>
            </w:r>
          </w:p>
        </w:tc>
        <w:tc>
          <w:tcPr>
            <w:tcW w:w="1092"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净值增长率①</w:t>
            </w:r>
          </w:p>
        </w:tc>
        <w:tc>
          <w:tcPr>
            <w:tcW w:w="1161"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净值增长率标准差②</w:t>
            </w:r>
          </w:p>
        </w:tc>
        <w:tc>
          <w:tcPr>
            <w:tcW w:w="1181"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业绩比较基准收益率③</w:t>
            </w:r>
          </w:p>
        </w:tc>
        <w:tc>
          <w:tcPr>
            <w:tcW w:w="1188"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业绩比较基准收益率标准差④</w:t>
            </w:r>
          </w:p>
        </w:tc>
        <w:tc>
          <w:tcPr>
            <w:tcW w:w="1199"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①</w:t>
            </w:r>
            <w:r>
              <w:rPr>
                <w:rFonts w:asciiTheme="minorEastAsia" w:eastAsiaTheme="minorEastAsia" w:hAnsiTheme="minorEastAsia" w:cs="Arial"/>
                <w:color w:val="000000" w:themeColor="text1"/>
                <w:kern w:val="0"/>
              </w:rPr>
              <w:t>-</w:t>
            </w:r>
            <w:r>
              <w:rPr>
                <w:rFonts w:asciiTheme="minorEastAsia" w:eastAsiaTheme="minorEastAsia" w:hAnsiTheme="minorEastAsia" w:cs="Arial" w:hint="eastAsia"/>
                <w:color w:val="000000" w:themeColor="text1"/>
                <w:kern w:val="0"/>
              </w:rPr>
              <w:t>③</w:t>
            </w:r>
          </w:p>
        </w:tc>
        <w:tc>
          <w:tcPr>
            <w:tcW w:w="1204"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②</w:t>
            </w:r>
            <w:r>
              <w:rPr>
                <w:rFonts w:asciiTheme="minorEastAsia" w:eastAsiaTheme="minorEastAsia" w:hAnsiTheme="minorEastAsia" w:cs="Arial"/>
                <w:color w:val="000000" w:themeColor="text1"/>
                <w:kern w:val="0"/>
              </w:rPr>
              <w:t>-</w:t>
            </w:r>
            <w:r>
              <w:rPr>
                <w:rFonts w:asciiTheme="minorEastAsia" w:eastAsiaTheme="minorEastAsia" w:hAnsiTheme="minorEastAsia" w:cs="Arial" w:hint="eastAsia"/>
                <w:color w:val="000000" w:themeColor="text1"/>
                <w:kern w:val="0"/>
              </w:rPr>
              <w:t>④</w:t>
            </w:r>
          </w:p>
        </w:tc>
      </w:tr>
      <w:tr w:rsidR="007A7494">
        <w:tc>
          <w:tcPr>
            <w:tcW w:w="1395" w:type="dxa"/>
            <w:vAlign w:val="center"/>
          </w:tcPr>
          <w:p w:rsidR="007A7494" w:rsidRDefault="00FD23A9">
            <w:pPr>
              <w:jc w:val="left"/>
            </w:pPr>
            <w:r>
              <w:rPr>
                <w:rFonts w:asciiTheme="minorEastAsia" w:eastAsiaTheme="minorEastAsia" w:hAnsiTheme="minorEastAsia"/>
                <w:color w:val="000000" w:themeColor="text1"/>
                <w:kern w:val="0"/>
              </w:rPr>
              <w:t>过去三个月</w:t>
            </w:r>
          </w:p>
        </w:tc>
        <w:tc>
          <w:tcPr>
            <w:tcW w:w="1092" w:type="dxa"/>
            <w:vAlign w:val="center"/>
          </w:tcPr>
          <w:p w:rsidR="007A7494" w:rsidRDefault="00FD23A9">
            <w:pPr>
              <w:jc w:val="center"/>
            </w:pPr>
            <w:r>
              <w:rPr>
                <w:rFonts w:asciiTheme="minorEastAsia" w:eastAsiaTheme="minorEastAsia" w:hAnsiTheme="minorEastAsia"/>
                <w:color w:val="000000" w:themeColor="text1"/>
                <w:kern w:val="0"/>
              </w:rPr>
              <w:t>-4.55%</w:t>
            </w:r>
          </w:p>
        </w:tc>
        <w:tc>
          <w:tcPr>
            <w:tcW w:w="1161" w:type="dxa"/>
            <w:vAlign w:val="center"/>
          </w:tcPr>
          <w:p w:rsidR="007A7494" w:rsidRDefault="00FD23A9">
            <w:pPr>
              <w:jc w:val="center"/>
            </w:pPr>
            <w:r>
              <w:rPr>
                <w:rFonts w:asciiTheme="minorEastAsia" w:eastAsiaTheme="minorEastAsia" w:hAnsiTheme="minorEastAsia"/>
                <w:color w:val="000000" w:themeColor="text1"/>
                <w:kern w:val="0"/>
              </w:rPr>
              <w:t>2.35%</w:t>
            </w:r>
          </w:p>
        </w:tc>
        <w:tc>
          <w:tcPr>
            <w:tcW w:w="1181" w:type="dxa"/>
            <w:vAlign w:val="center"/>
          </w:tcPr>
          <w:p w:rsidR="007A7494" w:rsidRDefault="00FD23A9">
            <w:pPr>
              <w:jc w:val="center"/>
            </w:pPr>
            <w:r>
              <w:rPr>
                <w:rFonts w:asciiTheme="minorEastAsia" w:eastAsiaTheme="minorEastAsia" w:hAnsiTheme="minorEastAsia"/>
                <w:color w:val="000000" w:themeColor="text1"/>
                <w:kern w:val="0"/>
              </w:rPr>
              <w:t>-2.53%</w:t>
            </w:r>
          </w:p>
        </w:tc>
        <w:tc>
          <w:tcPr>
            <w:tcW w:w="1188" w:type="dxa"/>
            <w:vAlign w:val="center"/>
          </w:tcPr>
          <w:p w:rsidR="007A7494" w:rsidRDefault="00FD23A9">
            <w:pPr>
              <w:jc w:val="center"/>
            </w:pPr>
            <w:r>
              <w:rPr>
                <w:rFonts w:asciiTheme="minorEastAsia" w:eastAsiaTheme="minorEastAsia" w:hAnsiTheme="minorEastAsia"/>
                <w:color w:val="000000" w:themeColor="text1"/>
                <w:kern w:val="0"/>
              </w:rPr>
              <w:t>1.11%</w:t>
            </w:r>
          </w:p>
        </w:tc>
        <w:tc>
          <w:tcPr>
            <w:tcW w:w="1199" w:type="dxa"/>
            <w:vAlign w:val="center"/>
          </w:tcPr>
          <w:p w:rsidR="007A7494" w:rsidRDefault="00FD23A9">
            <w:pPr>
              <w:jc w:val="center"/>
            </w:pPr>
            <w:r>
              <w:rPr>
                <w:rFonts w:asciiTheme="minorEastAsia" w:eastAsiaTheme="minorEastAsia" w:hAnsiTheme="minorEastAsia"/>
                <w:color w:val="000000" w:themeColor="text1"/>
                <w:kern w:val="0"/>
              </w:rPr>
              <w:t>-2.02%</w:t>
            </w:r>
          </w:p>
        </w:tc>
        <w:tc>
          <w:tcPr>
            <w:tcW w:w="1204" w:type="dxa"/>
            <w:vAlign w:val="center"/>
          </w:tcPr>
          <w:p w:rsidR="007A7494" w:rsidRDefault="00FD23A9">
            <w:pPr>
              <w:jc w:val="center"/>
            </w:pPr>
            <w:r>
              <w:rPr>
                <w:rFonts w:asciiTheme="minorEastAsia" w:eastAsiaTheme="minorEastAsia" w:hAnsiTheme="minorEastAsia"/>
                <w:color w:val="000000" w:themeColor="text1"/>
                <w:kern w:val="0"/>
              </w:rPr>
              <w:t>1.24%</w:t>
            </w:r>
          </w:p>
        </w:tc>
      </w:tr>
      <w:tr w:rsidR="007A7494">
        <w:tc>
          <w:tcPr>
            <w:tcW w:w="1395" w:type="dxa"/>
            <w:vAlign w:val="center"/>
          </w:tcPr>
          <w:p w:rsidR="007A7494" w:rsidRDefault="00FD23A9">
            <w:pPr>
              <w:jc w:val="left"/>
            </w:pPr>
            <w:r>
              <w:rPr>
                <w:rFonts w:asciiTheme="minorEastAsia" w:eastAsiaTheme="minorEastAsia" w:hAnsiTheme="minorEastAsia"/>
                <w:color w:val="000000" w:themeColor="text1"/>
                <w:kern w:val="0"/>
              </w:rPr>
              <w:t>过去六个月</w:t>
            </w:r>
          </w:p>
        </w:tc>
        <w:tc>
          <w:tcPr>
            <w:tcW w:w="1092" w:type="dxa"/>
            <w:vAlign w:val="center"/>
          </w:tcPr>
          <w:p w:rsidR="007A7494" w:rsidRDefault="00FD23A9">
            <w:pPr>
              <w:jc w:val="center"/>
            </w:pPr>
            <w:r>
              <w:rPr>
                <w:rFonts w:asciiTheme="minorEastAsia" w:eastAsiaTheme="minorEastAsia" w:hAnsiTheme="minorEastAsia"/>
                <w:color w:val="000000" w:themeColor="text1"/>
                <w:kern w:val="0"/>
              </w:rPr>
              <w:t>11.40%</w:t>
            </w:r>
          </w:p>
        </w:tc>
        <w:tc>
          <w:tcPr>
            <w:tcW w:w="1161" w:type="dxa"/>
            <w:vAlign w:val="center"/>
          </w:tcPr>
          <w:p w:rsidR="007A7494" w:rsidRDefault="00FD23A9">
            <w:pPr>
              <w:jc w:val="center"/>
            </w:pPr>
            <w:r>
              <w:rPr>
                <w:rFonts w:asciiTheme="minorEastAsia" w:eastAsiaTheme="minorEastAsia" w:hAnsiTheme="minorEastAsia"/>
                <w:color w:val="000000" w:themeColor="text1"/>
                <w:kern w:val="0"/>
              </w:rPr>
              <w:t>1.88%</w:t>
            </w:r>
          </w:p>
        </w:tc>
        <w:tc>
          <w:tcPr>
            <w:tcW w:w="1181" w:type="dxa"/>
            <w:vAlign w:val="center"/>
          </w:tcPr>
          <w:p w:rsidR="007A7494" w:rsidRDefault="00FD23A9">
            <w:pPr>
              <w:jc w:val="center"/>
            </w:pPr>
            <w:r>
              <w:rPr>
                <w:rFonts w:asciiTheme="minorEastAsia" w:eastAsiaTheme="minorEastAsia" w:hAnsiTheme="minorEastAsia"/>
                <w:color w:val="000000" w:themeColor="text1"/>
                <w:kern w:val="0"/>
              </w:rPr>
              <w:t>2.79%</w:t>
            </w:r>
          </w:p>
        </w:tc>
        <w:tc>
          <w:tcPr>
            <w:tcW w:w="1188" w:type="dxa"/>
            <w:vAlign w:val="center"/>
          </w:tcPr>
          <w:p w:rsidR="007A7494" w:rsidRDefault="00FD23A9">
            <w:pPr>
              <w:jc w:val="center"/>
            </w:pPr>
            <w:r>
              <w:rPr>
                <w:rFonts w:asciiTheme="minorEastAsia" w:eastAsiaTheme="minorEastAsia" w:hAnsiTheme="minorEastAsia"/>
                <w:color w:val="000000" w:themeColor="text1"/>
                <w:kern w:val="0"/>
              </w:rPr>
              <w:t>1.01%</w:t>
            </w:r>
          </w:p>
        </w:tc>
        <w:tc>
          <w:tcPr>
            <w:tcW w:w="1199" w:type="dxa"/>
            <w:vAlign w:val="center"/>
          </w:tcPr>
          <w:p w:rsidR="007A7494" w:rsidRDefault="00FD23A9">
            <w:pPr>
              <w:jc w:val="center"/>
            </w:pPr>
            <w:r>
              <w:rPr>
                <w:rFonts w:asciiTheme="minorEastAsia" w:eastAsiaTheme="minorEastAsia" w:hAnsiTheme="minorEastAsia"/>
                <w:color w:val="000000" w:themeColor="text1"/>
                <w:kern w:val="0"/>
              </w:rPr>
              <w:t>8.61%</w:t>
            </w:r>
          </w:p>
        </w:tc>
        <w:tc>
          <w:tcPr>
            <w:tcW w:w="1204" w:type="dxa"/>
            <w:vAlign w:val="center"/>
          </w:tcPr>
          <w:p w:rsidR="007A7494" w:rsidRDefault="00FD23A9">
            <w:pPr>
              <w:jc w:val="center"/>
            </w:pPr>
            <w:r>
              <w:rPr>
                <w:rFonts w:asciiTheme="minorEastAsia" w:eastAsiaTheme="minorEastAsia" w:hAnsiTheme="minorEastAsia"/>
                <w:color w:val="000000" w:themeColor="text1"/>
                <w:kern w:val="0"/>
              </w:rPr>
              <w:t>0.87%</w:t>
            </w:r>
          </w:p>
        </w:tc>
      </w:tr>
      <w:tr w:rsidR="007A7494">
        <w:tc>
          <w:tcPr>
            <w:tcW w:w="1395" w:type="dxa"/>
            <w:vAlign w:val="center"/>
          </w:tcPr>
          <w:p w:rsidR="007A7494" w:rsidRDefault="00FD23A9">
            <w:pPr>
              <w:jc w:val="left"/>
            </w:pPr>
            <w:r>
              <w:rPr>
                <w:rFonts w:asciiTheme="minorEastAsia" w:eastAsiaTheme="minorEastAsia" w:hAnsiTheme="minorEastAsia"/>
                <w:color w:val="000000" w:themeColor="text1"/>
                <w:kern w:val="0"/>
              </w:rPr>
              <w:t>过去一年</w:t>
            </w:r>
          </w:p>
        </w:tc>
        <w:tc>
          <w:tcPr>
            <w:tcW w:w="1092" w:type="dxa"/>
            <w:vAlign w:val="center"/>
          </w:tcPr>
          <w:p w:rsidR="007A7494" w:rsidRDefault="00FD23A9">
            <w:pPr>
              <w:jc w:val="center"/>
            </w:pPr>
            <w:r>
              <w:rPr>
                <w:rFonts w:asciiTheme="minorEastAsia" w:eastAsiaTheme="minorEastAsia" w:hAnsiTheme="minorEastAsia"/>
                <w:color w:val="000000" w:themeColor="text1"/>
                <w:kern w:val="0"/>
              </w:rPr>
              <w:t>51.73%</w:t>
            </w:r>
          </w:p>
        </w:tc>
        <w:tc>
          <w:tcPr>
            <w:tcW w:w="1161" w:type="dxa"/>
            <w:vAlign w:val="center"/>
          </w:tcPr>
          <w:p w:rsidR="007A7494" w:rsidRDefault="00FD23A9">
            <w:pPr>
              <w:jc w:val="center"/>
            </w:pPr>
            <w:r>
              <w:rPr>
                <w:rFonts w:asciiTheme="minorEastAsia" w:eastAsiaTheme="minorEastAsia" w:hAnsiTheme="minorEastAsia"/>
                <w:color w:val="000000" w:themeColor="text1"/>
                <w:kern w:val="0"/>
              </w:rPr>
              <w:t>1.82%</w:t>
            </w:r>
          </w:p>
        </w:tc>
        <w:tc>
          <w:tcPr>
            <w:tcW w:w="1181" w:type="dxa"/>
            <w:vAlign w:val="center"/>
          </w:tcPr>
          <w:p w:rsidR="007A7494" w:rsidRDefault="00FD23A9">
            <w:pPr>
              <w:jc w:val="center"/>
            </w:pPr>
            <w:r>
              <w:rPr>
                <w:rFonts w:asciiTheme="minorEastAsia" w:eastAsiaTheme="minorEastAsia" w:hAnsiTheme="minorEastAsia"/>
                <w:color w:val="000000" w:themeColor="text1"/>
                <w:kern w:val="0"/>
              </w:rPr>
              <w:t>23.26%</w:t>
            </w:r>
          </w:p>
        </w:tc>
        <w:tc>
          <w:tcPr>
            <w:tcW w:w="1188" w:type="dxa"/>
            <w:vAlign w:val="center"/>
          </w:tcPr>
          <w:p w:rsidR="007A7494" w:rsidRDefault="00FD23A9">
            <w:pPr>
              <w:jc w:val="center"/>
            </w:pPr>
            <w:r>
              <w:rPr>
                <w:rFonts w:asciiTheme="minorEastAsia" w:eastAsiaTheme="minorEastAsia" w:hAnsiTheme="minorEastAsia"/>
                <w:color w:val="000000" w:themeColor="text1"/>
                <w:kern w:val="0"/>
              </w:rPr>
              <w:t>1.08%</w:t>
            </w:r>
          </w:p>
        </w:tc>
        <w:tc>
          <w:tcPr>
            <w:tcW w:w="1199" w:type="dxa"/>
            <w:vAlign w:val="center"/>
          </w:tcPr>
          <w:p w:rsidR="007A7494" w:rsidRDefault="00FD23A9">
            <w:pPr>
              <w:jc w:val="center"/>
            </w:pPr>
            <w:r>
              <w:rPr>
                <w:rFonts w:asciiTheme="minorEastAsia" w:eastAsiaTheme="minorEastAsia" w:hAnsiTheme="minorEastAsia"/>
                <w:color w:val="000000" w:themeColor="text1"/>
                <w:kern w:val="0"/>
              </w:rPr>
              <w:t>28.47%</w:t>
            </w:r>
          </w:p>
        </w:tc>
        <w:tc>
          <w:tcPr>
            <w:tcW w:w="1204" w:type="dxa"/>
            <w:vAlign w:val="center"/>
          </w:tcPr>
          <w:p w:rsidR="007A7494" w:rsidRDefault="00FD23A9">
            <w:pPr>
              <w:jc w:val="center"/>
            </w:pPr>
            <w:r>
              <w:rPr>
                <w:rFonts w:asciiTheme="minorEastAsia" w:eastAsiaTheme="minorEastAsia" w:hAnsiTheme="minorEastAsia"/>
                <w:color w:val="000000" w:themeColor="text1"/>
                <w:kern w:val="0"/>
              </w:rPr>
              <w:t>0.74%</w:t>
            </w:r>
          </w:p>
        </w:tc>
      </w:tr>
      <w:tr w:rsidR="007A7494">
        <w:tc>
          <w:tcPr>
            <w:tcW w:w="1395" w:type="dxa"/>
            <w:vAlign w:val="center"/>
          </w:tcPr>
          <w:p w:rsidR="007A7494" w:rsidRDefault="00FD23A9">
            <w:pPr>
              <w:jc w:val="left"/>
            </w:pPr>
            <w:r>
              <w:rPr>
                <w:rFonts w:asciiTheme="minorEastAsia" w:eastAsiaTheme="minorEastAsia" w:hAnsiTheme="minorEastAsia"/>
                <w:color w:val="000000" w:themeColor="text1"/>
                <w:kern w:val="0"/>
              </w:rPr>
              <w:t>过去三年</w:t>
            </w:r>
          </w:p>
        </w:tc>
        <w:tc>
          <w:tcPr>
            <w:tcW w:w="1092" w:type="dxa"/>
            <w:vAlign w:val="center"/>
          </w:tcPr>
          <w:p w:rsidR="007A7494" w:rsidRDefault="00FD23A9">
            <w:pPr>
              <w:jc w:val="center"/>
            </w:pPr>
            <w:r>
              <w:rPr>
                <w:rFonts w:asciiTheme="minorEastAsia" w:eastAsiaTheme="minorEastAsia" w:hAnsiTheme="minorEastAsia"/>
                <w:color w:val="000000" w:themeColor="text1"/>
                <w:kern w:val="0"/>
              </w:rPr>
              <w:t>74.25%</w:t>
            </w:r>
          </w:p>
        </w:tc>
        <w:tc>
          <w:tcPr>
            <w:tcW w:w="1161" w:type="dxa"/>
            <w:vAlign w:val="center"/>
          </w:tcPr>
          <w:p w:rsidR="007A7494" w:rsidRDefault="00FD23A9">
            <w:pPr>
              <w:jc w:val="center"/>
            </w:pPr>
            <w:r>
              <w:rPr>
                <w:rFonts w:asciiTheme="minorEastAsia" w:eastAsiaTheme="minorEastAsia" w:hAnsiTheme="minorEastAsia"/>
                <w:color w:val="000000" w:themeColor="text1"/>
                <w:kern w:val="0"/>
              </w:rPr>
              <w:t>1.85%</w:t>
            </w:r>
          </w:p>
        </w:tc>
        <w:tc>
          <w:tcPr>
            <w:tcW w:w="1181" w:type="dxa"/>
            <w:vAlign w:val="center"/>
          </w:tcPr>
          <w:p w:rsidR="007A7494" w:rsidRDefault="00FD23A9">
            <w:pPr>
              <w:jc w:val="center"/>
            </w:pPr>
            <w:r>
              <w:rPr>
                <w:rFonts w:asciiTheme="minorEastAsia" w:eastAsiaTheme="minorEastAsia" w:hAnsiTheme="minorEastAsia"/>
                <w:color w:val="000000" w:themeColor="text1"/>
                <w:kern w:val="0"/>
              </w:rPr>
              <w:t>11.50%</w:t>
            </w:r>
          </w:p>
        </w:tc>
        <w:tc>
          <w:tcPr>
            <w:tcW w:w="1188" w:type="dxa"/>
            <w:vAlign w:val="center"/>
          </w:tcPr>
          <w:p w:rsidR="007A7494" w:rsidRDefault="00FD23A9">
            <w:pPr>
              <w:jc w:val="center"/>
            </w:pPr>
            <w:r>
              <w:rPr>
                <w:rFonts w:asciiTheme="minorEastAsia" w:eastAsiaTheme="minorEastAsia" w:hAnsiTheme="minorEastAsia"/>
                <w:color w:val="000000" w:themeColor="text1"/>
                <w:kern w:val="0"/>
              </w:rPr>
              <w:t>1.17%</w:t>
            </w:r>
          </w:p>
        </w:tc>
        <w:tc>
          <w:tcPr>
            <w:tcW w:w="1199" w:type="dxa"/>
            <w:vAlign w:val="center"/>
          </w:tcPr>
          <w:p w:rsidR="007A7494" w:rsidRDefault="00FD23A9">
            <w:pPr>
              <w:jc w:val="center"/>
            </w:pPr>
            <w:r>
              <w:rPr>
                <w:rFonts w:asciiTheme="minorEastAsia" w:eastAsiaTheme="minorEastAsia" w:hAnsiTheme="minorEastAsia"/>
                <w:color w:val="000000" w:themeColor="text1"/>
                <w:kern w:val="0"/>
              </w:rPr>
              <w:t>62.75%</w:t>
            </w:r>
          </w:p>
        </w:tc>
        <w:tc>
          <w:tcPr>
            <w:tcW w:w="1204" w:type="dxa"/>
            <w:vAlign w:val="center"/>
          </w:tcPr>
          <w:p w:rsidR="007A7494" w:rsidRDefault="00FD23A9">
            <w:pPr>
              <w:jc w:val="center"/>
            </w:pPr>
            <w:r>
              <w:rPr>
                <w:rFonts w:asciiTheme="minorEastAsia" w:eastAsiaTheme="minorEastAsia" w:hAnsiTheme="minorEastAsia"/>
                <w:color w:val="000000" w:themeColor="text1"/>
                <w:kern w:val="0"/>
              </w:rPr>
              <w:t>0.68%</w:t>
            </w:r>
          </w:p>
        </w:tc>
      </w:tr>
      <w:tr w:rsidR="007A7494">
        <w:tc>
          <w:tcPr>
            <w:tcW w:w="1395" w:type="dxa"/>
            <w:vAlign w:val="center"/>
          </w:tcPr>
          <w:p w:rsidR="007A7494" w:rsidRDefault="00FD23A9">
            <w:pPr>
              <w:jc w:val="left"/>
            </w:pPr>
            <w:r>
              <w:rPr>
                <w:rFonts w:asciiTheme="minorEastAsia" w:eastAsiaTheme="minorEastAsia" w:hAnsiTheme="minorEastAsia"/>
                <w:color w:val="000000" w:themeColor="text1"/>
                <w:kern w:val="0"/>
              </w:rPr>
              <w:t>过去五年</w:t>
            </w:r>
          </w:p>
        </w:tc>
        <w:tc>
          <w:tcPr>
            <w:tcW w:w="1092" w:type="dxa"/>
            <w:vAlign w:val="center"/>
          </w:tcPr>
          <w:p w:rsidR="007A7494" w:rsidRDefault="00FD23A9">
            <w:pPr>
              <w:jc w:val="center"/>
            </w:pPr>
            <w:r>
              <w:rPr>
                <w:rFonts w:asciiTheme="minorEastAsia" w:eastAsiaTheme="minorEastAsia" w:hAnsiTheme="minorEastAsia"/>
                <w:color w:val="000000" w:themeColor="text1"/>
                <w:kern w:val="0"/>
              </w:rPr>
              <w:t>97.24%</w:t>
            </w:r>
          </w:p>
        </w:tc>
        <w:tc>
          <w:tcPr>
            <w:tcW w:w="1161" w:type="dxa"/>
            <w:vAlign w:val="center"/>
          </w:tcPr>
          <w:p w:rsidR="007A7494" w:rsidRDefault="00FD23A9">
            <w:pPr>
              <w:jc w:val="center"/>
            </w:pPr>
            <w:r>
              <w:rPr>
                <w:rFonts w:asciiTheme="minorEastAsia" w:eastAsiaTheme="minorEastAsia" w:hAnsiTheme="minorEastAsia"/>
                <w:color w:val="000000" w:themeColor="text1"/>
                <w:kern w:val="0"/>
              </w:rPr>
              <w:t>1.70%</w:t>
            </w:r>
          </w:p>
        </w:tc>
        <w:tc>
          <w:tcPr>
            <w:tcW w:w="1181" w:type="dxa"/>
            <w:vAlign w:val="center"/>
          </w:tcPr>
          <w:p w:rsidR="007A7494" w:rsidRDefault="00FD23A9">
            <w:pPr>
              <w:jc w:val="center"/>
            </w:pPr>
            <w:r>
              <w:rPr>
                <w:rFonts w:asciiTheme="minorEastAsia" w:eastAsiaTheme="minorEastAsia" w:hAnsiTheme="minorEastAsia"/>
                <w:color w:val="000000" w:themeColor="text1"/>
                <w:kern w:val="0"/>
              </w:rPr>
              <w:t>13.38%</w:t>
            </w:r>
          </w:p>
        </w:tc>
        <w:tc>
          <w:tcPr>
            <w:tcW w:w="1188" w:type="dxa"/>
            <w:vAlign w:val="center"/>
          </w:tcPr>
          <w:p w:rsidR="007A7494" w:rsidRDefault="00FD23A9">
            <w:pPr>
              <w:jc w:val="center"/>
            </w:pPr>
            <w:r>
              <w:rPr>
                <w:rFonts w:asciiTheme="minorEastAsia" w:eastAsiaTheme="minorEastAsia" w:hAnsiTheme="minorEastAsia"/>
                <w:color w:val="000000" w:themeColor="text1"/>
                <w:kern w:val="0"/>
              </w:rPr>
              <w:t>1.04%</w:t>
            </w:r>
          </w:p>
        </w:tc>
        <w:tc>
          <w:tcPr>
            <w:tcW w:w="1199" w:type="dxa"/>
            <w:vAlign w:val="center"/>
          </w:tcPr>
          <w:p w:rsidR="007A7494" w:rsidRDefault="00FD23A9">
            <w:pPr>
              <w:jc w:val="center"/>
            </w:pPr>
            <w:r>
              <w:rPr>
                <w:rFonts w:asciiTheme="minorEastAsia" w:eastAsiaTheme="minorEastAsia" w:hAnsiTheme="minorEastAsia"/>
                <w:color w:val="000000" w:themeColor="text1"/>
                <w:kern w:val="0"/>
              </w:rPr>
              <w:t>83.86%</w:t>
            </w:r>
          </w:p>
        </w:tc>
        <w:tc>
          <w:tcPr>
            <w:tcW w:w="1204" w:type="dxa"/>
            <w:vAlign w:val="center"/>
          </w:tcPr>
          <w:p w:rsidR="007A7494" w:rsidRDefault="00FD23A9">
            <w:pPr>
              <w:jc w:val="center"/>
            </w:pPr>
            <w:r>
              <w:rPr>
                <w:rFonts w:asciiTheme="minorEastAsia" w:eastAsiaTheme="minorEastAsia" w:hAnsiTheme="minorEastAsia"/>
                <w:color w:val="000000" w:themeColor="text1"/>
                <w:kern w:val="0"/>
              </w:rPr>
              <w:t>0.66%</w:t>
            </w:r>
          </w:p>
        </w:tc>
      </w:tr>
      <w:tr w:rsidR="007A7494">
        <w:tc>
          <w:tcPr>
            <w:tcW w:w="1395" w:type="dxa"/>
            <w:vAlign w:val="center"/>
          </w:tcPr>
          <w:p w:rsidR="007A7494" w:rsidRDefault="00FD23A9">
            <w:pPr>
              <w:jc w:val="left"/>
            </w:pPr>
            <w:r>
              <w:rPr>
                <w:rFonts w:asciiTheme="minorEastAsia" w:eastAsiaTheme="minorEastAsia" w:hAnsiTheme="minorEastAsia"/>
                <w:color w:val="000000" w:themeColor="text1"/>
                <w:kern w:val="0"/>
              </w:rPr>
              <w:t>自基金合同生效起至今</w:t>
            </w:r>
          </w:p>
        </w:tc>
        <w:tc>
          <w:tcPr>
            <w:tcW w:w="1092" w:type="dxa"/>
            <w:vAlign w:val="center"/>
          </w:tcPr>
          <w:p w:rsidR="007A7494" w:rsidRDefault="00FD23A9">
            <w:pPr>
              <w:jc w:val="center"/>
            </w:pPr>
            <w:r>
              <w:rPr>
                <w:rFonts w:asciiTheme="minorEastAsia" w:eastAsiaTheme="minorEastAsia" w:hAnsiTheme="minorEastAsia"/>
                <w:color w:val="000000" w:themeColor="text1"/>
                <w:kern w:val="0"/>
              </w:rPr>
              <w:t>292.74%</w:t>
            </w:r>
          </w:p>
        </w:tc>
        <w:tc>
          <w:tcPr>
            <w:tcW w:w="1161" w:type="dxa"/>
            <w:vAlign w:val="center"/>
          </w:tcPr>
          <w:p w:rsidR="007A7494" w:rsidRDefault="00FD23A9">
            <w:pPr>
              <w:jc w:val="center"/>
            </w:pPr>
            <w:r>
              <w:rPr>
                <w:rFonts w:asciiTheme="minorEastAsia" w:eastAsiaTheme="minorEastAsia" w:hAnsiTheme="minorEastAsia"/>
                <w:color w:val="000000" w:themeColor="text1"/>
                <w:kern w:val="0"/>
              </w:rPr>
              <w:t>1.81%</w:t>
            </w:r>
          </w:p>
        </w:tc>
        <w:tc>
          <w:tcPr>
            <w:tcW w:w="1181" w:type="dxa"/>
            <w:vAlign w:val="center"/>
          </w:tcPr>
          <w:p w:rsidR="007A7494" w:rsidRDefault="00FD23A9">
            <w:pPr>
              <w:jc w:val="center"/>
            </w:pPr>
            <w:r>
              <w:rPr>
                <w:rFonts w:asciiTheme="minorEastAsia" w:eastAsiaTheme="minorEastAsia" w:hAnsiTheme="minorEastAsia"/>
                <w:color w:val="000000" w:themeColor="text1"/>
                <w:kern w:val="0"/>
              </w:rPr>
              <w:t>135.97%</w:t>
            </w:r>
          </w:p>
        </w:tc>
        <w:tc>
          <w:tcPr>
            <w:tcW w:w="1188" w:type="dxa"/>
            <w:vAlign w:val="center"/>
          </w:tcPr>
          <w:p w:rsidR="007A7494" w:rsidRDefault="00FD23A9">
            <w:pPr>
              <w:jc w:val="center"/>
            </w:pPr>
            <w:r>
              <w:rPr>
                <w:rFonts w:asciiTheme="minorEastAsia" w:eastAsiaTheme="minorEastAsia" w:hAnsiTheme="minorEastAsia"/>
                <w:color w:val="000000" w:themeColor="text1"/>
                <w:kern w:val="0"/>
              </w:rPr>
              <w:t>1.29%</w:t>
            </w:r>
          </w:p>
        </w:tc>
        <w:tc>
          <w:tcPr>
            <w:tcW w:w="1199" w:type="dxa"/>
            <w:vAlign w:val="center"/>
          </w:tcPr>
          <w:p w:rsidR="007A7494" w:rsidRDefault="00FD23A9">
            <w:pPr>
              <w:jc w:val="center"/>
            </w:pPr>
            <w:r>
              <w:rPr>
                <w:rFonts w:asciiTheme="minorEastAsia" w:eastAsiaTheme="minorEastAsia" w:hAnsiTheme="minorEastAsia"/>
                <w:color w:val="000000" w:themeColor="text1"/>
                <w:kern w:val="0"/>
              </w:rPr>
              <w:t>156.77%</w:t>
            </w:r>
          </w:p>
        </w:tc>
        <w:tc>
          <w:tcPr>
            <w:tcW w:w="1204" w:type="dxa"/>
            <w:vAlign w:val="center"/>
          </w:tcPr>
          <w:p w:rsidR="007A7494" w:rsidRDefault="00FD23A9">
            <w:pPr>
              <w:jc w:val="center"/>
            </w:pPr>
            <w:r>
              <w:rPr>
                <w:rFonts w:asciiTheme="minorEastAsia" w:eastAsiaTheme="minorEastAsia" w:hAnsiTheme="minorEastAsia"/>
                <w:color w:val="000000" w:themeColor="text1"/>
                <w:kern w:val="0"/>
              </w:rPr>
              <w:t>0.52%</w:t>
            </w:r>
          </w:p>
        </w:tc>
      </w:tr>
    </w:tbl>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3.2.2</w:t>
      </w:r>
      <w:r>
        <w:rPr>
          <w:rStyle w:val="afe"/>
          <w:rFonts w:hint="eastAsia"/>
          <w:color w:val="000000" w:themeColor="text1"/>
          <w:sz w:val="24"/>
          <w:szCs w:val="24"/>
          <w:shd w:val="clear" w:color="auto" w:fill="FFFFFF"/>
        </w:rPr>
        <w:t>自基金合同生效以来</w:t>
      </w:r>
      <w:r>
        <w:rPr>
          <w:rFonts w:asciiTheme="minorEastAsia" w:eastAsiaTheme="minorEastAsia" w:hAnsiTheme="minorEastAsia" w:hint="eastAsia"/>
          <w:b/>
          <w:bCs/>
          <w:color w:val="000000" w:themeColor="text1"/>
          <w:kern w:val="0"/>
          <w:sz w:val="24"/>
          <w:szCs w:val="24"/>
        </w:rPr>
        <w:t>基金累计净值增长率变动及其与同期业绩比较基准收益率变动的比较</w:t>
      </w:r>
    </w:p>
    <w:p w:rsidR="00D06738" w:rsidRDefault="00454D20">
      <w:pPr>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上投摩根中小盘混合型证券投资基金</w:t>
      </w:r>
    </w:p>
    <w:p w:rsidR="00D06738" w:rsidRDefault="00454D20">
      <w:pPr>
        <w:pStyle w:val="ae"/>
        <w:snapToGrid w:val="0"/>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累计净值增长率与业绩比较基准收益率历史走势对比图</w:t>
      </w:r>
    </w:p>
    <w:p w:rsidR="00D06738" w:rsidRDefault="00454D20">
      <w:pPr>
        <w:pStyle w:val="ae"/>
        <w:snapToGrid w:val="0"/>
        <w:spacing w:line="360" w:lineRule="auto"/>
        <w:ind w:firstLine="48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2009年1月21日</w:t>
      </w:r>
      <w:r>
        <w:rPr>
          <w:rFonts w:asciiTheme="minorEastAsia" w:eastAsiaTheme="minorEastAsia" w:hAnsiTheme="minorEastAsia" w:hint="eastAsia"/>
          <w:color w:val="000000" w:themeColor="text1"/>
        </w:rPr>
        <w:t>至2021年3月31日)</w:t>
      </w:r>
    </w:p>
    <w:p w:rsidR="00D06738" w:rsidRDefault="00454D20">
      <w:pPr>
        <w:pStyle w:val="ae"/>
        <w:snapToGrid w:val="0"/>
        <w:spacing w:before="120" w:line="360" w:lineRule="auto"/>
        <w:jc w:val="center"/>
        <w:rPr>
          <w:rFonts w:asciiTheme="minorEastAsia" w:eastAsiaTheme="minorEastAsia" w:hAnsiTheme="minorEastAsia"/>
          <w:color w:val="000000" w:themeColor="text1"/>
          <w:sz w:val="24"/>
          <w:szCs w:val="24"/>
        </w:rPr>
      </w:pPr>
      <w:r>
        <w:rPr>
          <w:rFonts w:asciiTheme="minorEastAsia" w:eastAsiaTheme="minorEastAsia" w:hAnsiTheme="minorEastAsia"/>
          <w:noProof/>
          <w:color w:val="000000" w:themeColor="text1"/>
          <w:sz w:val="24"/>
          <w:szCs w:val="24"/>
        </w:rPr>
        <w:lastRenderedPageBreak/>
        <w:drawing>
          <wp:inline distT="0" distB="0" distL="0" distR="0" wp14:anchorId="41E8FF0D" wp14:editId="228D69F2">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rsidR="007A7494" w:rsidRDefault="00FD23A9">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注：本基金合同生效日为2009年1月21日，图示的时间段为合同生效日至本报告期末。</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本基金建仓期为本基金合同生效日起6个月，建仓期结束时资产配置比例符合本基金基金合同规定。</w:t>
      </w:r>
    </w:p>
    <w:p w:rsidR="00D06738" w:rsidRDefault="00D06738">
      <w:pPr>
        <w:tabs>
          <w:tab w:val="left" w:pos="1800"/>
        </w:tabs>
        <w:spacing w:line="360" w:lineRule="auto"/>
        <w:rPr>
          <w:rFonts w:asciiTheme="minorEastAsia" w:eastAsiaTheme="minorEastAsia" w:hAnsiTheme="minorEastAsia"/>
          <w:color w:val="000000" w:themeColor="text1"/>
          <w:sz w:val="24"/>
          <w:szCs w:val="24"/>
        </w:rPr>
      </w:pPr>
    </w:p>
    <w:p w:rsidR="00D06738" w:rsidRDefault="00D06738">
      <w:pPr>
        <w:tabs>
          <w:tab w:val="left" w:pos="1800"/>
        </w:tabs>
        <w:spacing w:line="288" w:lineRule="auto"/>
        <w:rPr>
          <w:rFonts w:asciiTheme="minorEastAsia" w:eastAsiaTheme="minorEastAsia" w:hAnsiTheme="minorEastAsia"/>
          <w:color w:val="000000" w:themeColor="text1"/>
          <w:sz w:val="24"/>
          <w:szCs w:val="24"/>
        </w:rPr>
      </w:pPr>
    </w:p>
    <w:p w:rsidR="00D06738" w:rsidRDefault="00454D20">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4  </w:t>
      </w:r>
      <w:r>
        <w:rPr>
          <w:rFonts w:asciiTheme="minorEastAsia" w:eastAsiaTheme="minorEastAsia" w:hAnsiTheme="minorEastAsia" w:hint="eastAsia"/>
          <w:color w:val="000000" w:themeColor="text1"/>
          <w:kern w:val="0"/>
          <w:sz w:val="24"/>
          <w:szCs w:val="24"/>
        </w:rPr>
        <w:t>管理人报告</w:t>
      </w: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4.1 </w:t>
      </w:r>
      <w:r>
        <w:rPr>
          <w:rFonts w:asciiTheme="minorEastAsia" w:eastAsiaTheme="minorEastAsia" w:hAnsiTheme="minorEastAsia" w:hint="eastAsia"/>
          <w:b/>
          <w:bCs/>
          <w:color w:val="000000" w:themeColor="text1"/>
          <w:kern w:val="0"/>
          <w:sz w:val="24"/>
          <w:szCs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560"/>
        <w:gridCol w:w="1559"/>
        <w:gridCol w:w="1417"/>
        <w:gridCol w:w="2694"/>
      </w:tblGrid>
      <w:tr w:rsidR="00D06738">
        <w:trPr>
          <w:cantSplit/>
          <w:trHeight w:val="292"/>
        </w:trPr>
        <w:tc>
          <w:tcPr>
            <w:tcW w:w="851" w:type="dxa"/>
            <w:vMerge w:val="restart"/>
            <w:vAlign w:val="center"/>
          </w:tcPr>
          <w:p w:rsidR="00D06738" w:rsidRDefault="00454D20">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姓名</w:t>
            </w:r>
          </w:p>
        </w:tc>
        <w:tc>
          <w:tcPr>
            <w:tcW w:w="850" w:type="dxa"/>
            <w:vMerge w:val="restart"/>
            <w:vAlign w:val="center"/>
          </w:tcPr>
          <w:p w:rsidR="00D06738" w:rsidRDefault="00454D20">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职务</w:t>
            </w:r>
          </w:p>
        </w:tc>
        <w:tc>
          <w:tcPr>
            <w:tcW w:w="3119" w:type="dxa"/>
            <w:gridSpan w:val="2"/>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任本基金的基金经理期限</w:t>
            </w:r>
          </w:p>
        </w:tc>
        <w:tc>
          <w:tcPr>
            <w:tcW w:w="1417" w:type="dxa"/>
            <w:vMerge w:val="restart"/>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证券从业年限</w:t>
            </w:r>
          </w:p>
        </w:tc>
        <w:tc>
          <w:tcPr>
            <w:tcW w:w="2694" w:type="dxa"/>
            <w:vMerge w:val="restart"/>
            <w:vAlign w:val="center"/>
          </w:tcPr>
          <w:p w:rsidR="00D06738" w:rsidRDefault="00454D20">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说明</w:t>
            </w:r>
          </w:p>
        </w:tc>
      </w:tr>
      <w:tr w:rsidR="00D06738">
        <w:trPr>
          <w:cantSplit/>
        </w:trPr>
        <w:tc>
          <w:tcPr>
            <w:tcW w:w="851" w:type="dxa"/>
            <w:vMerge/>
            <w:vAlign w:val="center"/>
          </w:tcPr>
          <w:p w:rsidR="00D06738" w:rsidRDefault="00D06738">
            <w:pPr>
              <w:widowControl/>
              <w:spacing w:line="360" w:lineRule="auto"/>
              <w:jc w:val="left"/>
              <w:rPr>
                <w:rFonts w:asciiTheme="minorEastAsia" w:eastAsiaTheme="minorEastAsia" w:hAnsiTheme="minorEastAsia"/>
                <w:color w:val="000000" w:themeColor="text1"/>
                <w:kern w:val="0"/>
              </w:rPr>
            </w:pPr>
          </w:p>
        </w:tc>
        <w:tc>
          <w:tcPr>
            <w:tcW w:w="850" w:type="dxa"/>
            <w:vMerge/>
            <w:vAlign w:val="center"/>
          </w:tcPr>
          <w:p w:rsidR="00D06738" w:rsidRDefault="00D06738">
            <w:pPr>
              <w:widowControl/>
              <w:spacing w:line="360" w:lineRule="auto"/>
              <w:jc w:val="left"/>
              <w:rPr>
                <w:rFonts w:asciiTheme="minorEastAsia" w:eastAsiaTheme="minorEastAsia" w:hAnsiTheme="minorEastAsia"/>
                <w:color w:val="000000" w:themeColor="text1"/>
                <w:kern w:val="0"/>
              </w:rPr>
            </w:pPr>
          </w:p>
        </w:tc>
        <w:tc>
          <w:tcPr>
            <w:tcW w:w="1560"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任职日期</w:t>
            </w:r>
          </w:p>
        </w:tc>
        <w:tc>
          <w:tcPr>
            <w:tcW w:w="1559"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离任日期</w:t>
            </w:r>
          </w:p>
        </w:tc>
        <w:tc>
          <w:tcPr>
            <w:tcW w:w="1417" w:type="dxa"/>
            <w:vMerge/>
            <w:vAlign w:val="center"/>
          </w:tcPr>
          <w:p w:rsidR="00D06738" w:rsidRDefault="00D06738">
            <w:pPr>
              <w:widowControl/>
              <w:spacing w:line="360" w:lineRule="auto"/>
              <w:jc w:val="left"/>
              <w:rPr>
                <w:rFonts w:asciiTheme="minorEastAsia" w:eastAsiaTheme="minorEastAsia" w:hAnsiTheme="minorEastAsia"/>
                <w:color w:val="000000" w:themeColor="text1"/>
                <w:kern w:val="0"/>
              </w:rPr>
            </w:pPr>
          </w:p>
        </w:tc>
        <w:tc>
          <w:tcPr>
            <w:tcW w:w="2694" w:type="dxa"/>
            <w:vMerge/>
            <w:vAlign w:val="center"/>
          </w:tcPr>
          <w:p w:rsidR="00D06738" w:rsidRDefault="00D06738">
            <w:pPr>
              <w:widowControl/>
              <w:spacing w:line="360" w:lineRule="auto"/>
              <w:jc w:val="left"/>
              <w:rPr>
                <w:rFonts w:asciiTheme="minorEastAsia" w:eastAsiaTheme="minorEastAsia" w:hAnsiTheme="minorEastAsia"/>
                <w:color w:val="000000" w:themeColor="text1"/>
                <w:kern w:val="0"/>
              </w:rPr>
            </w:pPr>
          </w:p>
        </w:tc>
      </w:tr>
      <w:tr w:rsidR="007A7494">
        <w:tc>
          <w:tcPr>
            <w:tcW w:w="851" w:type="dxa"/>
            <w:vAlign w:val="center"/>
          </w:tcPr>
          <w:p w:rsidR="007A7494" w:rsidRDefault="00FD23A9">
            <w:pPr>
              <w:jc w:val="center"/>
            </w:pPr>
            <w:r>
              <w:rPr>
                <w:rFonts w:asciiTheme="minorEastAsia" w:eastAsiaTheme="minorEastAsia" w:hAnsiTheme="minorEastAsia"/>
                <w:color w:val="000000" w:themeColor="text1"/>
              </w:rPr>
              <w:t>郭晨</w:t>
            </w:r>
          </w:p>
        </w:tc>
        <w:tc>
          <w:tcPr>
            <w:tcW w:w="850" w:type="dxa"/>
            <w:vAlign w:val="center"/>
          </w:tcPr>
          <w:p w:rsidR="007A7494" w:rsidRDefault="00FD23A9">
            <w:pPr>
              <w:jc w:val="center"/>
            </w:pPr>
            <w:r>
              <w:rPr>
                <w:rFonts w:asciiTheme="minorEastAsia" w:eastAsiaTheme="minorEastAsia" w:hAnsiTheme="minorEastAsia"/>
                <w:color w:val="000000" w:themeColor="text1"/>
              </w:rPr>
              <w:t>本基金基金经理</w:t>
            </w:r>
          </w:p>
        </w:tc>
        <w:tc>
          <w:tcPr>
            <w:tcW w:w="1560" w:type="dxa"/>
            <w:vAlign w:val="center"/>
          </w:tcPr>
          <w:p w:rsidR="007A7494" w:rsidRDefault="00FD23A9">
            <w:pPr>
              <w:jc w:val="center"/>
            </w:pPr>
            <w:r>
              <w:rPr>
                <w:rFonts w:asciiTheme="minorEastAsia" w:eastAsiaTheme="minorEastAsia" w:hAnsiTheme="minorEastAsia"/>
                <w:color w:val="000000" w:themeColor="text1"/>
              </w:rPr>
              <w:t>2015-01-30</w:t>
            </w:r>
          </w:p>
        </w:tc>
        <w:tc>
          <w:tcPr>
            <w:tcW w:w="1559" w:type="dxa"/>
            <w:vAlign w:val="center"/>
          </w:tcPr>
          <w:p w:rsidR="007A7494" w:rsidRDefault="00FD23A9">
            <w:pPr>
              <w:jc w:val="center"/>
            </w:pPr>
            <w:r>
              <w:rPr>
                <w:rFonts w:asciiTheme="minorEastAsia" w:eastAsiaTheme="minorEastAsia" w:hAnsiTheme="minorEastAsia"/>
                <w:color w:val="000000" w:themeColor="text1"/>
              </w:rPr>
              <w:t>-</w:t>
            </w:r>
          </w:p>
        </w:tc>
        <w:tc>
          <w:tcPr>
            <w:tcW w:w="1417" w:type="dxa"/>
            <w:vAlign w:val="center"/>
          </w:tcPr>
          <w:p w:rsidR="007A7494" w:rsidRDefault="00FD23A9">
            <w:pPr>
              <w:jc w:val="center"/>
            </w:pPr>
            <w:r>
              <w:rPr>
                <w:rFonts w:asciiTheme="minorEastAsia" w:eastAsiaTheme="minorEastAsia" w:hAnsiTheme="minorEastAsia"/>
                <w:color w:val="000000" w:themeColor="text1"/>
              </w:rPr>
              <w:t>14年</w:t>
            </w:r>
          </w:p>
        </w:tc>
        <w:tc>
          <w:tcPr>
            <w:tcW w:w="2694" w:type="dxa"/>
            <w:vAlign w:val="center"/>
          </w:tcPr>
          <w:p w:rsidR="007A7494" w:rsidRDefault="00FD23A9" w:rsidP="00FD23A9">
            <w:r>
              <w:rPr>
                <w:rFonts w:asciiTheme="minorEastAsia" w:eastAsiaTheme="minorEastAsia" w:hAnsiTheme="minorEastAsia"/>
                <w:color w:val="000000" w:themeColor="text1"/>
              </w:rPr>
              <w:t>郭晨先生，自2007年7月至2008年4月在平安资产管理有限公司担任分析师；2008年4月至2009年11月在东吴基金管理有限公司担任研究员；2009年11月至2014年10月在华富基金管理有限公司先后担任基金经理助理、基金经理。2014年10月起加入上投摩根基金管理有限公司并担任基金经理、国内权益投资部动力组组长兼资深基金</w:t>
            </w:r>
            <w:r>
              <w:rPr>
                <w:rFonts w:asciiTheme="minorEastAsia" w:eastAsiaTheme="minorEastAsia" w:hAnsiTheme="minorEastAsia"/>
                <w:color w:val="000000" w:themeColor="text1"/>
              </w:rPr>
              <w:lastRenderedPageBreak/>
              <w:t>经理，自2015年1月起担任上投摩根中小盘混合型证券投资基金基金经理，自2015年6月起同时担任上投摩根智慧互联股票型证券投资基金基金经理，自2015年8月起同时担任上投摩根新兴服务股票型证券投资基金基金经理，自2019年3月起同时担任上投摩根创新商业模式灵活配置混合型证券投资基金基金经理。</w:t>
            </w:r>
          </w:p>
        </w:tc>
      </w:tr>
    </w:tbl>
    <w:p w:rsidR="007A7494" w:rsidRDefault="00FD23A9">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lastRenderedPageBreak/>
        <w:t>注：1.任职日期和离任日期均指根据公司决定确定的聘任日期和解聘日期。</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2.证券从业的含义遵从行业协会《证券业从业人员资格管理办法》的相关规定。</w:t>
      </w: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4.2 </w:t>
      </w:r>
      <w:r>
        <w:rPr>
          <w:rFonts w:asciiTheme="minorEastAsia" w:eastAsiaTheme="minorEastAsia" w:hAnsiTheme="minorEastAsia" w:hint="eastAsia"/>
          <w:b/>
          <w:bCs/>
          <w:color w:val="000000" w:themeColor="text1"/>
          <w:kern w:val="0"/>
          <w:sz w:val="24"/>
          <w:szCs w:val="24"/>
        </w:rPr>
        <w:t>管理人对报告期内本基金运作遵规守信情况的说明</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在本报告期内，基金管理人不存在损害基金份额持有人利益的行为，勤勉尽责地为基金份额持有人谋求利益。基金管理人遵守了《证券投资基金法》及其他有关法律法规、《上投摩根中小盘混合型证券投资基金基金合同》的规定。基金经理对个股和投资组合的比例遵循了投资决策委员会的授权限制，基金投资比例符合基金合同和法律法规的要求。</w:t>
      </w:r>
    </w:p>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4.3 </w:t>
      </w:r>
      <w:r>
        <w:rPr>
          <w:rFonts w:asciiTheme="minorEastAsia" w:eastAsiaTheme="minorEastAsia" w:hAnsiTheme="minorEastAsia" w:hint="eastAsia"/>
          <w:b/>
          <w:bCs/>
          <w:color w:val="000000" w:themeColor="text1"/>
          <w:kern w:val="0"/>
          <w:sz w:val="24"/>
          <w:szCs w:val="24"/>
        </w:rPr>
        <w:t>公平交易专项说明</w:t>
      </w:r>
    </w:p>
    <w:p w:rsidR="00D06738" w:rsidRDefault="00454D20">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4.3.1 </w:t>
      </w:r>
      <w:r>
        <w:rPr>
          <w:rFonts w:asciiTheme="minorEastAsia" w:eastAsiaTheme="minorEastAsia" w:hAnsiTheme="minorEastAsia" w:hint="eastAsia"/>
          <w:color w:val="000000" w:themeColor="text1"/>
          <w:sz w:val="24"/>
          <w:szCs w:val="24"/>
        </w:rPr>
        <w:t>公平交易制度的执行情况</w:t>
      </w:r>
    </w:p>
    <w:p w:rsidR="007A7494" w:rsidRDefault="00FD23A9">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7A7494" w:rsidRDefault="00FD23A9">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报告期内，通过对不同投资组合之间的收益率差异比较、对同向交易和反向交易的交易</w:t>
      </w:r>
      <w:r>
        <w:rPr>
          <w:rFonts w:asciiTheme="minorEastAsia" w:eastAsiaTheme="minorEastAsia" w:hAnsiTheme="minorEastAsia"/>
          <w:color w:val="000000" w:themeColor="text1"/>
        </w:rPr>
        <w:lastRenderedPageBreak/>
        <w:t>时机和交易价差监控分析，未发现整体公平交易执行出现异常的情况。</w:t>
      </w:r>
    </w:p>
    <w:p w:rsidR="00D06738" w:rsidRDefault="00454D20">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4.3.2 </w:t>
      </w:r>
      <w:r>
        <w:rPr>
          <w:rFonts w:asciiTheme="minorEastAsia" w:eastAsiaTheme="minorEastAsia" w:hAnsiTheme="minorEastAsia" w:hint="eastAsia"/>
          <w:color w:val="000000" w:themeColor="text1"/>
          <w:sz w:val="24"/>
          <w:szCs w:val="24"/>
        </w:rPr>
        <w:t>异常交易行为的专项说明</w:t>
      </w:r>
    </w:p>
    <w:p w:rsidR="007A7494" w:rsidRDefault="00FD23A9">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报告期内，通过对交易价格、交易时间、交易方向等的分析，未发现有可能导致不公平交易和利益输送的异常交易行为。</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所有投资组合参与的交易所公开竞价同日反向交易成交较少的单边交易量超过该证券当日成交量的5%的情形：无。</w:t>
      </w:r>
    </w:p>
    <w:p w:rsidR="00D06738" w:rsidRDefault="00D06738">
      <w:pPr>
        <w:spacing w:line="360" w:lineRule="auto"/>
        <w:ind w:firstLineChars="200" w:firstLine="480"/>
        <w:rPr>
          <w:rFonts w:asciiTheme="minorEastAsia" w:eastAsiaTheme="minorEastAsia" w:hAnsiTheme="minorEastAsia"/>
          <w:color w:val="000000" w:themeColor="text1"/>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4.4 </w:t>
      </w:r>
      <w:r>
        <w:rPr>
          <w:rFonts w:asciiTheme="minorEastAsia" w:eastAsiaTheme="minorEastAsia" w:hAnsiTheme="minorEastAsia" w:hint="eastAsia"/>
          <w:b/>
          <w:bCs/>
          <w:color w:val="000000" w:themeColor="text1"/>
          <w:kern w:val="0"/>
          <w:sz w:val="24"/>
          <w:szCs w:val="24"/>
        </w:rPr>
        <w:t>报告期内基金的投资策略和业绩表现说明</w:t>
      </w:r>
    </w:p>
    <w:p w:rsidR="00D06738" w:rsidRDefault="00454D20">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s="宋体"/>
          <w:color w:val="000000" w:themeColor="text1"/>
          <w:sz w:val="24"/>
          <w:szCs w:val="24"/>
        </w:rPr>
        <w:t>4.4.1</w:t>
      </w:r>
      <w:r>
        <w:rPr>
          <w:rFonts w:asciiTheme="minorEastAsia" w:eastAsiaTheme="minorEastAsia" w:hAnsiTheme="minorEastAsia" w:cs="宋体" w:hint="eastAsia"/>
          <w:color w:val="000000" w:themeColor="text1"/>
          <w:sz w:val="24"/>
          <w:szCs w:val="24"/>
        </w:rPr>
        <w:t>报告期内基金投资策略和运作分析</w:t>
      </w:r>
    </w:p>
    <w:p w:rsidR="007A7494" w:rsidRDefault="00FD23A9">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一季度沪深300指数下跌3.13%，创业板指数下跌7%，市场波动很大，春节前市场非常火热，大量资金通过公募基金入市，过去两年涨幅较大的核心资产依然是市场的主线。春节之后，市场出现了180度的反转，市场快速回调，幅度很大，受伤较重的也是前期表现较好的核心资产。造成这次回调主要是两点原因，其一是新冠疫苗开始大规模使用，全球经济有望恢复，市场预期全球央行的货币政策会出现收缩，美国十年期国债收益率出现上行，全球股市都出现了一定的波动。二是过去两年A股的核心资产涨幅较大，从估值上看已经不便宜了，需要一定的震荡调整，用时间来消化估值。在这种背景下，顺周期的品种本季度表现较好，科技、医药等成长股表现较差。</w:t>
      </w:r>
    </w:p>
    <w:p w:rsidR="007A7494" w:rsidRDefault="00FD23A9">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对今年的调整我们是有一定预期的，预判公募基金的收益率大概率会低于过去两年，因此也采取了一些措施规避回撤，比如适度降低仓位，行业和个股的配置更加均衡，但是组合依然出现了一定的回撤，我们会认真总结经验，希望未来能够为持有人带来更好的持有体验。此次回调并不会改变A股长期慢牛走势，A股急跌之后，结构性机会开始出现，本基金将始终坚持价值投资思路，坚持配置高景气度行业，选择高景气行业中优秀的龙头公司长期投资。</w:t>
      </w:r>
    </w:p>
    <w:p w:rsidR="007A7494" w:rsidRDefault="00FD23A9">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展望二季度，我们并不悲观，一季度的调整是健康的、正常的，并不会改变A股长期慢牛大趋势，这次调整让很多优质公司进入了价值区间，给我们提供了很好的买入机会。随着疫苗逐渐开始应用，疫情有望得到控制，全球经济复苏，上市公司业绩有望高增长，对市场将会有很强的支撑作用。我们需要密切关注的是行业和公司的基本面变化，基本面向好、景气度提升的标的，我们敢于在跌下来的时候加仓。</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我们会始终坚持价值投资，坚持超配高景气度行业，选择朝阳行业中优秀的龙头公司长期投资。我们依然战略看好高科技、先进制造等成长板块和与百姓生活相关的消费、医药行业，致力长期投资高景气度、高成长，低估值的优秀龙头公司。行业上，二季度我们依然看</w:t>
      </w:r>
      <w:r>
        <w:rPr>
          <w:rFonts w:asciiTheme="minorEastAsia" w:eastAsiaTheme="minorEastAsia" w:hAnsiTheme="minorEastAsia"/>
          <w:color w:val="000000" w:themeColor="text1"/>
        </w:rPr>
        <w:lastRenderedPageBreak/>
        <w:t>好半导体、新能源汽车、消费、医药等细分行业。合理的估值，业绩增速，成长的确定性是本基金最看重的。</w:t>
      </w:r>
    </w:p>
    <w:p w:rsidR="00D06738" w:rsidRDefault="00454D20">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s="宋体"/>
          <w:color w:val="000000" w:themeColor="text1"/>
          <w:sz w:val="24"/>
          <w:szCs w:val="24"/>
        </w:rPr>
        <w:t>4.4.2</w:t>
      </w:r>
      <w:r>
        <w:rPr>
          <w:rFonts w:asciiTheme="minorEastAsia" w:eastAsiaTheme="minorEastAsia" w:hAnsiTheme="minorEastAsia" w:cs="宋体" w:hint="eastAsia"/>
          <w:color w:val="000000" w:themeColor="text1"/>
          <w:sz w:val="24"/>
          <w:szCs w:val="24"/>
        </w:rPr>
        <w:t>报告期内基金的业绩表现</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本报告期上投摩根中小盘混合份额净值增长率为:-4.55%，同期业绩比较基准收益率为:-2.53%。</w:t>
      </w:r>
    </w:p>
    <w:p w:rsidR="00D06738" w:rsidRDefault="00D06738">
      <w:pPr>
        <w:spacing w:line="360" w:lineRule="auto"/>
        <w:ind w:firstLineChars="200" w:firstLine="480"/>
        <w:rPr>
          <w:rFonts w:asciiTheme="minorEastAsia" w:eastAsiaTheme="minorEastAsia" w:hAnsiTheme="minorEastAsia"/>
          <w:color w:val="000000" w:themeColor="text1"/>
          <w:sz w:val="24"/>
          <w:szCs w:val="24"/>
        </w:rPr>
      </w:pPr>
    </w:p>
    <w:p w:rsidR="00D06738" w:rsidRDefault="00454D20">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b/>
          <w:color w:val="000000" w:themeColor="text1"/>
          <w:kern w:val="0"/>
          <w:sz w:val="24"/>
          <w:szCs w:val="24"/>
        </w:rPr>
        <w:t>4</w:t>
      </w:r>
      <w:r>
        <w:rPr>
          <w:rFonts w:asciiTheme="minorEastAsia" w:eastAsiaTheme="minorEastAsia" w:hAnsiTheme="minorEastAsia" w:hint="eastAsia"/>
          <w:b/>
          <w:color w:val="000000" w:themeColor="text1"/>
          <w:kern w:val="0"/>
          <w:sz w:val="24"/>
          <w:szCs w:val="24"/>
        </w:rPr>
        <w:t>.5报告期内基金持有人数或基金资产净值预警说明</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无。</w:t>
      </w:r>
    </w:p>
    <w:p w:rsidR="00D06738" w:rsidRDefault="00454D20">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§5</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投资组合报告</w:t>
      </w: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5.1 </w:t>
      </w:r>
      <w:r>
        <w:rPr>
          <w:rFonts w:asciiTheme="minorEastAsia" w:eastAsiaTheme="minorEastAsia" w:hAnsiTheme="minorEastAsia" w:hint="eastAsia"/>
          <w:b/>
          <w:bCs/>
          <w:color w:val="000000" w:themeColor="text1"/>
          <w:kern w:val="0"/>
          <w:sz w:val="24"/>
          <w:szCs w:val="24"/>
        </w:rPr>
        <w:t>报告期末基金资产组合情况</w:t>
      </w:r>
    </w:p>
    <w:tbl>
      <w:tblPr>
        <w:tblStyle w:val="aff4"/>
        <w:tblW w:w="8897" w:type="dxa"/>
        <w:jc w:val="center"/>
        <w:tblLayout w:type="fixed"/>
        <w:tblLook w:val="04A0" w:firstRow="1" w:lastRow="0" w:firstColumn="1" w:lastColumn="0" w:noHBand="0" w:noVBand="1"/>
      </w:tblPr>
      <w:tblGrid>
        <w:gridCol w:w="720"/>
        <w:gridCol w:w="3357"/>
        <w:gridCol w:w="2977"/>
        <w:gridCol w:w="1843"/>
      </w:tblGrid>
      <w:tr w:rsidR="00D06738">
        <w:trPr>
          <w:jc w:val="center"/>
        </w:trPr>
        <w:tc>
          <w:tcPr>
            <w:tcW w:w="720" w:type="dxa"/>
            <w:vAlign w:val="center"/>
          </w:tcPr>
          <w:p w:rsidR="00D06738" w:rsidRDefault="00454D20">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序号</w:t>
            </w:r>
          </w:p>
        </w:tc>
        <w:tc>
          <w:tcPr>
            <w:tcW w:w="3357" w:type="dxa"/>
            <w:vAlign w:val="center"/>
          </w:tcPr>
          <w:p w:rsidR="00D06738" w:rsidRDefault="00454D20">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项目</w:t>
            </w:r>
          </w:p>
        </w:tc>
        <w:tc>
          <w:tcPr>
            <w:tcW w:w="2977" w:type="dxa"/>
            <w:vAlign w:val="center"/>
          </w:tcPr>
          <w:p w:rsidR="00D06738" w:rsidRDefault="00454D20">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金额(元)</w:t>
            </w:r>
          </w:p>
        </w:tc>
        <w:tc>
          <w:tcPr>
            <w:tcW w:w="1843" w:type="dxa"/>
            <w:vAlign w:val="center"/>
          </w:tcPr>
          <w:p w:rsidR="00D06738" w:rsidRDefault="00454D20">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占基金总资产的比例(</w:t>
            </w:r>
            <w:r>
              <w:rPr>
                <w:rFonts w:asciiTheme="minorEastAsia" w:eastAsiaTheme="minorEastAsia" w:hAnsiTheme="minorEastAsia"/>
                <w:color w:val="000000" w:themeColor="text1"/>
                <w:kern w:val="0"/>
              </w:rPr>
              <w:t>%</w:t>
            </w:r>
            <w:r>
              <w:rPr>
                <w:rFonts w:asciiTheme="minorEastAsia" w:eastAsiaTheme="minorEastAsia" w:hAnsiTheme="minorEastAsia" w:hint="eastAsia"/>
                <w:color w:val="000000" w:themeColor="text1"/>
                <w:kern w:val="0"/>
              </w:rPr>
              <w:t>)</w:t>
            </w:r>
          </w:p>
        </w:tc>
      </w:tr>
      <w:tr w:rsidR="00D06738">
        <w:trPr>
          <w:jc w:val="center"/>
        </w:trPr>
        <w:tc>
          <w:tcPr>
            <w:tcW w:w="720" w:type="dxa"/>
            <w:vAlign w:val="center"/>
          </w:tcPr>
          <w:p w:rsidR="00D06738" w:rsidRDefault="00454D20">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3357" w:type="dxa"/>
            <w:vAlign w:val="center"/>
          </w:tcPr>
          <w:p w:rsidR="00D06738" w:rsidRDefault="00454D20">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权益投资</w:t>
            </w:r>
          </w:p>
        </w:tc>
        <w:tc>
          <w:tcPr>
            <w:tcW w:w="2977"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625,213,070.34</w:t>
            </w:r>
          </w:p>
        </w:tc>
        <w:tc>
          <w:tcPr>
            <w:tcW w:w="1843"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88.29</w:t>
            </w:r>
          </w:p>
        </w:tc>
      </w:tr>
      <w:tr w:rsidR="00D06738">
        <w:trPr>
          <w:jc w:val="center"/>
        </w:trPr>
        <w:tc>
          <w:tcPr>
            <w:tcW w:w="720" w:type="dxa"/>
            <w:vAlign w:val="center"/>
          </w:tcPr>
          <w:p w:rsidR="00D06738" w:rsidRDefault="00D06738">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D06738" w:rsidRDefault="00454D20">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其中：股票</w:t>
            </w:r>
          </w:p>
        </w:tc>
        <w:tc>
          <w:tcPr>
            <w:tcW w:w="2977"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625,213,070.34</w:t>
            </w:r>
          </w:p>
        </w:tc>
        <w:tc>
          <w:tcPr>
            <w:tcW w:w="1843"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88.29</w:t>
            </w:r>
          </w:p>
        </w:tc>
      </w:tr>
      <w:tr w:rsidR="00D06738">
        <w:trPr>
          <w:jc w:val="center"/>
        </w:trPr>
        <w:tc>
          <w:tcPr>
            <w:tcW w:w="720" w:type="dxa"/>
            <w:vAlign w:val="center"/>
          </w:tcPr>
          <w:p w:rsidR="00D06738" w:rsidRDefault="00454D20">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w:t>
            </w:r>
          </w:p>
        </w:tc>
        <w:tc>
          <w:tcPr>
            <w:tcW w:w="3357" w:type="dxa"/>
            <w:vAlign w:val="center"/>
          </w:tcPr>
          <w:p w:rsidR="00D06738" w:rsidRDefault="00454D20">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固定收益投资</w:t>
            </w:r>
          </w:p>
        </w:tc>
        <w:tc>
          <w:tcPr>
            <w:tcW w:w="2977"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758,632.00</w:t>
            </w:r>
          </w:p>
        </w:tc>
        <w:tc>
          <w:tcPr>
            <w:tcW w:w="1843"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0.11</w:t>
            </w:r>
          </w:p>
        </w:tc>
      </w:tr>
      <w:tr w:rsidR="00D06738">
        <w:trPr>
          <w:jc w:val="center"/>
        </w:trPr>
        <w:tc>
          <w:tcPr>
            <w:tcW w:w="720" w:type="dxa"/>
            <w:vAlign w:val="center"/>
          </w:tcPr>
          <w:p w:rsidR="00D06738" w:rsidRDefault="00D06738">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D06738" w:rsidRDefault="00454D20">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其中：债券</w:t>
            </w:r>
          </w:p>
        </w:tc>
        <w:tc>
          <w:tcPr>
            <w:tcW w:w="2977"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758,632.00</w:t>
            </w:r>
          </w:p>
        </w:tc>
        <w:tc>
          <w:tcPr>
            <w:tcW w:w="1843"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0.11</w:t>
            </w:r>
          </w:p>
        </w:tc>
      </w:tr>
      <w:tr w:rsidR="00D06738">
        <w:trPr>
          <w:jc w:val="center"/>
        </w:trPr>
        <w:tc>
          <w:tcPr>
            <w:tcW w:w="720" w:type="dxa"/>
            <w:vAlign w:val="center"/>
          </w:tcPr>
          <w:p w:rsidR="00D06738" w:rsidRDefault="00D06738">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D06738" w:rsidRDefault="00454D20">
            <w:pPr>
              <w:autoSpaceDE w:val="0"/>
              <w:autoSpaceDN w:val="0"/>
              <w:adjustRightInd w:val="0"/>
              <w:spacing w:before="29" w:line="360" w:lineRule="auto"/>
              <w:ind w:left="17" w:firstLineChars="250" w:firstLine="525"/>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资产支持证券</w:t>
            </w:r>
          </w:p>
        </w:tc>
        <w:tc>
          <w:tcPr>
            <w:tcW w:w="2977"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D06738">
        <w:trPr>
          <w:jc w:val="center"/>
        </w:trPr>
        <w:tc>
          <w:tcPr>
            <w:tcW w:w="720" w:type="dxa"/>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w:t>
            </w:r>
          </w:p>
        </w:tc>
        <w:tc>
          <w:tcPr>
            <w:tcW w:w="3357" w:type="dxa"/>
          </w:tcPr>
          <w:p w:rsidR="00D06738" w:rsidRDefault="00454D20">
            <w:pPr>
              <w:spacing w:before="29" w:line="360" w:lineRule="auto"/>
              <w:ind w:leftChars="50" w:left="10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贵金属投资</w:t>
            </w:r>
          </w:p>
        </w:tc>
        <w:tc>
          <w:tcPr>
            <w:tcW w:w="2977"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D06738">
        <w:trPr>
          <w:jc w:val="center"/>
        </w:trPr>
        <w:tc>
          <w:tcPr>
            <w:tcW w:w="720"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w:t>
            </w:r>
          </w:p>
        </w:tc>
        <w:tc>
          <w:tcPr>
            <w:tcW w:w="3357" w:type="dxa"/>
            <w:vAlign w:val="center"/>
          </w:tcPr>
          <w:p w:rsidR="00D06738" w:rsidRDefault="00454D20">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金融衍生品投资</w:t>
            </w:r>
          </w:p>
        </w:tc>
        <w:tc>
          <w:tcPr>
            <w:tcW w:w="2977"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D06738">
        <w:trPr>
          <w:jc w:val="center"/>
        </w:trPr>
        <w:tc>
          <w:tcPr>
            <w:tcW w:w="720" w:type="dxa"/>
            <w:vAlign w:val="center"/>
          </w:tcPr>
          <w:p w:rsidR="00D06738" w:rsidRDefault="00454D20">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5</w:t>
            </w:r>
          </w:p>
        </w:tc>
        <w:tc>
          <w:tcPr>
            <w:tcW w:w="3357" w:type="dxa"/>
            <w:vAlign w:val="center"/>
          </w:tcPr>
          <w:p w:rsidR="00D06738" w:rsidRDefault="00454D20">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买入返售金融资产</w:t>
            </w:r>
          </w:p>
        </w:tc>
        <w:tc>
          <w:tcPr>
            <w:tcW w:w="2977"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D06738">
        <w:trPr>
          <w:jc w:val="center"/>
        </w:trPr>
        <w:tc>
          <w:tcPr>
            <w:tcW w:w="720" w:type="dxa"/>
            <w:vAlign w:val="center"/>
          </w:tcPr>
          <w:p w:rsidR="00D06738" w:rsidRDefault="00D06738">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D06738" w:rsidRDefault="00454D20">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其中：买断式回购的买入返售金融资产</w:t>
            </w:r>
          </w:p>
        </w:tc>
        <w:tc>
          <w:tcPr>
            <w:tcW w:w="2977"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D06738">
        <w:trPr>
          <w:jc w:val="center"/>
        </w:trPr>
        <w:tc>
          <w:tcPr>
            <w:tcW w:w="720" w:type="dxa"/>
            <w:vAlign w:val="center"/>
          </w:tcPr>
          <w:p w:rsidR="00D06738" w:rsidRDefault="00454D20">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6</w:t>
            </w:r>
          </w:p>
        </w:tc>
        <w:tc>
          <w:tcPr>
            <w:tcW w:w="3357" w:type="dxa"/>
            <w:vAlign w:val="center"/>
          </w:tcPr>
          <w:p w:rsidR="00D06738" w:rsidRDefault="00454D20">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银行存款和结算备付金合计</w:t>
            </w:r>
          </w:p>
        </w:tc>
        <w:tc>
          <w:tcPr>
            <w:tcW w:w="2977"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81,214,179.61</w:t>
            </w:r>
          </w:p>
        </w:tc>
        <w:tc>
          <w:tcPr>
            <w:tcW w:w="1843"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11.47</w:t>
            </w:r>
          </w:p>
        </w:tc>
      </w:tr>
      <w:tr w:rsidR="00D06738">
        <w:trPr>
          <w:jc w:val="center"/>
        </w:trPr>
        <w:tc>
          <w:tcPr>
            <w:tcW w:w="720" w:type="dxa"/>
            <w:vAlign w:val="center"/>
          </w:tcPr>
          <w:p w:rsidR="00D06738" w:rsidRDefault="00454D20">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7</w:t>
            </w:r>
          </w:p>
        </w:tc>
        <w:tc>
          <w:tcPr>
            <w:tcW w:w="3357" w:type="dxa"/>
            <w:vAlign w:val="center"/>
          </w:tcPr>
          <w:p w:rsidR="00D06738" w:rsidRDefault="00454D20">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其他各项资产</w:t>
            </w:r>
          </w:p>
        </w:tc>
        <w:tc>
          <w:tcPr>
            <w:tcW w:w="2977" w:type="dxa"/>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953,604.04</w:t>
            </w:r>
          </w:p>
        </w:tc>
        <w:tc>
          <w:tcPr>
            <w:tcW w:w="1843" w:type="dxa"/>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0.13</w:t>
            </w:r>
          </w:p>
        </w:tc>
      </w:tr>
      <w:tr w:rsidR="00D06738">
        <w:trPr>
          <w:jc w:val="center"/>
        </w:trPr>
        <w:tc>
          <w:tcPr>
            <w:tcW w:w="720" w:type="dxa"/>
            <w:vAlign w:val="center"/>
          </w:tcPr>
          <w:p w:rsidR="00D06738" w:rsidRDefault="00454D20">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8</w:t>
            </w:r>
          </w:p>
        </w:tc>
        <w:tc>
          <w:tcPr>
            <w:tcW w:w="3357" w:type="dxa"/>
            <w:vAlign w:val="center"/>
          </w:tcPr>
          <w:p w:rsidR="00D06738" w:rsidRDefault="00454D20">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2977" w:type="dxa"/>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708,139,485.99</w:t>
            </w:r>
          </w:p>
        </w:tc>
        <w:tc>
          <w:tcPr>
            <w:tcW w:w="1843" w:type="dxa"/>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100.00</w:t>
            </w:r>
          </w:p>
        </w:tc>
      </w:tr>
    </w:tbl>
    <w:p w:rsidR="00D06738" w:rsidRDefault="00D06738">
      <w:pPr>
        <w:autoSpaceDE w:val="0"/>
        <w:autoSpaceDN w:val="0"/>
        <w:adjustRightInd w:val="0"/>
        <w:spacing w:line="360" w:lineRule="auto"/>
        <w:jc w:val="left"/>
        <w:rPr>
          <w:rFonts w:asciiTheme="minorEastAsia" w:eastAsiaTheme="minorEastAsia" w:hAnsiTheme="minorEastAsia" w:cs="宋体"/>
          <w:color w:val="000000" w:themeColor="text1"/>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5.2 </w:t>
      </w:r>
      <w:r>
        <w:rPr>
          <w:rFonts w:asciiTheme="minorEastAsia" w:eastAsiaTheme="minorEastAsia" w:hAnsiTheme="minorEastAsia" w:hint="eastAsia"/>
          <w:b/>
          <w:bCs/>
          <w:color w:val="000000" w:themeColor="text1"/>
          <w:kern w:val="0"/>
          <w:sz w:val="24"/>
          <w:szCs w:val="24"/>
        </w:rPr>
        <w:t>报告期末按行业分类的股票投资组合</w:t>
      </w:r>
    </w:p>
    <w:p w:rsidR="00D06738" w:rsidRDefault="00454D20">
      <w:pPr>
        <w:rPr>
          <w:b/>
        </w:rPr>
      </w:pPr>
      <w:r>
        <w:rPr>
          <w:rFonts w:eastAsiaTheme="minorEastAsia" w:hint="eastAsia"/>
          <w:b/>
          <w:color w:val="000000" w:themeColor="text1"/>
          <w:kern w:val="0"/>
        </w:rPr>
        <w:lastRenderedPageBreak/>
        <w:t>5.2.1</w:t>
      </w:r>
      <w:r>
        <w:rPr>
          <w:rFonts w:eastAsiaTheme="minorEastAsia" w:hint="eastAsia"/>
          <w:b/>
          <w:color w:val="000000" w:themeColor="text1"/>
          <w:kern w:val="0"/>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D06738">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占基金资产净值比例（％）</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904,471.26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0.13</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p w:rsidR="00D06738" w:rsidRDefault="00D06738">
            <w:pPr>
              <w:jc w:val="right"/>
              <w:rPr>
                <w:rFonts w:asciiTheme="minorEastAsia" w:eastAsiaTheme="minorEastAsia" w:hAnsiTheme="minorEastAsia" w:cs="宋体"/>
                <w:color w:val="000000" w:themeColor="text1"/>
                <w:kern w:val="0"/>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p w:rsidR="00D06738" w:rsidRDefault="00D06738">
            <w:pPr>
              <w:jc w:val="right"/>
              <w:rPr>
                <w:rFonts w:asciiTheme="minorEastAsia" w:eastAsiaTheme="minorEastAsia" w:hAnsiTheme="minorEastAsia" w:cs="宋体"/>
                <w:color w:val="000000" w:themeColor="text1"/>
                <w:kern w:val="0"/>
              </w:rPr>
            </w:pP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544,042,077.73</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77.14</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24,036.12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0.00</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12,580.00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0.00</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6,773,839.14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0.96</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5,021,692.63</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0.71</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1,183,425.93</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0.17</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10,200.30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0.00</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3,458,704.00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0.49</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45,223,893.40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6.41</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96,517.98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0.01</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856,790.55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0.12</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16,959,128.10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2.40</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645,713.20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0.09</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D06738">
            <w:pPr>
              <w:adjustRightInd w:val="0"/>
              <w:snapToGrid w:val="0"/>
              <w:spacing w:line="400" w:lineRule="exact"/>
              <w:jc w:val="center"/>
              <w:rPr>
                <w:rFonts w:asciiTheme="minorEastAsia" w:eastAsiaTheme="minorEastAsia" w:hAnsiTheme="minorEastAsia" w:cs="宋体"/>
                <w:color w:val="000000" w:themeColor="text1"/>
                <w:kern w:val="0"/>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625,213,070.34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88.65</w:t>
            </w:r>
          </w:p>
        </w:tc>
      </w:tr>
    </w:tbl>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5.3 </w:t>
      </w:r>
      <w:r>
        <w:rPr>
          <w:rFonts w:asciiTheme="minorEastAsia" w:eastAsiaTheme="minorEastAsia" w:hAnsiTheme="minorEastAsia" w:hint="eastAsia"/>
          <w:b/>
          <w:bCs/>
          <w:color w:val="000000" w:themeColor="text1"/>
          <w:kern w:val="0"/>
          <w:sz w:val="24"/>
          <w:szCs w:val="24"/>
        </w:rPr>
        <w:t>报告期末按公允价值占基金资产净值比例大小排序的前十名股票投资明细</w:t>
      </w:r>
    </w:p>
    <w:tbl>
      <w:tblPr>
        <w:tblStyle w:val="aff4"/>
        <w:tblW w:w="8528" w:type="dxa"/>
        <w:tblLayout w:type="fixed"/>
        <w:tblLook w:val="04A0" w:firstRow="1" w:lastRow="0" w:firstColumn="1" w:lastColumn="0" w:noHBand="0" w:noVBand="1"/>
      </w:tblPr>
      <w:tblGrid>
        <w:gridCol w:w="817"/>
        <w:gridCol w:w="1276"/>
        <w:gridCol w:w="1701"/>
        <w:gridCol w:w="1276"/>
        <w:gridCol w:w="1842"/>
        <w:gridCol w:w="1616"/>
      </w:tblGrid>
      <w:tr w:rsidR="00D06738">
        <w:tc>
          <w:tcPr>
            <w:tcW w:w="817"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序号</w:t>
            </w:r>
          </w:p>
        </w:tc>
        <w:tc>
          <w:tcPr>
            <w:tcW w:w="1276"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股票代码</w:t>
            </w:r>
          </w:p>
        </w:tc>
        <w:tc>
          <w:tcPr>
            <w:tcW w:w="1701"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股票名称</w:t>
            </w:r>
          </w:p>
        </w:tc>
        <w:tc>
          <w:tcPr>
            <w:tcW w:w="1276"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数量(股)</w:t>
            </w:r>
          </w:p>
        </w:tc>
        <w:tc>
          <w:tcPr>
            <w:tcW w:w="1842"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公允价值</w:t>
            </w:r>
            <w:r>
              <w:rPr>
                <w:rFonts w:asciiTheme="minorEastAsia" w:eastAsiaTheme="minorEastAsia" w:hAnsiTheme="minorEastAsia" w:cs="宋体"/>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color w:val="000000" w:themeColor="text1"/>
                <w:kern w:val="0"/>
              </w:rPr>
              <w:t>)</w:t>
            </w:r>
          </w:p>
        </w:tc>
        <w:tc>
          <w:tcPr>
            <w:tcW w:w="1616"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占基金资产净值比例(％)</w:t>
            </w:r>
          </w:p>
        </w:tc>
      </w:tr>
      <w:tr w:rsidR="007A7494">
        <w:tc>
          <w:tcPr>
            <w:tcW w:w="817" w:type="dxa"/>
            <w:vAlign w:val="center"/>
          </w:tcPr>
          <w:p w:rsidR="007A7494" w:rsidRDefault="00FD23A9">
            <w:pPr>
              <w:jc w:val="center"/>
            </w:pPr>
            <w:r>
              <w:rPr>
                <w:rFonts w:asciiTheme="minorEastAsia" w:eastAsiaTheme="minorEastAsia" w:hAnsiTheme="minorEastAsia" w:cs="宋体"/>
                <w:color w:val="000000" w:themeColor="text1"/>
                <w:kern w:val="0"/>
              </w:rPr>
              <w:t>1</w:t>
            </w:r>
          </w:p>
        </w:tc>
        <w:tc>
          <w:tcPr>
            <w:tcW w:w="1276" w:type="dxa"/>
            <w:vAlign w:val="center"/>
          </w:tcPr>
          <w:p w:rsidR="007A7494" w:rsidRDefault="00FD23A9">
            <w:pPr>
              <w:jc w:val="center"/>
            </w:pPr>
            <w:r>
              <w:rPr>
                <w:rFonts w:asciiTheme="minorEastAsia" w:eastAsiaTheme="minorEastAsia" w:hAnsiTheme="minorEastAsia" w:cs="宋体"/>
                <w:color w:val="000000" w:themeColor="text1"/>
                <w:kern w:val="0"/>
              </w:rPr>
              <w:t>603501</w:t>
            </w:r>
          </w:p>
        </w:tc>
        <w:tc>
          <w:tcPr>
            <w:tcW w:w="1701" w:type="dxa"/>
            <w:vAlign w:val="center"/>
          </w:tcPr>
          <w:p w:rsidR="007A7494" w:rsidRDefault="00FD23A9">
            <w:pPr>
              <w:jc w:val="center"/>
            </w:pPr>
            <w:r>
              <w:rPr>
                <w:rFonts w:asciiTheme="minorEastAsia" w:eastAsiaTheme="minorEastAsia" w:hAnsiTheme="minorEastAsia" w:cs="宋体"/>
                <w:color w:val="000000" w:themeColor="text1"/>
                <w:kern w:val="0"/>
              </w:rPr>
              <w:t>韦尔股份</w:t>
            </w:r>
          </w:p>
        </w:tc>
        <w:tc>
          <w:tcPr>
            <w:tcW w:w="1276" w:type="dxa"/>
            <w:vAlign w:val="center"/>
          </w:tcPr>
          <w:p w:rsidR="007A7494" w:rsidRDefault="00FD23A9">
            <w:pPr>
              <w:jc w:val="right"/>
            </w:pPr>
            <w:r>
              <w:rPr>
                <w:rFonts w:asciiTheme="minorEastAsia" w:eastAsiaTheme="minorEastAsia" w:hAnsiTheme="minorEastAsia" w:cs="宋体"/>
                <w:color w:val="000000" w:themeColor="text1"/>
                <w:kern w:val="0"/>
              </w:rPr>
              <w:t>189,198</w:t>
            </w:r>
          </w:p>
        </w:tc>
        <w:tc>
          <w:tcPr>
            <w:tcW w:w="1842" w:type="dxa"/>
            <w:vAlign w:val="center"/>
          </w:tcPr>
          <w:p w:rsidR="007A7494" w:rsidRDefault="00FD23A9">
            <w:pPr>
              <w:jc w:val="right"/>
            </w:pPr>
            <w:r>
              <w:rPr>
                <w:rFonts w:asciiTheme="minorEastAsia" w:eastAsiaTheme="minorEastAsia" w:hAnsiTheme="minorEastAsia" w:cs="宋体"/>
                <w:color w:val="000000" w:themeColor="text1"/>
                <w:kern w:val="0"/>
              </w:rPr>
              <w:t>48,570,910.56</w:t>
            </w:r>
          </w:p>
        </w:tc>
        <w:tc>
          <w:tcPr>
            <w:tcW w:w="1616" w:type="dxa"/>
            <w:vAlign w:val="center"/>
          </w:tcPr>
          <w:p w:rsidR="007A7494" w:rsidRDefault="00FD23A9">
            <w:pPr>
              <w:jc w:val="right"/>
            </w:pPr>
            <w:r>
              <w:rPr>
                <w:rFonts w:asciiTheme="minorEastAsia" w:eastAsiaTheme="minorEastAsia" w:hAnsiTheme="minorEastAsia" w:cs="宋体"/>
                <w:color w:val="000000" w:themeColor="text1"/>
                <w:kern w:val="0"/>
              </w:rPr>
              <w:t>6.89</w:t>
            </w:r>
          </w:p>
        </w:tc>
      </w:tr>
      <w:tr w:rsidR="007A7494">
        <w:tc>
          <w:tcPr>
            <w:tcW w:w="817" w:type="dxa"/>
            <w:vAlign w:val="center"/>
          </w:tcPr>
          <w:p w:rsidR="007A7494" w:rsidRDefault="00FD23A9">
            <w:pPr>
              <w:jc w:val="center"/>
            </w:pPr>
            <w:r>
              <w:rPr>
                <w:rFonts w:asciiTheme="minorEastAsia" w:eastAsiaTheme="minorEastAsia" w:hAnsiTheme="minorEastAsia" w:cs="宋体"/>
                <w:color w:val="000000" w:themeColor="text1"/>
                <w:kern w:val="0"/>
              </w:rPr>
              <w:t>2</w:t>
            </w:r>
          </w:p>
        </w:tc>
        <w:tc>
          <w:tcPr>
            <w:tcW w:w="1276" w:type="dxa"/>
            <w:vAlign w:val="center"/>
          </w:tcPr>
          <w:p w:rsidR="007A7494" w:rsidRDefault="00FD23A9">
            <w:pPr>
              <w:jc w:val="center"/>
            </w:pPr>
            <w:r>
              <w:rPr>
                <w:rFonts w:asciiTheme="minorEastAsia" w:eastAsiaTheme="minorEastAsia" w:hAnsiTheme="minorEastAsia" w:cs="宋体"/>
                <w:color w:val="000000" w:themeColor="text1"/>
                <w:kern w:val="0"/>
              </w:rPr>
              <w:t>603259</w:t>
            </w:r>
          </w:p>
        </w:tc>
        <w:tc>
          <w:tcPr>
            <w:tcW w:w="1701" w:type="dxa"/>
            <w:vAlign w:val="center"/>
          </w:tcPr>
          <w:p w:rsidR="007A7494" w:rsidRDefault="00FD23A9">
            <w:pPr>
              <w:jc w:val="center"/>
            </w:pPr>
            <w:r>
              <w:rPr>
                <w:rFonts w:asciiTheme="minorEastAsia" w:eastAsiaTheme="minorEastAsia" w:hAnsiTheme="minorEastAsia" w:cs="宋体"/>
                <w:color w:val="000000" w:themeColor="text1"/>
                <w:kern w:val="0"/>
              </w:rPr>
              <w:t>药明康德</w:t>
            </w:r>
          </w:p>
        </w:tc>
        <w:tc>
          <w:tcPr>
            <w:tcW w:w="1276" w:type="dxa"/>
            <w:vAlign w:val="center"/>
          </w:tcPr>
          <w:p w:rsidR="007A7494" w:rsidRDefault="00FD23A9">
            <w:pPr>
              <w:jc w:val="right"/>
            </w:pPr>
            <w:r>
              <w:rPr>
                <w:rFonts w:asciiTheme="minorEastAsia" w:eastAsiaTheme="minorEastAsia" w:hAnsiTheme="minorEastAsia" w:cs="宋体"/>
                <w:color w:val="000000" w:themeColor="text1"/>
                <w:kern w:val="0"/>
              </w:rPr>
              <w:t>322,567</w:t>
            </w:r>
          </w:p>
        </w:tc>
        <w:tc>
          <w:tcPr>
            <w:tcW w:w="1842" w:type="dxa"/>
            <w:vAlign w:val="center"/>
          </w:tcPr>
          <w:p w:rsidR="007A7494" w:rsidRDefault="00FD23A9">
            <w:pPr>
              <w:jc w:val="right"/>
            </w:pPr>
            <w:r>
              <w:rPr>
                <w:rFonts w:asciiTheme="minorEastAsia" w:eastAsiaTheme="minorEastAsia" w:hAnsiTheme="minorEastAsia" w:cs="宋体"/>
                <w:color w:val="000000" w:themeColor="text1"/>
                <w:kern w:val="0"/>
              </w:rPr>
              <w:t>45,223,893.40</w:t>
            </w:r>
          </w:p>
        </w:tc>
        <w:tc>
          <w:tcPr>
            <w:tcW w:w="1616" w:type="dxa"/>
            <w:vAlign w:val="center"/>
          </w:tcPr>
          <w:p w:rsidR="007A7494" w:rsidRDefault="00FD23A9">
            <w:pPr>
              <w:jc w:val="right"/>
            </w:pPr>
            <w:r>
              <w:rPr>
                <w:rFonts w:asciiTheme="minorEastAsia" w:eastAsiaTheme="minorEastAsia" w:hAnsiTheme="minorEastAsia" w:cs="宋体"/>
                <w:color w:val="000000" w:themeColor="text1"/>
                <w:kern w:val="0"/>
              </w:rPr>
              <w:t>6.41</w:t>
            </w:r>
          </w:p>
        </w:tc>
      </w:tr>
      <w:tr w:rsidR="007A7494">
        <w:tc>
          <w:tcPr>
            <w:tcW w:w="817" w:type="dxa"/>
            <w:vAlign w:val="center"/>
          </w:tcPr>
          <w:p w:rsidR="007A7494" w:rsidRDefault="00FD23A9">
            <w:pPr>
              <w:jc w:val="center"/>
            </w:pPr>
            <w:r>
              <w:rPr>
                <w:rFonts w:asciiTheme="minorEastAsia" w:eastAsiaTheme="minorEastAsia" w:hAnsiTheme="minorEastAsia" w:cs="宋体"/>
                <w:color w:val="000000" w:themeColor="text1"/>
                <w:kern w:val="0"/>
              </w:rPr>
              <w:t>3</w:t>
            </w:r>
          </w:p>
        </w:tc>
        <w:tc>
          <w:tcPr>
            <w:tcW w:w="1276" w:type="dxa"/>
            <w:vAlign w:val="center"/>
          </w:tcPr>
          <w:p w:rsidR="007A7494" w:rsidRDefault="00FD23A9">
            <w:pPr>
              <w:jc w:val="center"/>
            </w:pPr>
            <w:r>
              <w:rPr>
                <w:rFonts w:asciiTheme="minorEastAsia" w:eastAsiaTheme="minorEastAsia" w:hAnsiTheme="minorEastAsia" w:cs="宋体"/>
                <w:color w:val="000000" w:themeColor="text1"/>
                <w:kern w:val="0"/>
              </w:rPr>
              <w:t>688169</w:t>
            </w:r>
          </w:p>
        </w:tc>
        <w:tc>
          <w:tcPr>
            <w:tcW w:w="1701" w:type="dxa"/>
            <w:vAlign w:val="center"/>
          </w:tcPr>
          <w:p w:rsidR="007A7494" w:rsidRDefault="00FD23A9">
            <w:pPr>
              <w:jc w:val="center"/>
            </w:pPr>
            <w:r>
              <w:rPr>
                <w:rFonts w:asciiTheme="minorEastAsia" w:eastAsiaTheme="minorEastAsia" w:hAnsiTheme="minorEastAsia" w:cs="宋体"/>
                <w:color w:val="000000" w:themeColor="text1"/>
                <w:kern w:val="0"/>
              </w:rPr>
              <w:t>石头科技</w:t>
            </w:r>
          </w:p>
        </w:tc>
        <w:tc>
          <w:tcPr>
            <w:tcW w:w="1276" w:type="dxa"/>
            <w:vAlign w:val="center"/>
          </w:tcPr>
          <w:p w:rsidR="007A7494" w:rsidRDefault="00FD23A9">
            <w:pPr>
              <w:jc w:val="right"/>
            </w:pPr>
            <w:r>
              <w:rPr>
                <w:rFonts w:asciiTheme="minorEastAsia" w:eastAsiaTheme="minorEastAsia" w:hAnsiTheme="minorEastAsia" w:cs="宋体"/>
                <w:color w:val="000000" w:themeColor="text1"/>
                <w:kern w:val="0"/>
              </w:rPr>
              <w:t>34,767</w:t>
            </w:r>
          </w:p>
        </w:tc>
        <w:tc>
          <w:tcPr>
            <w:tcW w:w="1842" w:type="dxa"/>
            <w:vAlign w:val="center"/>
          </w:tcPr>
          <w:p w:rsidR="007A7494" w:rsidRDefault="00FD23A9">
            <w:pPr>
              <w:jc w:val="right"/>
            </w:pPr>
            <w:r>
              <w:rPr>
                <w:rFonts w:asciiTheme="minorEastAsia" w:eastAsiaTheme="minorEastAsia" w:hAnsiTheme="minorEastAsia" w:cs="宋体"/>
                <w:color w:val="000000" w:themeColor="text1"/>
                <w:kern w:val="0"/>
              </w:rPr>
              <w:t>40,573,089.00</w:t>
            </w:r>
          </w:p>
        </w:tc>
        <w:tc>
          <w:tcPr>
            <w:tcW w:w="1616" w:type="dxa"/>
            <w:vAlign w:val="center"/>
          </w:tcPr>
          <w:p w:rsidR="007A7494" w:rsidRDefault="00FD23A9">
            <w:pPr>
              <w:jc w:val="right"/>
            </w:pPr>
            <w:r>
              <w:rPr>
                <w:rFonts w:asciiTheme="minorEastAsia" w:eastAsiaTheme="minorEastAsia" w:hAnsiTheme="minorEastAsia" w:cs="宋体"/>
                <w:color w:val="000000" w:themeColor="text1"/>
                <w:kern w:val="0"/>
              </w:rPr>
              <w:t>5.75</w:t>
            </w:r>
          </w:p>
        </w:tc>
      </w:tr>
      <w:tr w:rsidR="007A7494">
        <w:tc>
          <w:tcPr>
            <w:tcW w:w="817" w:type="dxa"/>
            <w:vAlign w:val="center"/>
          </w:tcPr>
          <w:p w:rsidR="007A7494" w:rsidRDefault="00FD23A9">
            <w:pPr>
              <w:jc w:val="center"/>
            </w:pPr>
            <w:r>
              <w:rPr>
                <w:rFonts w:asciiTheme="minorEastAsia" w:eastAsiaTheme="minorEastAsia" w:hAnsiTheme="minorEastAsia" w:cs="宋体"/>
                <w:color w:val="000000" w:themeColor="text1"/>
                <w:kern w:val="0"/>
              </w:rPr>
              <w:t>4</w:t>
            </w:r>
          </w:p>
        </w:tc>
        <w:tc>
          <w:tcPr>
            <w:tcW w:w="1276" w:type="dxa"/>
            <w:vAlign w:val="center"/>
          </w:tcPr>
          <w:p w:rsidR="007A7494" w:rsidRDefault="00FD23A9">
            <w:pPr>
              <w:jc w:val="center"/>
            </w:pPr>
            <w:r>
              <w:rPr>
                <w:rFonts w:asciiTheme="minorEastAsia" w:eastAsiaTheme="minorEastAsia" w:hAnsiTheme="minorEastAsia" w:cs="宋体"/>
                <w:color w:val="000000" w:themeColor="text1"/>
                <w:kern w:val="0"/>
              </w:rPr>
              <w:t>603486</w:t>
            </w:r>
          </w:p>
        </w:tc>
        <w:tc>
          <w:tcPr>
            <w:tcW w:w="1701" w:type="dxa"/>
            <w:vAlign w:val="center"/>
          </w:tcPr>
          <w:p w:rsidR="007A7494" w:rsidRDefault="00FD23A9">
            <w:pPr>
              <w:jc w:val="center"/>
            </w:pPr>
            <w:r>
              <w:rPr>
                <w:rFonts w:asciiTheme="minorEastAsia" w:eastAsiaTheme="minorEastAsia" w:hAnsiTheme="minorEastAsia" w:cs="宋体"/>
                <w:color w:val="000000" w:themeColor="text1"/>
                <w:kern w:val="0"/>
              </w:rPr>
              <w:t>科沃斯</w:t>
            </w:r>
          </w:p>
        </w:tc>
        <w:tc>
          <w:tcPr>
            <w:tcW w:w="1276" w:type="dxa"/>
            <w:vAlign w:val="center"/>
          </w:tcPr>
          <w:p w:rsidR="007A7494" w:rsidRDefault="00FD23A9">
            <w:pPr>
              <w:jc w:val="right"/>
            </w:pPr>
            <w:r>
              <w:rPr>
                <w:rFonts w:asciiTheme="minorEastAsia" w:eastAsiaTheme="minorEastAsia" w:hAnsiTheme="minorEastAsia" w:cs="宋体"/>
                <w:color w:val="000000" w:themeColor="text1"/>
                <w:kern w:val="0"/>
              </w:rPr>
              <w:t>284,933</w:t>
            </w:r>
          </w:p>
        </w:tc>
        <w:tc>
          <w:tcPr>
            <w:tcW w:w="1842" w:type="dxa"/>
            <w:vAlign w:val="center"/>
          </w:tcPr>
          <w:p w:rsidR="007A7494" w:rsidRDefault="00FD23A9">
            <w:pPr>
              <w:jc w:val="right"/>
            </w:pPr>
            <w:r>
              <w:rPr>
                <w:rFonts w:asciiTheme="minorEastAsia" w:eastAsiaTheme="minorEastAsia" w:hAnsiTheme="minorEastAsia" w:cs="宋体"/>
                <w:color w:val="000000" w:themeColor="text1"/>
                <w:kern w:val="0"/>
              </w:rPr>
              <w:t>38,893,354.50</w:t>
            </w:r>
          </w:p>
        </w:tc>
        <w:tc>
          <w:tcPr>
            <w:tcW w:w="1616" w:type="dxa"/>
            <w:vAlign w:val="center"/>
          </w:tcPr>
          <w:p w:rsidR="007A7494" w:rsidRDefault="00FD23A9">
            <w:pPr>
              <w:jc w:val="right"/>
            </w:pPr>
            <w:r>
              <w:rPr>
                <w:rFonts w:asciiTheme="minorEastAsia" w:eastAsiaTheme="minorEastAsia" w:hAnsiTheme="minorEastAsia" w:cs="宋体"/>
                <w:color w:val="000000" w:themeColor="text1"/>
                <w:kern w:val="0"/>
              </w:rPr>
              <w:t>5.52</w:t>
            </w:r>
          </w:p>
        </w:tc>
      </w:tr>
      <w:tr w:rsidR="007A7494">
        <w:tc>
          <w:tcPr>
            <w:tcW w:w="817" w:type="dxa"/>
            <w:vAlign w:val="center"/>
          </w:tcPr>
          <w:p w:rsidR="007A7494" w:rsidRDefault="00FD23A9">
            <w:pPr>
              <w:jc w:val="center"/>
            </w:pPr>
            <w:r>
              <w:rPr>
                <w:rFonts w:asciiTheme="minorEastAsia" w:eastAsiaTheme="minorEastAsia" w:hAnsiTheme="minorEastAsia" w:cs="宋体"/>
                <w:color w:val="000000" w:themeColor="text1"/>
                <w:kern w:val="0"/>
              </w:rPr>
              <w:t>5</w:t>
            </w:r>
          </w:p>
        </w:tc>
        <w:tc>
          <w:tcPr>
            <w:tcW w:w="1276" w:type="dxa"/>
            <w:vAlign w:val="center"/>
          </w:tcPr>
          <w:p w:rsidR="007A7494" w:rsidRDefault="00FD23A9">
            <w:pPr>
              <w:jc w:val="center"/>
            </w:pPr>
            <w:r>
              <w:rPr>
                <w:rFonts w:asciiTheme="minorEastAsia" w:eastAsiaTheme="minorEastAsia" w:hAnsiTheme="minorEastAsia" w:cs="宋体"/>
                <w:color w:val="000000" w:themeColor="text1"/>
                <w:kern w:val="0"/>
              </w:rPr>
              <w:t>000568</w:t>
            </w:r>
          </w:p>
        </w:tc>
        <w:tc>
          <w:tcPr>
            <w:tcW w:w="1701" w:type="dxa"/>
            <w:vAlign w:val="center"/>
          </w:tcPr>
          <w:p w:rsidR="007A7494" w:rsidRDefault="00FD23A9">
            <w:pPr>
              <w:jc w:val="center"/>
            </w:pPr>
            <w:r>
              <w:rPr>
                <w:rFonts w:asciiTheme="minorEastAsia" w:eastAsiaTheme="minorEastAsia" w:hAnsiTheme="minorEastAsia" w:cs="宋体"/>
                <w:color w:val="000000" w:themeColor="text1"/>
                <w:kern w:val="0"/>
              </w:rPr>
              <w:t>泸州老窖</w:t>
            </w:r>
          </w:p>
        </w:tc>
        <w:tc>
          <w:tcPr>
            <w:tcW w:w="1276" w:type="dxa"/>
            <w:vAlign w:val="center"/>
          </w:tcPr>
          <w:p w:rsidR="007A7494" w:rsidRDefault="00FD23A9">
            <w:pPr>
              <w:jc w:val="right"/>
            </w:pPr>
            <w:r>
              <w:rPr>
                <w:rFonts w:asciiTheme="minorEastAsia" w:eastAsiaTheme="minorEastAsia" w:hAnsiTheme="minorEastAsia" w:cs="宋体"/>
                <w:color w:val="000000" w:themeColor="text1"/>
                <w:kern w:val="0"/>
              </w:rPr>
              <w:t>142,988</w:t>
            </w:r>
          </w:p>
        </w:tc>
        <w:tc>
          <w:tcPr>
            <w:tcW w:w="1842" w:type="dxa"/>
            <w:vAlign w:val="center"/>
          </w:tcPr>
          <w:p w:rsidR="007A7494" w:rsidRDefault="00FD23A9">
            <w:pPr>
              <w:jc w:val="right"/>
            </w:pPr>
            <w:r>
              <w:rPr>
                <w:rFonts w:asciiTheme="minorEastAsia" w:eastAsiaTheme="minorEastAsia" w:hAnsiTheme="minorEastAsia" w:cs="宋体"/>
                <w:color w:val="000000" w:themeColor="text1"/>
                <w:kern w:val="0"/>
              </w:rPr>
              <w:t>32,175,159.76</w:t>
            </w:r>
          </w:p>
        </w:tc>
        <w:tc>
          <w:tcPr>
            <w:tcW w:w="1616" w:type="dxa"/>
            <w:vAlign w:val="center"/>
          </w:tcPr>
          <w:p w:rsidR="007A7494" w:rsidRDefault="00FD23A9">
            <w:pPr>
              <w:jc w:val="right"/>
            </w:pPr>
            <w:r>
              <w:rPr>
                <w:rFonts w:asciiTheme="minorEastAsia" w:eastAsiaTheme="minorEastAsia" w:hAnsiTheme="minorEastAsia" w:cs="宋体"/>
                <w:color w:val="000000" w:themeColor="text1"/>
                <w:kern w:val="0"/>
              </w:rPr>
              <w:t>4.56</w:t>
            </w:r>
          </w:p>
        </w:tc>
      </w:tr>
      <w:tr w:rsidR="007A7494">
        <w:tc>
          <w:tcPr>
            <w:tcW w:w="817" w:type="dxa"/>
            <w:vAlign w:val="center"/>
          </w:tcPr>
          <w:p w:rsidR="007A7494" w:rsidRDefault="00FD23A9">
            <w:pPr>
              <w:jc w:val="center"/>
            </w:pPr>
            <w:r>
              <w:rPr>
                <w:rFonts w:asciiTheme="minorEastAsia" w:eastAsiaTheme="minorEastAsia" w:hAnsiTheme="minorEastAsia" w:cs="宋体"/>
                <w:color w:val="000000" w:themeColor="text1"/>
                <w:kern w:val="0"/>
              </w:rPr>
              <w:t>6</w:t>
            </w:r>
          </w:p>
        </w:tc>
        <w:tc>
          <w:tcPr>
            <w:tcW w:w="1276" w:type="dxa"/>
            <w:vAlign w:val="center"/>
          </w:tcPr>
          <w:p w:rsidR="007A7494" w:rsidRDefault="00FD23A9">
            <w:pPr>
              <w:jc w:val="center"/>
            </w:pPr>
            <w:r>
              <w:rPr>
                <w:rFonts w:asciiTheme="minorEastAsia" w:eastAsiaTheme="minorEastAsia" w:hAnsiTheme="minorEastAsia" w:cs="宋体"/>
                <w:color w:val="000000" w:themeColor="text1"/>
                <w:kern w:val="0"/>
              </w:rPr>
              <w:t>000661</w:t>
            </w:r>
          </w:p>
        </w:tc>
        <w:tc>
          <w:tcPr>
            <w:tcW w:w="1701" w:type="dxa"/>
            <w:vAlign w:val="center"/>
          </w:tcPr>
          <w:p w:rsidR="007A7494" w:rsidRDefault="00FD23A9">
            <w:pPr>
              <w:jc w:val="center"/>
            </w:pPr>
            <w:r>
              <w:rPr>
                <w:rFonts w:asciiTheme="minorEastAsia" w:eastAsiaTheme="minorEastAsia" w:hAnsiTheme="minorEastAsia" w:cs="宋体"/>
                <w:color w:val="000000" w:themeColor="text1"/>
                <w:kern w:val="0"/>
              </w:rPr>
              <w:t>长春高新</w:t>
            </w:r>
          </w:p>
        </w:tc>
        <w:tc>
          <w:tcPr>
            <w:tcW w:w="1276" w:type="dxa"/>
            <w:vAlign w:val="center"/>
          </w:tcPr>
          <w:p w:rsidR="007A7494" w:rsidRDefault="00FD23A9">
            <w:pPr>
              <w:jc w:val="right"/>
            </w:pPr>
            <w:r>
              <w:rPr>
                <w:rFonts w:asciiTheme="minorEastAsia" w:eastAsiaTheme="minorEastAsia" w:hAnsiTheme="minorEastAsia" w:cs="宋体"/>
                <w:color w:val="000000" w:themeColor="text1"/>
                <w:kern w:val="0"/>
              </w:rPr>
              <w:t>59,350</w:t>
            </w:r>
          </w:p>
        </w:tc>
        <w:tc>
          <w:tcPr>
            <w:tcW w:w="1842" w:type="dxa"/>
            <w:vAlign w:val="center"/>
          </w:tcPr>
          <w:p w:rsidR="007A7494" w:rsidRDefault="00FD23A9">
            <w:pPr>
              <w:jc w:val="right"/>
            </w:pPr>
            <w:r>
              <w:rPr>
                <w:rFonts w:asciiTheme="minorEastAsia" w:eastAsiaTheme="minorEastAsia" w:hAnsiTheme="minorEastAsia" w:cs="宋体"/>
                <w:color w:val="000000" w:themeColor="text1"/>
                <w:kern w:val="0"/>
              </w:rPr>
              <w:t>26,869,525.50</w:t>
            </w:r>
          </w:p>
        </w:tc>
        <w:tc>
          <w:tcPr>
            <w:tcW w:w="1616" w:type="dxa"/>
            <w:vAlign w:val="center"/>
          </w:tcPr>
          <w:p w:rsidR="007A7494" w:rsidRDefault="00FD23A9">
            <w:pPr>
              <w:jc w:val="right"/>
            </w:pPr>
            <w:r>
              <w:rPr>
                <w:rFonts w:asciiTheme="minorEastAsia" w:eastAsiaTheme="minorEastAsia" w:hAnsiTheme="minorEastAsia" w:cs="宋体"/>
                <w:color w:val="000000" w:themeColor="text1"/>
                <w:kern w:val="0"/>
              </w:rPr>
              <w:t>3.81</w:t>
            </w:r>
          </w:p>
        </w:tc>
      </w:tr>
      <w:tr w:rsidR="007A7494">
        <w:tc>
          <w:tcPr>
            <w:tcW w:w="817" w:type="dxa"/>
            <w:vAlign w:val="center"/>
          </w:tcPr>
          <w:p w:rsidR="007A7494" w:rsidRDefault="00FD23A9">
            <w:pPr>
              <w:jc w:val="center"/>
            </w:pPr>
            <w:r>
              <w:rPr>
                <w:rFonts w:asciiTheme="minorEastAsia" w:eastAsiaTheme="minorEastAsia" w:hAnsiTheme="minorEastAsia" w:cs="宋体"/>
                <w:color w:val="000000" w:themeColor="text1"/>
                <w:kern w:val="0"/>
              </w:rPr>
              <w:lastRenderedPageBreak/>
              <w:t>7</w:t>
            </w:r>
          </w:p>
        </w:tc>
        <w:tc>
          <w:tcPr>
            <w:tcW w:w="1276" w:type="dxa"/>
            <w:vAlign w:val="center"/>
          </w:tcPr>
          <w:p w:rsidR="007A7494" w:rsidRDefault="00FD23A9">
            <w:pPr>
              <w:jc w:val="center"/>
            </w:pPr>
            <w:r>
              <w:rPr>
                <w:rFonts w:asciiTheme="minorEastAsia" w:eastAsiaTheme="minorEastAsia" w:hAnsiTheme="minorEastAsia" w:cs="宋体"/>
                <w:color w:val="000000" w:themeColor="text1"/>
                <w:kern w:val="0"/>
              </w:rPr>
              <w:t>300014</w:t>
            </w:r>
          </w:p>
        </w:tc>
        <w:tc>
          <w:tcPr>
            <w:tcW w:w="1701" w:type="dxa"/>
            <w:vAlign w:val="center"/>
          </w:tcPr>
          <w:p w:rsidR="007A7494" w:rsidRDefault="00FD23A9">
            <w:pPr>
              <w:jc w:val="center"/>
            </w:pPr>
            <w:r>
              <w:rPr>
                <w:rFonts w:asciiTheme="minorEastAsia" w:eastAsiaTheme="minorEastAsia" w:hAnsiTheme="minorEastAsia" w:cs="宋体"/>
                <w:color w:val="000000" w:themeColor="text1"/>
                <w:kern w:val="0"/>
              </w:rPr>
              <w:t>亿纬锂能</w:t>
            </w:r>
          </w:p>
        </w:tc>
        <w:tc>
          <w:tcPr>
            <w:tcW w:w="1276" w:type="dxa"/>
            <w:vAlign w:val="center"/>
          </w:tcPr>
          <w:p w:rsidR="007A7494" w:rsidRDefault="00FD23A9">
            <w:pPr>
              <w:jc w:val="right"/>
            </w:pPr>
            <w:r>
              <w:rPr>
                <w:rFonts w:asciiTheme="minorEastAsia" w:eastAsiaTheme="minorEastAsia" w:hAnsiTheme="minorEastAsia" w:cs="宋体"/>
                <w:color w:val="000000" w:themeColor="text1"/>
                <w:kern w:val="0"/>
              </w:rPr>
              <w:t>320,279</w:t>
            </w:r>
          </w:p>
        </w:tc>
        <w:tc>
          <w:tcPr>
            <w:tcW w:w="1842" w:type="dxa"/>
            <w:vAlign w:val="center"/>
          </w:tcPr>
          <w:p w:rsidR="007A7494" w:rsidRDefault="00FD23A9">
            <w:pPr>
              <w:jc w:val="right"/>
            </w:pPr>
            <w:r>
              <w:rPr>
                <w:rFonts w:asciiTheme="minorEastAsia" w:eastAsiaTheme="minorEastAsia" w:hAnsiTheme="minorEastAsia" w:cs="宋体"/>
                <w:color w:val="000000" w:themeColor="text1"/>
                <w:kern w:val="0"/>
              </w:rPr>
              <w:t>24,068,966.85</w:t>
            </w:r>
          </w:p>
        </w:tc>
        <w:tc>
          <w:tcPr>
            <w:tcW w:w="1616" w:type="dxa"/>
            <w:vAlign w:val="center"/>
          </w:tcPr>
          <w:p w:rsidR="007A7494" w:rsidRDefault="00FD23A9">
            <w:pPr>
              <w:jc w:val="right"/>
            </w:pPr>
            <w:r>
              <w:rPr>
                <w:rFonts w:asciiTheme="minorEastAsia" w:eastAsiaTheme="minorEastAsia" w:hAnsiTheme="minorEastAsia" w:cs="宋体"/>
                <w:color w:val="000000" w:themeColor="text1"/>
                <w:kern w:val="0"/>
              </w:rPr>
              <w:t>3.41</w:t>
            </w:r>
          </w:p>
        </w:tc>
      </w:tr>
      <w:tr w:rsidR="007A7494">
        <w:tc>
          <w:tcPr>
            <w:tcW w:w="817" w:type="dxa"/>
            <w:vAlign w:val="center"/>
          </w:tcPr>
          <w:p w:rsidR="007A7494" w:rsidRDefault="00FD23A9">
            <w:pPr>
              <w:jc w:val="center"/>
            </w:pPr>
            <w:r>
              <w:rPr>
                <w:rFonts w:asciiTheme="minorEastAsia" w:eastAsiaTheme="minorEastAsia" w:hAnsiTheme="minorEastAsia" w:cs="宋体"/>
                <w:color w:val="000000" w:themeColor="text1"/>
                <w:kern w:val="0"/>
              </w:rPr>
              <w:t>8</w:t>
            </w:r>
          </w:p>
        </w:tc>
        <w:tc>
          <w:tcPr>
            <w:tcW w:w="1276" w:type="dxa"/>
            <w:vAlign w:val="center"/>
          </w:tcPr>
          <w:p w:rsidR="007A7494" w:rsidRDefault="00FD23A9">
            <w:pPr>
              <w:jc w:val="center"/>
            </w:pPr>
            <w:r>
              <w:rPr>
                <w:rFonts w:asciiTheme="minorEastAsia" w:eastAsiaTheme="minorEastAsia" w:hAnsiTheme="minorEastAsia" w:cs="宋体"/>
                <w:color w:val="000000" w:themeColor="text1"/>
                <w:kern w:val="0"/>
              </w:rPr>
              <w:t>000858</w:t>
            </w:r>
          </w:p>
        </w:tc>
        <w:tc>
          <w:tcPr>
            <w:tcW w:w="1701" w:type="dxa"/>
            <w:vAlign w:val="center"/>
          </w:tcPr>
          <w:p w:rsidR="007A7494" w:rsidRDefault="00FD23A9">
            <w:pPr>
              <w:jc w:val="center"/>
            </w:pPr>
            <w:r>
              <w:rPr>
                <w:rFonts w:asciiTheme="minorEastAsia" w:eastAsiaTheme="minorEastAsia" w:hAnsiTheme="minorEastAsia" w:cs="宋体"/>
                <w:color w:val="000000" w:themeColor="text1"/>
                <w:kern w:val="0"/>
              </w:rPr>
              <w:t>五 粮 液</w:t>
            </w:r>
          </w:p>
        </w:tc>
        <w:tc>
          <w:tcPr>
            <w:tcW w:w="1276" w:type="dxa"/>
            <w:vAlign w:val="center"/>
          </w:tcPr>
          <w:p w:rsidR="007A7494" w:rsidRDefault="00FD23A9">
            <w:pPr>
              <w:jc w:val="right"/>
            </w:pPr>
            <w:r>
              <w:rPr>
                <w:rFonts w:asciiTheme="minorEastAsia" w:eastAsiaTheme="minorEastAsia" w:hAnsiTheme="minorEastAsia" w:cs="宋体"/>
                <w:color w:val="000000" w:themeColor="text1"/>
                <w:kern w:val="0"/>
              </w:rPr>
              <w:t>85,728</w:t>
            </w:r>
          </w:p>
        </w:tc>
        <w:tc>
          <w:tcPr>
            <w:tcW w:w="1842" w:type="dxa"/>
            <w:vAlign w:val="center"/>
          </w:tcPr>
          <w:p w:rsidR="007A7494" w:rsidRDefault="00FD23A9">
            <w:pPr>
              <w:jc w:val="right"/>
            </w:pPr>
            <w:r>
              <w:rPr>
                <w:rFonts w:asciiTheme="minorEastAsia" w:eastAsiaTheme="minorEastAsia" w:hAnsiTheme="minorEastAsia" w:cs="宋体"/>
                <w:color w:val="000000" w:themeColor="text1"/>
                <w:kern w:val="0"/>
              </w:rPr>
              <w:t>22,973,389.44</w:t>
            </w:r>
          </w:p>
        </w:tc>
        <w:tc>
          <w:tcPr>
            <w:tcW w:w="1616" w:type="dxa"/>
            <w:vAlign w:val="center"/>
          </w:tcPr>
          <w:p w:rsidR="007A7494" w:rsidRDefault="00FD23A9">
            <w:pPr>
              <w:jc w:val="right"/>
            </w:pPr>
            <w:r>
              <w:rPr>
                <w:rFonts w:asciiTheme="minorEastAsia" w:eastAsiaTheme="minorEastAsia" w:hAnsiTheme="minorEastAsia" w:cs="宋体"/>
                <w:color w:val="000000" w:themeColor="text1"/>
                <w:kern w:val="0"/>
              </w:rPr>
              <w:t>3.26</w:t>
            </w:r>
          </w:p>
        </w:tc>
      </w:tr>
      <w:tr w:rsidR="007A7494">
        <w:tc>
          <w:tcPr>
            <w:tcW w:w="817" w:type="dxa"/>
            <w:vAlign w:val="center"/>
          </w:tcPr>
          <w:p w:rsidR="007A7494" w:rsidRDefault="00FD23A9">
            <w:pPr>
              <w:jc w:val="center"/>
            </w:pPr>
            <w:r>
              <w:rPr>
                <w:rFonts w:asciiTheme="minorEastAsia" w:eastAsiaTheme="minorEastAsia" w:hAnsiTheme="minorEastAsia" w:cs="宋体"/>
                <w:color w:val="000000" w:themeColor="text1"/>
                <w:kern w:val="0"/>
              </w:rPr>
              <w:t>9</w:t>
            </w:r>
          </w:p>
        </w:tc>
        <w:tc>
          <w:tcPr>
            <w:tcW w:w="1276" w:type="dxa"/>
            <w:vAlign w:val="center"/>
          </w:tcPr>
          <w:p w:rsidR="007A7494" w:rsidRDefault="00FD23A9">
            <w:pPr>
              <w:jc w:val="center"/>
            </w:pPr>
            <w:r>
              <w:rPr>
                <w:rFonts w:asciiTheme="minorEastAsia" w:eastAsiaTheme="minorEastAsia" w:hAnsiTheme="minorEastAsia" w:cs="宋体"/>
                <w:color w:val="000000" w:themeColor="text1"/>
                <w:kern w:val="0"/>
              </w:rPr>
              <w:t>300595</w:t>
            </w:r>
          </w:p>
        </w:tc>
        <w:tc>
          <w:tcPr>
            <w:tcW w:w="1701" w:type="dxa"/>
            <w:vAlign w:val="center"/>
          </w:tcPr>
          <w:p w:rsidR="007A7494" w:rsidRDefault="00FD23A9">
            <w:pPr>
              <w:jc w:val="center"/>
            </w:pPr>
            <w:r>
              <w:rPr>
                <w:rFonts w:asciiTheme="minorEastAsia" w:eastAsiaTheme="minorEastAsia" w:hAnsiTheme="minorEastAsia" w:cs="宋体"/>
                <w:color w:val="000000" w:themeColor="text1"/>
                <w:kern w:val="0"/>
              </w:rPr>
              <w:t>欧普康视</w:t>
            </w:r>
          </w:p>
        </w:tc>
        <w:tc>
          <w:tcPr>
            <w:tcW w:w="1276" w:type="dxa"/>
            <w:vAlign w:val="center"/>
          </w:tcPr>
          <w:p w:rsidR="007A7494" w:rsidRDefault="00FD23A9">
            <w:pPr>
              <w:jc w:val="right"/>
            </w:pPr>
            <w:r>
              <w:rPr>
                <w:rFonts w:asciiTheme="minorEastAsia" w:eastAsiaTheme="minorEastAsia" w:hAnsiTheme="minorEastAsia" w:cs="宋体"/>
                <w:color w:val="000000" w:themeColor="text1"/>
                <w:kern w:val="0"/>
              </w:rPr>
              <w:t>234,971</w:t>
            </w:r>
          </w:p>
        </w:tc>
        <w:tc>
          <w:tcPr>
            <w:tcW w:w="1842" w:type="dxa"/>
            <w:vAlign w:val="center"/>
          </w:tcPr>
          <w:p w:rsidR="007A7494" w:rsidRDefault="00FD23A9">
            <w:pPr>
              <w:jc w:val="right"/>
            </w:pPr>
            <w:r>
              <w:rPr>
                <w:rFonts w:asciiTheme="minorEastAsia" w:eastAsiaTheme="minorEastAsia" w:hAnsiTheme="minorEastAsia" w:cs="宋体"/>
                <w:color w:val="000000" w:themeColor="text1"/>
                <w:kern w:val="0"/>
              </w:rPr>
              <w:t>21,182,635.65</w:t>
            </w:r>
          </w:p>
        </w:tc>
        <w:tc>
          <w:tcPr>
            <w:tcW w:w="1616" w:type="dxa"/>
            <w:vAlign w:val="center"/>
          </w:tcPr>
          <w:p w:rsidR="007A7494" w:rsidRDefault="00FD23A9">
            <w:pPr>
              <w:jc w:val="right"/>
            </w:pPr>
            <w:r>
              <w:rPr>
                <w:rFonts w:asciiTheme="minorEastAsia" w:eastAsiaTheme="minorEastAsia" w:hAnsiTheme="minorEastAsia" w:cs="宋体"/>
                <w:color w:val="000000" w:themeColor="text1"/>
                <w:kern w:val="0"/>
              </w:rPr>
              <w:t>3.00</w:t>
            </w:r>
          </w:p>
        </w:tc>
      </w:tr>
      <w:tr w:rsidR="007A7494">
        <w:tc>
          <w:tcPr>
            <w:tcW w:w="817" w:type="dxa"/>
            <w:vAlign w:val="center"/>
          </w:tcPr>
          <w:p w:rsidR="007A7494" w:rsidRDefault="00FD23A9">
            <w:pPr>
              <w:jc w:val="center"/>
            </w:pPr>
            <w:r>
              <w:rPr>
                <w:rFonts w:asciiTheme="minorEastAsia" w:eastAsiaTheme="minorEastAsia" w:hAnsiTheme="minorEastAsia" w:cs="宋体"/>
                <w:color w:val="000000" w:themeColor="text1"/>
                <w:kern w:val="0"/>
              </w:rPr>
              <w:t>10</w:t>
            </w:r>
          </w:p>
        </w:tc>
        <w:tc>
          <w:tcPr>
            <w:tcW w:w="1276" w:type="dxa"/>
            <w:vAlign w:val="center"/>
          </w:tcPr>
          <w:p w:rsidR="007A7494" w:rsidRDefault="00FD23A9">
            <w:pPr>
              <w:jc w:val="center"/>
            </w:pPr>
            <w:r>
              <w:rPr>
                <w:rFonts w:asciiTheme="minorEastAsia" w:eastAsiaTheme="minorEastAsia" w:hAnsiTheme="minorEastAsia" w:cs="宋体"/>
                <w:color w:val="000000" w:themeColor="text1"/>
                <w:kern w:val="0"/>
              </w:rPr>
              <w:t>600031</w:t>
            </w:r>
          </w:p>
        </w:tc>
        <w:tc>
          <w:tcPr>
            <w:tcW w:w="1701" w:type="dxa"/>
            <w:vAlign w:val="center"/>
          </w:tcPr>
          <w:p w:rsidR="007A7494" w:rsidRDefault="00FD23A9">
            <w:pPr>
              <w:jc w:val="center"/>
            </w:pPr>
            <w:r>
              <w:rPr>
                <w:rFonts w:asciiTheme="minorEastAsia" w:eastAsiaTheme="minorEastAsia" w:hAnsiTheme="minorEastAsia" w:cs="宋体"/>
                <w:color w:val="000000" w:themeColor="text1"/>
                <w:kern w:val="0"/>
              </w:rPr>
              <w:t>三一重工</w:t>
            </w:r>
          </w:p>
        </w:tc>
        <w:tc>
          <w:tcPr>
            <w:tcW w:w="1276" w:type="dxa"/>
            <w:vAlign w:val="center"/>
          </w:tcPr>
          <w:p w:rsidR="007A7494" w:rsidRDefault="00FD23A9">
            <w:pPr>
              <w:jc w:val="right"/>
            </w:pPr>
            <w:r>
              <w:rPr>
                <w:rFonts w:asciiTheme="minorEastAsia" w:eastAsiaTheme="minorEastAsia" w:hAnsiTheme="minorEastAsia" w:cs="宋体"/>
                <w:color w:val="000000" w:themeColor="text1"/>
                <w:kern w:val="0"/>
              </w:rPr>
              <w:t>581,100</w:t>
            </w:r>
          </w:p>
        </w:tc>
        <w:tc>
          <w:tcPr>
            <w:tcW w:w="1842" w:type="dxa"/>
            <w:vAlign w:val="center"/>
          </w:tcPr>
          <w:p w:rsidR="007A7494" w:rsidRDefault="00FD23A9">
            <w:pPr>
              <w:jc w:val="right"/>
            </w:pPr>
            <w:r>
              <w:rPr>
                <w:rFonts w:asciiTheme="minorEastAsia" w:eastAsiaTheme="minorEastAsia" w:hAnsiTheme="minorEastAsia" w:cs="宋体"/>
                <w:color w:val="000000" w:themeColor="text1"/>
                <w:kern w:val="0"/>
              </w:rPr>
              <w:t>19,844,565.00</w:t>
            </w:r>
          </w:p>
        </w:tc>
        <w:tc>
          <w:tcPr>
            <w:tcW w:w="1616" w:type="dxa"/>
            <w:vAlign w:val="center"/>
          </w:tcPr>
          <w:p w:rsidR="007A7494" w:rsidRDefault="00FD23A9">
            <w:pPr>
              <w:jc w:val="right"/>
            </w:pPr>
            <w:r>
              <w:rPr>
                <w:rFonts w:asciiTheme="minorEastAsia" w:eastAsiaTheme="minorEastAsia" w:hAnsiTheme="minorEastAsia" w:cs="宋体"/>
                <w:color w:val="000000" w:themeColor="text1"/>
                <w:kern w:val="0"/>
              </w:rPr>
              <w:t>2.81</w:t>
            </w:r>
          </w:p>
        </w:tc>
      </w:tr>
    </w:tbl>
    <w:p w:rsidR="00D06738" w:rsidRDefault="00D06738">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5.4 </w:t>
      </w:r>
      <w:r>
        <w:rPr>
          <w:rFonts w:asciiTheme="minorEastAsia" w:eastAsiaTheme="minorEastAsia" w:hAnsiTheme="minorEastAsia" w:hint="eastAsia"/>
          <w:b/>
          <w:bCs/>
          <w:color w:val="000000" w:themeColor="text1"/>
          <w:kern w:val="0"/>
          <w:sz w:val="24"/>
          <w:szCs w:val="24"/>
        </w:rPr>
        <w:t>报告期末按债券品种分类的债券投资组合</w:t>
      </w:r>
    </w:p>
    <w:tbl>
      <w:tblPr>
        <w:tblStyle w:val="aff4"/>
        <w:tblW w:w="8755" w:type="dxa"/>
        <w:jc w:val="center"/>
        <w:tblLayout w:type="fixed"/>
        <w:tblLook w:val="04A0" w:firstRow="1" w:lastRow="0" w:firstColumn="1" w:lastColumn="0" w:noHBand="0" w:noVBand="1"/>
      </w:tblPr>
      <w:tblGrid>
        <w:gridCol w:w="817"/>
        <w:gridCol w:w="3260"/>
        <w:gridCol w:w="2949"/>
        <w:gridCol w:w="1729"/>
      </w:tblGrid>
      <w:tr w:rsidR="00D06738">
        <w:trPr>
          <w:jc w:val="center"/>
        </w:trPr>
        <w:tc>
          <w:tcPr>
            <w:tcW w:w="817"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序号</w:t>
            </w:r>
          </w:p>
        </w:tc>
        <w:tc>
          <w:tcPr>
            <w:tcW w:w="3260"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债券品种</w:t>
            </w:r>
          </w:p>
        </w:tc>
        <w:tc>
          <w:tcPr>
            <w:tcW w:w="2949"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公允价值(元)</w:t>
            </w:r>
          </w:p>
        </w:tc>
        <w:tc>
          <w:tcPr>
            <w:tcW w:w="1729"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占基金资产净值比例(％)</w:t>
            </w:r>
          </w:p>
        </w:tc>
      </w:tr>
      <w:tr w:rsidR="00D06738">
        <w:trPr>
          <w:jc w:val="center"/>
        </w:trPr>
        <w:tc>
          <w:tcPr>
            <w:tcW w:w="817"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w:t>
            </w:r>
          </w:p>
        </w:tc>
        <w:tc>
          <w:tcPr>
            <w:tcW w:w="3260" w:type="dxa"/>
            <w:vAlign w:val="center"/>
          </w:tcPr>
          <w:p w:rsidR="00D06738" w:rsidRDefault="00454D20">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国家债券</w:t>
            </w:r>
          </w:p>
        </w:tc>
        <w:tc>
          <w:tcPr>
            <w:tcW w:w="2949"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729"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jc w:val="center"/>
        </w:trPr>
        <w:tc>
          <w:tcPr>
            <w:tcW w:w="817"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2</w:t>
            </w:r>
          </w:p>
        </w:tc>
        <w:tc>
          <w:tcPr>
            <w:tcW w:w="3260" w:type="dxa"/>
            <w:vAlign w:val="center"/>
          </w:tcPr>
          <w:p w:rsidR="00D06738" w:rsidRDefault="00454D20">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央行票据</w:t>
            </w:r>
          </w:p>
        </w:tc>
        <w:tc>
          <w:tcPr>
            <w:tcW w:w="2949"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729"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jc w:val="center"/>
        </w:trPr>
        <w:tc>
          <w:tcPr>
            <w:tcW w:w="817"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w:t>
            </w:r>
          </w:p>
        </w:tc>
        <w:tc>
          <w:tcPr>
            <w:tcW w:w="3260" w:type="dxa"/>
            <w:vAlign w:val="center"/>
          </w:tcPr>
          <w:p w:rsidR="00D06738" w:rsidRDefault="00454D20">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金融债券</w:t>
            </w:r>
          </w:p>
        </w:tc>
        <w:tc>
          <w:tcPr>
            <w:tcW w:w="2949"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729"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jc w:val="center"/>
        </w:trPr>
        <w:tc>
          <w:tcPr>
            <w:tcW w:w="817" w:type="dxa"/>
            <w:vAlign w:val="center"/>
          </w:tcPr>
          <w:p w:rsidR="00D06738" w:rsidRDefault="00D06738">
            <w:pPr>
              <w:spacing w:before="29" w:line="360" w:lineRule="auto"/>
              <w:ind w:left="17"/>
              <w:jc w:val="center"/>
              <w:rPr>
                <w:rFonts w:asciiTheme="minorEastAsia" w:eastAsiaTheme="minorEastAsia" w:hAnsiTheme="minorEastAsia" w:cs="宋体"/>
                <w:color w:val="000000" w:themeColor="text1"/>
                <w:kern w:val="0"/>
              </w:rPr>
            </w:pPr>
          </w:p>
        </w:tc>
        <w:tc>
          <w:tcPr>
            <w:tcW w:w="3260" w:type="dxa"/>
            <w:vAlign w:val="center"/>
          </w:tcPr>
          <w:p w:rsidR="00D06738" w:rsidRDefault="00454D20">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其中：政策性金融债</w:t>
            </w:r>
          </w:p>
        </w:tc>
        <w:tc>
          <w:tcPr>
            <w:tcW w:w="2949"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729"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jc w:val="center"/>
        </w:trPr>
        <w:tc>
          <w:tcPr>
            <w:tcW w:w="817"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w:t>
            </w:r>
          </w:p>
        </w:tc>
        <w:tc>
          <w:tcPr>
            <w:tcW w:w="3260" w:type="dxa"/>
            <w:vAlign w:val="center"/>
          </w:tcPr>
          <w:p w:rsidR="00D06738" w:rsidRDefault="00454D20">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企业债券</w:t>
            </w:r>
          </w:p>
        </w:tc>
        <w:tc>
          <w:tcPr>
            <w:tcW w:w="2949"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729"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jc w:val="center"/>
        </w:trPr>
        <w:tc>
          <w:tcPr>
            <w:tcW w:w="817"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5</w:t>
            </w:r>
          </w:p>
        </w:tc>
        <w:tc>
          <w:tcPr>
            <w:tcW w:w="3260" w:type="dxa"/>
            <w:vAlign w:val="center"/>
          </w:tcPr>
          <w:p w:rsidR="00D06738" w:rsidRDefault="00454D20">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企业短期融资券</w:t>
            </w:r>
          </w:p>
        </w:tc>
        <w:tc>
          <w:tcPr>
            <w:tcW w:w="2949"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729"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jc w:val="center"/>
        </w:trPr>
        <w:tc>
          <w:tcPr>
            <w:tcW w:w="817"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6</w:t>
            </w:r>
          </w:p>
        </w:tc>
        <w:tc>
          <w:tcPr>
            <w:tcW w:w="3260" w:type="dxa"/>
            <w:vAlign w:val="center"/>
          </w:tcPr>
          <w:p w:rsidR="00D06738" w:rsidRDefault="00454D20">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中期票据</w:t>
            </w:r>
          </w:p>
        </w:tc>
        <w:tc>
          <w:tcPr>
            <w:tcW w:w="2949"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729"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D06738">
        <w:trPr>
          <w:jc w:val="center"/>
        </w:trPr>
        <w:tc>
          <w:tcPr>
            <w:tcW w:w="817"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7</w:t>
            </w:r>
          </w:p>
        </w:tc>
        <w:tc>
          <w:tcPr>
            <w:tcW w:w="3260" w:type="dxa"/>
            <w:vAlign w:val="center"/>
          </w:tcPr>
          <w:p w:rsidR="00D06738" w:rsidRDefault="00454D20">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可转债（可交换债）</w:t>
            </w:r>
          </w:p>
        </w:tc>
        <w:tc>
          <w:tcPr>
            <w:tcW w:w="2949"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758,632.00</w:t>
            </w:r>
          </w:p>
        </w:tc>
        <w:tc>
          <w:tcPr>
            <w:tcW w:w="1729"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0.11</w:t>
            </w:r>
          </w:p>
        </w:tc>
      </w:tr>
      <w:tr w:rsidR="00D06738">
        <w:trPr>
          <w:jc w:val="center"/>
        </w:trPr>
        <w:tc>
          <w:tcPr>
            <w:tcW w:w="817"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8</w:t>
            </w:r>
          </w:p>
        </w:tc>
        <w:tc>
          <w:tcPr>
            <w:tcW w:w="3260" w:type="dxa"/>
            <w:vAlign w:val="center"/>
          </w:tcPr>
          <w:p w:rsidR="00D06738" w:rsidRDefault="00454D20">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同业存单</w:t>
            </w:r>
          </w:p>
        </w:tc>
        <w:tc>
          <w:tcPr>
            <w:tcW w:w="2949"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729"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D06738">
        <w:trPr>
          <w:jc w:val="center"/>
        </w:trPr>
        <w:tc>
          <w:tcPr>
            <w:tcW w:w="817"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9</w:t>
            </w:r>
          </w:p>
        </w:tc>
        <w:tc>
          <w:tcPr>
            <w:tcW w:w="3260" w:type="dxa"/>
            <w:vAlign w:val="center"/>
          </w:tcPr>
          <w:p w:rsidR="00D06738" w:rsidRDefault="00454D20">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其他</w:t>
            </w:r>
          </w:p>
        </w:tc>
        <w:tc>
          <w:tcPr>
            <w:tcW w:w="2949"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729"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jc w:val="center"/>
        </w:trPr>
        <w:tc>
          <w:tcPr>
            <w:tcW w:w="817"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10</w:t>
            </w:r>
          </w:p>
        </w:tc>
        <w:tc>
          <w:tcPr>
            <w:tcW w:w="3260" w:type="dxa"/>
            <w:vAlign w:val="center"/>
          </w:tcPr>
          <w:p w:rsidR="00D06738" w:rsidRDefault="00454D20">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合计</w:t>
            </w:r>
          </w:p>
        </w:tc>
        <w:tc>
          <w:tcPr>
            <w:tcW w:w="2949"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758,632.00</w:t>
            </w:r>
          </w:p>
        </w:tc>
        <w:tc>
          <w:tcPr>
            <w:tcW w:w="1729"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0.11</w:t>
            </w:r>
          </w:p>
        </w:tc>
      </w:tr>
    </w:tbl>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5.5 </w:t>
      </w:r>
      <w:r>
        <w:rPr>
          <w:rFonts w:asciiTheme="minorEastAsia" w:eastAsiaTheme="minorEastAsia" w:hAnsiTheme="minorEastAsia" w:hint="eastAsia"/>
          <w:b/>
          <w:bCs/>
          <w:color w:val="000000" w:themeColor="text1"/>
          <w:kern w:val="0"/>
          <w:sz w:val="24"/>
          <w:szCs w:val="24"/>
        </w:rPr>
        <w:t>报告期末按公允价值占基金资产净值比例大小排序的前五名债券投资明细</w:t>
      </w:r>
    </w:p>
    <w:tbl>
      <w:tblPr>
        <w:tblStyle w:val="aff4"/>
        <w:tblW w:w="8528" w:type="dxa"/>
        <w:tblLayout w:type="fixed"/>
        <w:tblLook w:val="04A0" w:firstRow="1" w:lastRow="0" w:firstColumn="1" w:lastColumn="0" w:noHBand="0" w:noVBand="1"/>
      </w:tblPr>
      <w:tblGrid>
        <w:gridCol w:w="1252"/>
        <w:gridCol w:w="1310"/>
        <w:gridCol w:w="1282"/>
        <w:gridCol w:w="1426"/>
        <w:gridCol w:w="1646"/>
        <w:gridCol w:w="1612"/>
      </w:tblGrid>
      <w:tr w:rsidR="00D06738">
        <w:tc>
          <w:tcPr>
            <w:tcW w:w="1252"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序号</w:t>
            </w:r>
          </w:p>
        </w:tc>
        <w:tc>
          <w:tcPr>
            <w:tcW w:w="1310"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债券代码</w:t>
            </w:r>
          </w:p>
        </w:tc>
        <w:tc>
          <w:tcPr>
            <w:tcW w:w="1282"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债券名称</w:t>
            </w:r>
          </w:p>
        </w:tc>
        <w:tc>
          <w:tcPr>
            <w:tcW w:w="1426"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数量(张)</w:t>
            </w:r>
          </w:p>
        </w:tc>
        <w:tc>
          <w:tcPr>
            <w:tcW w:w="1646"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公允价值</w:t>
            </w:r>
            <w:r>
              <w:rPr>
                <w:rFonts w:asciiTheme="minorEastAsia" w:eastAsiaTheme="minorEastAsia" w:hAnsiTheme="minorEastAsia" w:cs="宋体"/>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color w:val="000000" w:themeColor="text1"/>
                <w:kern w:val="0"/>
              </w:rPr>
              <w:t>)</w:t>
            </w:r>
          </w:p>
        </w:tc>
        <w:tc>
          <w:tcPr>
            <w:tcW w:w="1612"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占基金资产净值比例(％)</w:t>
            </w:r>
          </w:p>
        </w:tc>
      </w:tr>
      <w:tr w:rsidR="007A7494">
        <w:tc>
          <w:tcPr>
            <w:tcW w:w="1252" w:type="dxa"/>
            <w:vAlign w:val="center"/>
          </w:tcPr>
          <w:p w:rsidR="007A7494" w:rsidRDefault="00FD23A9">
            <w:pPr>
              <w:jc w:val="center"/>
            </w:pPr>
            <w:r>
              <w:rPr>
                <w:rFonts w:asciiTheme="minorEastAsia" w:eastAsiaTheme="minorEastAsia" w:hAnsiTheme="minorEastAsia" w:cs="宋体"/>
                <w:color w:val="000000" w:themeColor="text1"/>
                <w:kern w:val="0"/>
              </w:rPr>
              <w:t>1</w:t>
            </w:r>
          </w:p>
        </w:tc>
        <w:tc>
          <w:tcPr>
            <w:tcW w:w="1310" w:type="dxa"/>
            <w:vAlign w:val="center"/>
          </w:tcPr>
          <w:p w:rsidR="007A7494" w:rsidRDefault="00FD23A9">
            <w:pPr>
              <w:jc w:val="center"/>
            </w:pPr>
            <w:r>
              <w:rPr>
                <w:rFonts w:asciiTheme="minorEastAsia" w:eastAsiaTheme="minorEastAsia" w:hAnsiTheme="minorEastAsia" w:cs="宋体"/>
                <w:color w:val="000000" w:themeColor="text1"/>
                <w:kern w:val="0"/>
              </w:rPr>
              <w:t>113616</w:t>
            </w:r>
          </w:p>
        </w:tc>
        <w:tc>
          <w:tcPr>
            <w:tcW w:w="1282" w:type="dxa"/>
            <w:vAlign w:val="center"/>
          </w:tcPr>
          <w:p w:rsidR="007A7494" w:rsidRDefault="00FD23A9">
            <w:pPr>
              <w:jc w:val="center"/>
            </w:pPr>
            <w:r>
              <w:rPr>
                <w:rFonts w:asciiTheme="minorEastAsia" w:eastAsiaTheme="minorEastAsia" w:hAnsiTheme="minorEastAsia" w:cs="宋体"/>
                <w:color w:val="000000" w:themeColor="text1"/>
                <w:kern w:val="0"/>
              </w:rPr>
              <w:t>韦尔转债</w:t>
            </w:r>
          </w:p>
        </w:tc>
        <w:tc>
          <w:tcPr>
            <w:tcW w:w="1426" w:type="dxa"/>
            <w:vAlign w:val="center"/>
          </w:tcPr>
          <w:p w:rsidR="007A7494" w:rsidRDefault="00FD23A9">
            <w:pPr>
              <w:jc w:val="right"/>
            </w:pPr>
            <w:r>
              <w:rPr>
                <w:rFonts w:asciiTheme="minorEastAsia" w:eastAsiaTheme="minorEastAsia" w:hAnsiTheme="minorEastAsia" w:cs="宋体"/>
                <w:color w:val="000000" w:themeColor="text1"/>
                <w:kern w:val="0"/>
              </w:rPr>
              <w:t>5,320</w:t>
            </w:r>
          </w:p>
        </w:tc>
        <w:tc>
          <w:tcPr>
            <w:tcW w:w="1646" w:type="dxa"/>
            <w:vAlign w:val="center"/>
          </w:tcPr>
          <w:p w:rsidR="007A7494" w:rsidRDefault="00FD23A9">
            <w:pPr>
              <w:jc w:val="right"/>
            </w:pPr>
            <w:r>
              <w:rPr>
                <w:rFonts w:asciiTheme="minorEastAsia" w:eastAsiaTheme="minorEastAsia" w:hAnsiTheme="minorEastAsia" w:cs="宋体"/>
                <w:color w:val="000000" w:themeColor="text1"/>
                <w:kern w:val="0"/>
              </w:rPr>
              <w:t>758,632.00</w:t>
            </w:r>
          </w:p>
        </w:tc>
        <w:tc>
          <w:tcPr>
            <w:tcW w:w="1612" w:type="dxa"/>
            <w:vAlign w:val="center"/>
          </w:tcPr>
          <w:p w:rsidR="007A7494" w:rsidRDefault="00FD23A9">
            <w:pPr>
              <w:jc w:val="right"/>
            </w:pPr>
            <w:r>
              <w:rPr>
                <w:rFonts w:asciiTheme="minorEastAsia" w:eastAsiaTheme="minorEastAsia" w:hAnsiTheme="minorEastAsia" w:cs="宋体"/>
                <w:color w:val="000000" w:themeColor="text1"/>
                <w:kern w:val="0"/>
              </w:rPr>
              <w:t>0.11</w:t>
            </w:r>
          </w:p>
        </w:tc>
      </w:tr>
    </w:tbl>
    <w:p w:rsidR="00D06738" w:rsidRDefault="00D06738">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5.6 </w:t>
      </w:r>
      <w:r>
        <w:rPr>
          <w:rFonts w:asciiTheme="minorEastAsia" w:eastAsiaTheme="minorEastAsia" w:hAnsiTheme="minorEastAsia" w:hint="eastAsia"/>
          <w:b/>
          <w:bCs/>
          <w:color w:val="000000" w:themeColor="text1"/>
          <w:kern w:val="0"/>
          <w:sz w:val="24"/>
          <w:szCs w:val="24"/>
        </w:rPr>
        <w:t>报告期末按公允价值占基金资产净值比例大小排序的前十名资产支持证券投资明细</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本基金本报告期末未持有资产支持证券。</w:t>
      </w:r>
    </w:p>
    <w:p w:rsidR="00D06738" w:rsidRDefault="00D06738">
      <w:pPr>
        <w:autoSpaceDE w:val="0"/>
        <w:autoSpaceDN w:val="0"/>
        <w:adjustRightInd w:val="0"/>
        <w:spacing w:line="360" w:lineRule="auto"/>
        <w:jc w:val="left"/>
        <w:rPr>
          <w:rFonts w:asciiTheme="minorEastAsia" w:eastAsiaTheme="minorEastAsia" w:hAnsiTheme="minorEastAsia"/>
          <w:color w:val="000000" w:themeColor="text1"/>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5.7 报告期末按公允价值占基金资产净值比例大小排序的前五名贵金属投资明</w:t>
      </w:r>
      <w:r>
        <w:rPr>
          <w:rFonts w:asciiTheme="minorEastAsia" w:eastAsiaTheme="minorEastAsia" w:hAnsiTheme="minorEastAsia" w:hint="eastAsia"/>
          <w:b/>
          <w:bCs/>
          <w:color w:val="000000" w:themeColor="text1"/>
          <w:kern w:val="0"/>
          <w:sz w:val="24"/>
          <w:szCs w:val="24"/>
        </w:rPr>
        <w:lastRenderedPageBreak/>
        <w:t>细</w:t>
      </w:r>
    </w:p>
    <w:p w:rsidR="00D06738" w:rsidRDefault="00454D20">
      <w:pPr>
        <w:widowControl/>
        <w:spacing w:line="360" w:lineRule="auto"/>
        <w:jc w:val="left"/>
        <w:rPr>
          <w:rFonts w:ascii="宋体" w:hAnsi="宋体"/>
          <w:color w:val="000000" w:themeColor="text1"/>
        </w:rPr>
      </w:pPr>
      <w:r>
        <w:rPr>
          <w:rFonts w:ascii="宋体" w:hAnsi="宋体"/>
          <w:color w:val="000000" w:themeColor="text1"/>
        </w:rPr>
        <w:t>本基金本报告期末未持有贵金属。</w:t>
      </w:r>
    </w:p>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5.8</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报告期末按公允价值占基金资产净值比例大小排序的前五名权证投资明细</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本基金本报告期末未持有权证。</w:t>
      </w:r>
    </w:p>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5.9 报告期末本基金投资的股指期货交易情况说明</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本基金本报告期末未持有股指期货。</w:t>
      </w:r>
    </w:p>
    <w:p w:rsidR="00D06738" w:rsidRDefault="00D06738">
      <w:pPr>
        <w:adjustRightInd w:val="0"/>
        <w:snapToGrid w:val="0"/>
        <w:spacing w:line="360" w:lineRule="exact"/>
        <w:rPr>
          <w:rFonts w:asciiTheme="minorEastAsia" w:eastAsiaTheme="minorEastAsia" w:hAnsiTheme="minorEastAsia"/>
          <w:color w:val="000000" w:themeColor="text1"/>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5.10报告期末本基金投资的国债期货交易情况说明</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本基金本报告期末未持有国债期货。</w:t>
      </w: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5.</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投资组合报告附注</w:t>
      </w:r>
    </w:p>
    <w:p w:rsidR="00D06738" w:rsidRDefault="00454D20">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11</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w:t>
      </w:r>
      <w:r>
        <w:rPr>
          <w:rFonts w:asciiTheme="minorEastAsia" w:eastAsiaTheme="minorEastAsia" w:hAnsiTheme="minorEastAsia"/>
          <w:color w:val="000000" w:themeColor="text1"/>
          <w:sz w:val="24"/>
          <w:szCs w:val="24"/>
        </w:rPr>
        <w:t>报告期内本基金投资的前十名证券的发行主体本期没有出现被监管部门立案调查，或在报告编制日前一年内受到公开谴责、处罚的情形。</w:t>
      </w:r>
    </w:p>
    <w:p w:rsidR="00D06738" w:rsidRDefault="00454D20">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11</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2</w:t>
      </w:r>
      <w:r>
        <w:rPr>
          <w:rFonts w:asciiTheme="minorEastAsia" w:eastAsiaTheme="minorEastAsia" w:hAnsiTheme="minorEastAsia"/>
          <w:color w:val="000000" w:themeColor="text1"/>
          <w:sz w:val="24"/>
          <w:szCs w:val="24"/>
        </w:rPr>
        <w:t>报告期内本基金投资的前十名股票中没有在基金合同规定备选股票库之外的股票。</w:t>
      </w: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3</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其他资产构成</w:t>
      </w:r>
    </w:p>
    <w:tbl>
      <w:tblPr>
        <w:tblStyle w:val="aff4"/>
        <w:tblW w:w="8513" w:type="dxa"/>
        <w:tblInd w:w="15" w:type="dxa"/>
        <w:tblLayout w:type="fixed"/>
        <w:tblLook w:val="04A0" w:firstRow="1" w:lastRow="0" w:firstColumn="1" w:lastColumn="0" w:noHBand="0" w:noVBand="1"/>
      </w:tblPr>
      <w:tblGrid>
        <w:gridCol w:w="1235"/>
        <w:gridCol w:w="2470"/>
        <w:gridCol w:w="4808"/>
      </w:tblGrid>
      <w:tr w:rsidR="00D06738">
        <w:tc>
          <w:tcPr>
            <w:tcW w:w="1235"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序号</w:t>
            </w:r>
          </w:p>
        </w:tc>
        <w:tc>
          <w:tcPr>
            <w:tcW w:w="2470"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名称</w:t>
            </w:r>
          </w:p>
        </w:tc>
        <w:tc>
          <w:tcPr>
            <w:tcW w:w="4808"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金额(元)</w:t>
            </w:r>
          </w:p>
        </w:tc>
      </w:tr>
      <w:tr w:rsidR="00D06738">
        <w:tc>
          <w:tcPr>
            <w:tcW w:w="1235" w:type="dxa"/>
            <w:vAlign w:val="center"/>
          </w:tcPr>
          <w:p w:rsidR="00D06738" w:rsidRDefault="00454D20">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2470" w:type="dxa"/>
            <w:vAlign w:val="center"/>
          </w:tcPr>
          <w:p w:rsidR="00D06738" w:rsidRDefault="00454D20">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存出保证金</w:t>
            </w:r>
          </w:p>
        </w:tc>
        <w:tc>
          <w:tcPr>
            <w:tcW w:w="4808" w:type="dxa"/>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287,955.89</w:t>
            </w:r>
          </w:p>
        </w:tc>
      </w:tr>
      <w:tr w:rsidR="00D06738">
        <w:tc>
          <w:tcPr>
            <w:tcW w:w="1235" w:type="dxa"/>
            <w:vAlign w:val="center"/>
          </w:tcPr>
          <w:p w:rsidR="00D06738" w:rsidRDefault="00454D20">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w:t>
            </w:r>
          </w:p>
        </w:tc>
        <w:tc>
          <w:tcPr>
            <w:tcW w:w="2470" w:type="dxa"/>
            <w:vAlign w:val="center"/>
          </w:tcPr>
          <w:p w:rsidR="00D06738" w:rsidRDefault="00454D20">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应收证券清算款</w:t>
            </w:r>
          </w:p>
        </w:tc>
        <w:tc>
          <w:tcPr>
            <w:tcW w:w="4808" w:type="dxa"/>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D06738">
        <w:tc>
          <w:tcPr>
            <w:tcW w:w="1235" w:type="dxa"/>
            <w:vAlign w:val="center"/>
          </w:tcPr>
          <w:p w:rsidR="00D06738" w:rsidRDefault="00454D20">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3</w:t>
            </w:r>
          </w:p>
        </w:tc>
        <w:tc>
          <w:tcPr>
            <w:tcW w:w="2470" w:type="dxa"/>
            <w:vAlign w:val="center"/>
          </w:tcPr>
          <w:p w:rsidR="00D06738" w:rsidRDefault="00454D20">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应收股利</w:t>
            </w:r>
          </w:p>
        </w:tc>
        <w:tc>
          <w:tcPr>
            <w:tcW w:w="4808" w:type="dxa"/>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D06738">
        <w:tc>
          <w:tcPr>
            <w:tcW w:w="1235" w:type="dxa"/>
            <w:vAlign w:val="center"/>
          </w:tcPr>
          <w:p w:rsidR="00D06738" w:rsidRDefault="00454D20">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4</w:t>
            </w:r>
          </w:p>
        </w:tc>
        <w:tc>
          <w:tcPr>
            <w:tcW w:w="2470" w:type="dxa"/>
            <w:vAlign w:val="center"/>
          </w:tcPr>
          <w:p w:rsidR="00D06738" w:rsidRDefault="00454D20">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应收利息</w:t>
            </w:r>
          </w:p>
        </w:tc>
        <w:tc>
          <w:tcPr>
            <w:tcW w:w="4808" w:type="dxa"/>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9,470.43</w:t>
            </w:r>
          </w:p>
        </w:tc>
      </w:tr>
      <w:tr w:rsidR="00D06738">
        <w:tc>
          <w:tcPr>
            <w:tcW w:w="1235" w:type="dxa"/>
            <w:vAlign w:val="center"/>
          </w:tcPr>
          <w:p w:rsidR="00D06738" w:rsidRDefault="00454D20">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5</w:t>
            </w:r>
          </w:p>
        </w:tc>
        <w:tc>
          <w:tcPr>
            <w:tcW w:w="2470" w:type="dxa"/>
            <w:vAlign w:val="center"/>
          </w:tcPr>
          <w:p w:rsidR="00D06738" w:rsidRDefault="00454D20">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应收申购款</w:t>
            </w:r>
          </w:p>
        </w:tc>
        <w:tc>
          <w:tcPr>
            <w:tcW w:w="4808" w:type="dxa"/>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656,177.72</w:t>
            </w:r>
          </w:p>
        </w:tc>
      </w:tr>
      <w:tr w:rsidR="00D06738">
        <w:tc>
          <w:tcPr>
            <w:tcW w:w="1235" w:type="dxa"/>
            <w:vAlign w:val="center"/>
          </w:tcPr>
          <w:p w:rsidR="00D06738" w:rsidRDefault="00454D20">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6</w:t>
            </w:r>
          </w:p>
        </w:tc>
        <w:tc>
          <w:tcPr>
            <w:tcW w:w="2470" w:type="dxa"/>
            <w:vAlign w:val="center"/>
          </w:tcPr>
          <w:p w:rsidR="00D06738" w:rsidRDefault="00454D20">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其他应收款</w:t>
            </w:r>
          </w:p>
        </w:tc>
        <w:tc>
          <w:tcPr>
            <w:tcW w:w="4808" w:type="dxa"/>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D06738">
        <w:tc>
          <w:tcPr>
            <w:tcW w:w="1235" w:type="dxa"/>
            <w:vAlign w:val="center"/>
          </w:tcPr>
          <w:p w:rsidR="00D06738" w:rsidRDefault="00454D20">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7</w:t>
            </w:r>
          </w:p>
        </w:tc>
        <w:tc>
          <w:tcPr>
            <w:tcW w:w="2470" w:type="dxa"/>
            <w:vAlign w:val="center"/>
          </w:tcPr>
          <w:p w:rsidR="00D06738" w:rsidRDefault="00454D20">
            <w:pPr>
              <w:autoSpaceDE w:val="0"/>
              <w:autoSpaceDN w:val="0"/>
              <w:adjustRightInd w:val="0"/>
              <w:spacing w:before="29" w:line="360" w:lineRule="auto"/>
              <w:ind w:left="1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待摊费用</w:t>
            </w:r>
          </w:p>
        </w:tc>
        <w:tc>
          <w:tcPr>
            <w:tcW w:w="4808" w:type="dxa"/>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w:t>
            </w:r>
          </w:p>
        </w:tc>
      </w:tr>
      <w:tr w:rsidR="00D06738">
        <w:tc>
          <w:tcPr>
            <w:tcW w:w="1235" w:type="dxa"/>
            <w:vAlign w:val="center"/>
          </w:tcPr>
          <w:p w:rsidR="00D06738" w:rsidRDefault="00454D20">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8</w:t>
            </w:r>
          </w:p>
        </w:tc>
        <w:tc>
          <w:tcPr>
            <w:tcW w:w="2470" w:type="dxa"/>
            <w:vAlign w:val="center"/>
          </w:tcPr>
          <w:p w:rsidR="00D06738" w:rsidRDefault="00454D20">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w:t>
            </w:r>
          </w:p>
        </w:tc>
        <w:tc>
          <w:tcPr>
            <w:tcW w:w="4808" w:type="dxa"/>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D06738">
        <w:tc>
          <w:tcPr>
            <w:tcW w:w="1235" w:type="dxa"/>
            <w:vAlign w:val="center"/>
          </w:tcPr>
          <w:p w:rsidR="00D06738" w:rsidRDefault="00454D20">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9</w:t>
            </w:r>
          </w:p>
        </w:tc>
        <w:tc>
          <w:tcPr>
            <w:tcW w:w="2470" w:type="dxa"/>
            <w:vAlign w:val="center"/>
          </w:tcPr>
          <w:p w:rsidR="00D06738" w:rsidRDefault="00454D20">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4808" w:type="dxa"/>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953,604.04</w:t>
            </w:r>
          </w:p>
        </w:tc>
      </w:tr>
    </w:tbl>
    <w:p w:rsidR="00D06738" w:rsidRDefault="00D06738">
      <w:pPr>
        <w:autoSpaceDE w:val="0"/>
        <w:autoSpaceDN w:val="0"/>
        <w:adjustRightInd w:val="0"/>
        <w:spacing w:line="360" w:lineRule="auto"/>
        <w:rPr>
          <w:rFonts w:asciiTheme="minorEastAsia" w:eastAsiaTheme="minorEastAsia" w:hAnsiTheme="minorEastAsia"/>
          <w:color w:val="000000" w:themeColor="text1"/>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4报告期末持有的处于转股期的可转换债券明细</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lastRenderedPageBreak/>
        <w:t>本基金本报告期末未持有处于转股期的可转换债券。</w:t>
      </w:r>
    </w:p>
    <w:p w:rsidR="00D06738" w:rsidRDefault="00D06738">
      <w:pPr>
        <w:autoSpaceDE w:val="0"/>
        <w:autoSpaceDN w:val="0"/>
        <w:adjustRightInd w:val="0"/>
        <w:spacing w:line="360" w:lineRule="auto"/>
        <w:rPr>
          <w:rFonts w:asciiTheme="minorEastAsia" w:eastAsiaTheme="minorEastAsia" w:hAnsiTheme="minorEastAsia"/>
          <w:color w:val="000000" w:themeColor="text1"/>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5报告期末前十名股票中存在流通受限情况的说明</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本基金本报告期末前十名股票中不存在流通受限情况。</w:t>
      </w:r>
    </w:p>
    <w:p w:rsidR="00D06738" w:rsidRDefault="00D06738">
      <w:pPr>
        <w:autoSpaceDE w:val="0"/>
        <w:autoSpaceDN w:val="0"/>
        <w:adjustRightInd w:val="0"/>
        <w:spacing w:line="360" w:lineRule="auto"/>
        <w:rPr>
          <w:rFonts w:asciiTheme="minorEastAsia" w:eastAsiaTheme="minorEastAsia" w:hAnsiTheme="minorEastAsia"/>
          <w:color w:val="000000" w:themeColor="text1"/>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6投资组合报告附注的其他文字描述部分</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因四舍五入的原因，投资组合报告中分项之和与合计数可能存在尾差。</w:t>
      </w:r>
    </w:p>
    <w:p w:rsidR="00D06738" w:rsidRDefault="00454D20">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6  </w:t>
      </w:r>
      <w:r>
        <w:rPr>
          <w:rFonts w:asciiTheme="minorEastAsia" w:eastAsiaTheme="minorEastAsia" w:hAnsiTheme="minorEastAsia" w:hint="eastAsia"/>
          <w:color w:val="000000" w:themeColor="text1"/>
          <w:kern w:val="0"/>
          <w:sz w:val="24"/>
          <w:szCs w:val="24"/>
        </w:rPr>
        <w:t>开放式基金份额变动</w:t>
      </w:r>
    </w:p>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szCs w:val="24"/>
        </w:rPr>
      </w:pPr>
      <w:r>
        <w:rPr>
          <w:rFonts w:asciiTheme="minorEastAsia" w:eastAsiaTheme="minorEastAsia" w:hAnsiTheme="minorEastAsia" w:cs="宋体" w:hint="eastAsia"/>
          <w:color w:val="000000" w:themeColor="text1"/>
          <w:kern w:val="0"/>
          <w:sz w:val="24"/>
          <w:szCs w:val="24"/>
        </w:rPr>
        <w:t>单位：份</w:t>
      </w:r>
    </w:p>
    <w:tbl>
      <w:tblPr>
        <w:tblW w:w="8634" w:type="dxa"/>
        <w:tblInd w:w="-106" w:type="dxa"/>
        <w:tblLayout w:type="fixed"/>
        <w:tblLook w:val="04A0" w:firstRow="1" w:lastRow="0" w:firstColumn="1" w:lastColumn="0" w:noHBand="0" w:noVBand="1"/>
      </w:tblPr>
      <w:tblGrid>
        <w:gridCol w:w="4609"/>
        <w:gridCol w:w="4025"/>
      </w:tblGrid>
      <w:tr w:rsidR="00D06738">
        <w:tc>
          <w:tcPr>
            <w:tcW w:w="4609" w:type="dxa"/>
            <w:tcBorders>
              <w:top w:val="single" w:sz="8" w:space="0" w:color="000000"/>
              <w:left w:val="single" w:sz="8" w:space="0" w:color="000000"/>
              <w:bottom w:val="single" w:sz="8" w:space="0" w:color="000000"/>
              <w:right w:val="single" w:sz="8" w:space="0" w:color="000000"/>
            </w:tcBorders>
            <w:vAlign w:val="center"/>
          </w:tcPr>
          <w:p w:rsidR="00D06738" w:rsidRDefault="00454D20">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Default="00454D20">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218,932,062.75</w:t>
            </w:r>
          </w:p>
        </w:tc>
      </w:tr>
      <w:tr w:rsidR="00D06738">
        <w:tc>
          <w:tcPr>
            <w:tcW w:w="4609" w:type="dxa"/>
            <w:tcBorders>
              <w:top w:val="single" w:sz="8" w:space="0" w:color="000000"/>
              <w:left w:val="single" w:sz="8" w:space="0" w:color="000000"/>
              <w:bottom w:val="single" w:sz="8" w:space="0" w:color="000000"/>
              <w:right w:val="single" w:sz="8" w:space="0" w:color="000000"/>
            </w:tcBorders>
            <w:vAlign w:val="center"/>
          </w:tcPr>
          <w:p w:rsidR="00D06738" w:rsidRDefault="00454D20">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color w:val="000000" w:themeColor="text1"/>
                <w:kern w:val="0"/>
              </w:rPr>
              <w:t>报告期期间</w:t>
            </w:r>
            <w:r>
              <w:rPr>
                <w:rFonts w:asciiTheme="minorEastAsia" w:eastAsiaTheme="minorEastAsia" w:hAnsiTheme="minorEastAsia" w:cs="宋体" w:hint="eastAsia"/>
                <w:color w:val="000000" w:themeColor="text1"/>
                <w:kern w:val="0"/>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Default="00454D20">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10,427,325.07</w:t>
            </w:r>
          </w:p>
        </w:tc>
      </w:tr>
      <w:tr w:rsidR="00D06738">
        <w:tc>
          <w:tcPr>
            <w:tcW w:w="4609" w:type="dxa"/>
            <w:tcBorders>
              <w:top w:val="single" w:sz="8" w:space="0" w:color="000000"/>
              <w:left w:val="single" w:sz="8" w:space="0" w:color="000000"/>
              <w:bottom w:val="single" w:sz="8" w:space="0" w:color="000000"/>
              <w:right w:val="single" w:sz="8" w:space="0" w:color="000000"/>
            </w:tcBorders>
            <w:vAlign w:val="center"/>
          </w:tcPr>
          <w:p w:rsidR="00D06738" w:rsidRDefault="00454D20">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减：</w:t>
            </w:r>
            <w:r>
              <w:rPr>
                <w:rFonts w:asciiTheme="minorEastAsia" w:eastAsiaTheme="minorEastAsia" w:hAnsiTheme="minorEastAsia" w:cs="宋体"/>
                <w:color w:val="000000" w:themeColor="text1"/>
                <w:kern w:val="0"/>
              </w:rPr>
              <w:t>报告期期间</w:t>
            </w:r>
            <w:r>
              <w:rPr>
                <w:rFonts w:asciiTheme="minorEastAsia" w:eastAsiaTheme="minorEastAsia" w:hAnsiTheme="minorEastAsia" w:cs="宋体" w:hint="eastAsia"/>
                <w:color w:val="000000" w:themeColor="text1"/>
                <w:kern w:val="0"/>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Default="00454D20">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35,298,850.82</w:t>
            </w:r>
          </w:p>
        </w:tc>
      </w:tr>
      <w:tr w:rsidR="00D06738">
        <w:tc>
          <w:tcPr>
            <w:tcW w:w="4609" w:type="dxa"/>
            <w:tcBorders>
              <w:top w:val="single" w:sz="8" w:space="0" w:color="000000"/>
              <w:left w:val="single" w:sz="8" w:space="0" w:color="000000"/>
              <w:bottom w:val="single" w:sz="8" w:space="0" w:color="000000"/>
              <w:right w:val="single" w:sz="8" w:space="0" w:color="000000"/>
            </w:tcBorders>
            <w:vAlign w:val="center"/>
          </w:tcPr>
          <w:p w:rsidR="00D06738" w:rsidRDefault="00454D20">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color w:val="000000" w:themeColor="text1"/>
                <w:kern w:val="0"/>
              </w:rPr>
              <w:t>报告期期间</w:t>
            </w:r>
            <w:r>
              <w:rPr>
                <w:rFonts w:asciiTheme="minorEastAsia" w:eastAsiaTheme="minorEastAsia" w:hAnsiTheme="minorEastAsia" w:cs="宋体" w:hint="eastAsia"/>
                <w:color w:val="000000" w:themeColor="text1"/>
                <w:kern w:val="0"/>
              </w:rPr>
              <w:t>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Default="00454D20">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w:t>
            </w:r>
          </w:p>
        </w:tc>
      </w:tr>
      <w:tr w:rsidR="00D06738">
        <w:tc>
          <w:tcPr>
            <w:tcW w:w="4609" w:type="dxa"/>
            <w:tcBorders>
              <w:top w:val="single" w:sz="8" w:space="0" w:color="000000"/>
              <w:left w:val="single" w:sz="8" w:space="0" w:color="000000"/>
              <w:bottom w:val="single" w:sz="8" w:space="0" w:color="000000"/>
              <w:right w:val="single" w:sz="8" w:space="0" w:color="000000"/>
            </w:tcBorders>
            <w:vAlign w:val="center"/>
          </w:tcPr>
          <w:p w:rsidR="00D06738" w:rsidRDefault="00454D20">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Default="00454D20">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194,060,537.00</w:t>
            </w:r>
          </w:p>
        </w:tc>
      </w:tr>
    </w:tbl>
    <w:p w:rsidR="00D06738" w:rsidRDefault="00454D20">
      <w:pPr>
        <w:pStyle w:val="1"/>
        <w:tabs>
          <w:tab w:val="center" w:pos="4156"/>
          <w:tab w:val="right" w:pos="8312"/>
        </w:tabs>
        <w:spacing w:beforeLines="100" w:before="312" w:afterLines="100" w:after="312" w:line="360" w:lineRule="auto"/>
        <w:jc w:val="center"/>
        <w:rPr>
          <w:rFonts w:ascii="方正仿宋简体"/>
          <w:color w:val="000000" w:themeColor="text1"/>
          <w:sz w:val="24"/>
          <w:szCs w:val="24"/>
        </w:rPr>
      </w:pPr>
      <w:r>
        <w:rPr>
          <w:rFonts w:asciiTheme="minorEastAsia" w:eastAsiaTheme="minorEastAsia" w:hAnsiTheme="minorEastAsia" w:cs="Arial" w:hint="eastAsia"/>
          <w:color w:val="000000" w:themeColor="text1"/>
          <w:kern w:val="0"/>
          <w:sz w:val="24"/>
          <w:szCs w:val="24"/>
        </w:rPr>
        <w:t xml:space="preserve">§7  </w:t>
      </w:r>
      <w:r>
        <w:rPr>
          <w:rFonts w:ascii="方正仿宋简体" w:hint="eastAsia"/>
          <w:color w:val="000000" w:themeColor="text1"/>
          <w:sz w:val="24"/>
          <w:szCs w:val="24"/>
        </w:rPr>
        <w:t>基金管理人运用固有资金投资本基金情况</w:t>
      </w:r>
    </w:p>
    <w:p w:rsidR="00D06738" w:rsidRDefault="00454D20">
      <w:pPr>
        <w:spacing w:line="360" w:lineRule="auto"/>
        <w:jc w:val="left"/>
        <w:rPr>
          <w:color w:val="000000" w:themeColor="text1"/>
          <w:sz w:val="24"/>
          <w:szCs w:val="24"/>
        </w:rPr>
      </w:pPr>
      <w:r>
        <w:rPr>
          <w:b/>
          <w:color w:val="000000" w:themeColor="text1"/>
          <w:sz w:val="24"/>
        </w:rPr>
        <w:t xml:space="preserve">7.1 </w:t>
      </w:r>
      <w:r>
        <w:rPr>
          <w:rFonts w:hint="eastAsia"/>
          <w:b/>
          <w:color w:val="000000" w:themeColor="text1"/>
          <w:sz w:val="24"/>
        </w:rPr>
        <w:t>基金管理人持有本基金份额变动情况</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s="宋体"/>
          <w:color w:val="000000" w:themeColor="text1"/>
          <w:kern w:val="0"/>
        </w:rPr>
        <w:t>无。</w:t>
      </w:r>
    </w:p>
    <w:p w:rsidR="00D06738" w:rsidRDefault="00D06738">
      <w:pPr>
        <w:autoSpaceDE w:val="0"/>
        <w:autoSpaceDN w:val="0"/>
        <w:adjustRightInd w:val="0"/>
        <w:spacing w:line="360" w:lineRule="auto"/>
        <w:jc w:val="left"/>
        <w:rPr>
          <w:rFonts w:asciiTheme="minorEastAsia" w:eastAsiaTheme="minorEastAsia" w:hAnsiTheme="minorEastAsia" w:cs="宋体"/>
          <w:color w:val="000000" w:themeColor="text1"/>
          <w:kern w:val="0"/>
          <w:sz w:val="24"/>
        </w:rPr>
      </w:pPr>
    </w:p>
    <w:p w:rsidR="00D06738" w:rsidRDefault="00454D20">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§8</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备查文件目录</w:t>
      </w: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备查文件目录</w:t>
      </w:r>
    </w:p>
    <w:p w:rsidR="007A7494" w:rsidRDefault="00FD23A9">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1. 中国证监会批准上投摩根中小盘混合型证券投资基金设立的文件； </w:t>
      </w:r>
    </w:p>
    <w:p w:rsidR="007A7494" w:rsidRDefault="00FD23A9">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2. 《上投摩根中小盘混合型证券投资基金基金合同》； </w:t>
      </w:r>
    </w:p>
    <w:p w:rsidR="007A7494" w:rsidRDefault="00FD23A9">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3. 《上投摩根中小盘混合型证券投资基金基金托管协议》； </w:t>
      </w:r>
    </w:p>
    <w:p w:rsidR="007A7494" w:rsidRDefault="00FD23A9">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4. 《上投摩根基金管理有限公司开放式基金业务规则》； </w:t>
      </w:r>
    </w:p>
    <w:p w:rsidR="007A7494" w:rsidRDefault="00FD23A9">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5. 基金管理人业务资格批件、营业执照； </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6. 基金托管人业务资格批件和营业执照。</w:t>
      </w:r>
    </w:p>
    <w:p w:rsidR="00D06738" w:rsidRDefault="00D06738">
      <w:pPr>
        <w:spacing w:line="360" w:lineRule="auto"/>
        <w:ind w:firstLineChars="200" w:firstLine="480"/>
        <w:rPr>
          <w:rFonts w:asciiTheme="minorEastAsia" w:eastAsiaTheme="minorEastAsia" w:hAnsiTheme="minorEastAsia"/>
          <w:color w:val="000000" w:themeColor="text1"/>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2</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存放地点</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基金管理人或基金托管人处。</w:t>
      </w:r>
    </w:p>
    <w:p w:rsidR="00D06738" w:rsidRDefault="00D06738">
      <w:pPr>
        <w:spacing w:line="360" w:lineRule="auto"/>
        <w:ind w:firstLineChars="200" w:firstLine="480"/>
        <w:rPr>
          <w:rFonts w:asciiTheme="minorEastAsia" w:eastAsiaTheme="minorEastAsia" w:hAnsiTheme="minorEastAsia"/>
          <w:color w:val="000000" w:themeColor="text1"/>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3</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查阅方式</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投资者可在营业时间免费查阅，也可按工本费购买复印件。</w:t>
      </w:r>
    </w:p>
    <w:p w:rsidR="00D06738" w:rsidRDefault="00D06738">
      <w:pPr>
        <w:spacing w:line="360" w:lineRule="auto"/>
        <w:ind w:left="840"/>
        <w:jc w:val="right"/>
        <w:rPr>
          <w:rFonts w:asciiTheme="minorEastAsia" w:eastAsiaTheme="minorEastAsia" w:hAnsiTheme="minorEastAsia"/>
          <w:color w:val="000000" w:themeColor="text1"/>
          <w:sz w:val="24"/>
          <w:szCs w:val="24"/>
        </w:rPr>
      </w:pPr>
    </w:p>
    <w:p w:rsidR="00D06738" w:rsidRDefault="00D06738">
      <w:pPr>
        <w:spacing w:line="360" w:lineRule="auto"/>
        <w:ind w:left="840"/>
        <w:jc w:val="right"/>
        <w:rPr>
          <w:rFonts w:asciiTheme="minorEastAsia" w:eastAsiaTheme="minorEastAsia" w:hAnsiTheme="minorEastAsia"/>
          <w:color w:val="000000" w:themeColor="text1"/>
          <w:sz w:val="24"/>
          <w:szCs w:val="24"/>
        </w:rPr>
      </w:pPr>
    </w:p>
    <w:p w:rsidR="00D06738" w:rsidRDefault="00D06738">
      <w:pPr>
        <w:spacing w:line="360" w:lineRule="auto"/>
        <w:ind w:left="840"/>
        <w:jc w:val="right"/>
        <w:rPr>
          <w:rFonts w:asciiTheme="minorEastAsia" w:eastAsiaTheme="minorEastAsia" w:hAnsiTheme="minorEastAsia"/>
          <w:color w:val="000000" w:themeColor="text1"/>
          <w:sz w:val="24"/>
          <w:szCs w:val="24"/>
        </w:rPr>
      </w:pPr>
    </w:p>
    <w:p w:rsidR="00D06738" w:rsidRDefault="00D06738">
      <w:pPr>
        <w:spacing w:line="360" w:lineRule="auto"/>
        <w:ind w:left="840"/>
        <w:jc w:val="right"/>
        <w:rPr>
          <w:rFonts w:asciiTheme="minorEastAsia" w:eastAsiaTheme="minorEastAsia" w:hAnsiTheme="minorEastAsia"/>
          <w:color w:val="000000" w:themeColor="text1"/>
          <w:sz w:val="24"/>
          <w:szCs w:val="24"/>
        </w:rPr>
      </w:pPr>
    </w:p>
    <w:p w:rsidR="00D06738" w:rsidRDefault="00D06738">
      <w:pPr>
        <w:spacing w:line="360" w:lineRule="auto"/>
        <w:ind w:left="840"/>
        <w:jc w:val="right"/>
        <w:rPr>
          <w:rFonts w:asciiTheme="minorEastAsia" w:eastAsiaTheme="minorEastAsia" w:hAnsiTheme="minorEastAsia"/>
          <w:color w:val="000000" w:themeColor="text1"/>
          <w:sz w:val="24"/>
          <w:szCs w:val="24"/>
        </w:rPr>
      </w:pPr>
    </w:p>
    <w:p w:rsidR="00D06738" w:rsidRDefault="00D06738">
      <w:pPr>
        <w:spacing w:line="360" w:lineRule="auto"/>
        <w:ind w:left="840"/>
        <w:jc w:val="right"/>
        <w:rPr>
          <w:rFonts w:asciiTheme="minorEastAsia" w:eastAsiaTheme="minorEastAsia" w:hAnsiTheme="minorEastAsia"/>
          <w:color w:val="000000" w:themeColor="text1"/>
          <w:sz w:val="24"/>
          <w:szCs w:val="24"/>
        </w:rPr>
      </w:pPr>
    </w:p>
    <w:p w:rsidR="00D06738" w:rsidRDefault="00D06738">
      <w:pPr>
        <w:spacing w:line="360" w:lineRule="auto"/>
        <w:ind w:left="840"/>
        <w:jc w:val="right"/>
        <w:rPr>
          <w:rFonts w:asciiTheme="minorEastAsia" w:eastAsiaTheme="minorEastAsia" w:hAnsiTheme="minorEastAsia"/>
          <w:color w:val="000000" w:themeColor="text1"/>
          <w:sz w:val="24"/>
          <w:szCs w:val="24"/>
        </w:rPr>
      </w:pPr>
    </w:p>
    <w:p w:rsidR="00D06738" w:rsidRDefault="00D06738">
      <w:pPr>
        <w:spacing w:line="360" w:lineRule="auto"/>
        <w:ind w:left="840"/>
        <w:jc w:val="right"/>
        <w:rPr>
          <w:rFonts w:asciiTheme="minorEastAsia" w:eastAsiaTheme="minorEastAsia" w:hAnsiTheme="minorEastAsia"/>
          <w:color w:val="000000" w:themeColor="text1"/>
          <w:sz w:val="24"/>
          <w:szCs w:val="24"/>
        </w:rPr>
      </w:pPr>
    </w:p>
    <w:p w:rsidR="00D06738" w:rsidRDefault="00454D20">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上投摩根基金管理有限公司</w:t>
      </w:r>
    </w:p>
    <w:p w:rsidR="00D06738" w:rsidRDefault="00454D20">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二〇二一年四月二十二日</w:t>
      </w:r>
    </w:p>
    <w:p w:rsidR="00D06738" w:rsidRDefault="00D06738">
      <w:pPr>
        <w:spacing w:line="360" w:lineRule="auto"/>
        <w:ind w:left="840"/>
        <w:jc w:val="right"/>
        <w:rPr>
          <w:rFonts w:asciiTheme="minorEastAsia" w:eastAsiaTheme="minorEastAsia" w:hAnsiTheme="minorEastAsia"/>
          <w:b/>
          <w:bCs/>
          <w:color w:val="000000" w:themeColor="text1"/>
          <w:sz w:val="24"/>
          <w:szCs w:val="24"/>
        </w:rPr>
      </w:pPr>
    </w:p>
    <w:p w:rsidR="00D06738" w:rsidRDefault="00D06738">
      <w:pPr>
        <w:rPr>
          <w:rFonts w:asciiTheme="minorEastAsia" w:eastAsiaTheme="minorEastAsia" w:hAnsiTheme="minorEastAsia"/>
          <w:color w:val="000000" w:themeColor="text1"/>
          <w:sz w:val="24"/>
          <w:szCs w:val="24"/>
        </w:rPr>
      </w:pPr>
    </w:p>
    <w:sectPr w:rsidR="00D06738">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FDA" w:rsidRDefault="003A7FDA">
      <w:r>
        <w:separator/>
      </w:r>
    </w:p>
  </w:endnote>
  <w:endnote w:type="continuationSeparator" w:id="0">
    <w:p w:rsidR="003A7FDA" w:rsidRDefault="003A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方正仿宋简体">
    <w:altName w:val="宋体"/>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4"/>
      <w:tabs>
        <w:tab w:val="left" w:pos="4215"/>
        <w:tab w:val="center" w:pos="4545"/>
      </w:tabs>
    </w:pPr>
    <w:r>
      <w:ptab w:relativeTo="margin" w:alignment="center" w:leader="none"/>
    </w:r>
    <w:r>
      <w:ptab w:relativeTo="margin" w:alignment="center" w:leader="none"/>
    </w:r>
    <w:r>
      <w:fldChar w:fldCharType="begin"/>
    </w:r>
    <w:r>
      <w:instrText xml:space="preserve"> PAGE   \* MERGEFORMAT </w:instrText>
    </w:r>
    <w:r>
      <w:fldChar w:fldCharType="separate"/>
    </w:r>
    <w:r w:rsidR="00340B00" w:rsidRPr="00340B00">
      <w:rPr>
        <w:noProof/>
        <w:lang w:val="zh-CN"/>
      </w:rPr>
      <w:t>1</w:t>
    </w:r>
    <w:r>
      <w:rPr>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4"/>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separate"/>
    </w:r>
    <w:r w:rsidR="00340B00">
      <w:rPr>
        <w:rStyle w:val="aff"/>
        <w:noProof/>
      </w:rPr>
      <w:t>2</w:t>
    </w:r>
    <w:r>
      <w:rPr>
        <w:rStyle w:val="aff"/>
      </w:rPr>
      <w:fldChar w:fldCharType="end"/>
    </w:r>
  </w:p>
  <w:p w:rsidR="00454D20" w:rsidRDefault="00454D20">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FDA" w:rsidRDefault="003A7FDA">
      <w:r>
        <w:separator/>
      </w:r>
    </w:p>
  </w:footnote>
  <w:footnote w:type="continuationSeparator" w:id="0">
    <w:p w:rsidR="003A7FDA" w:rsidRDefault="003A7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6"/>
      <w:pBdr>
        <w:bottom w:val="single" w:sz="6" w:space="0" w:color="auto"/>
      </w:pBdr>
      <w:jc w:val="right"/>
    </w:pPr>
    <w:r>
      <w:rPr>
        <w:rFonts w:hint="eastAsia"/>
      </w:rPr>
      <w:t>上投摩根中小盘混合型证券投资基金</w:t>
    </w:r>
    <w:r>
      <w:rPr>
        <w:rFonts w:hint="eastAsia"/>
      </w:rPr>
      <w:t>2021</w:t>
    </w:r>
    <w:r>
      <w:rPr>
        <w:rFonts w:hint="eastAsia"/>
      </w:rPr>
      <w:t>年第</w:t>
    </w:r>
    <w:r>
      <w:rPr>
        <w:rFonts w:hint="eastAsia"/>
      </w:rPr>
      <w:t>1</w:t>
    </w:r>
    <w:r>
      <w:rPr>
        <w:rFonts w:hint="eastAsia"/>
      </w:rP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0B00"/>
    <w:rsid w:val="003470E2"/>
    <w:rsid w:val="00352719"/>
    <w:rsid w:val="00355364"/>
    <w:rsid w:val="00364CCB"/>
    <w:rsid w:val="00381BC6"/>
    <w:rsid w:val="0039085F"/>
    <w:rsid w:val="00394069"/>
    <w:rsid w:val="003A6061"/>
    <w:rsid w:val="003A7FDA"/>
    <w:rsid w:val="003B6FBC"/>
    <w:rsid w:val="003C2B36"/>
    <w:rsid w:val="003C2DCA"/>
    <w:rsid w:val="003E2240"/>
    <w:rsid w:val="003E62FB"/>
    <w:rsid w:val="003F39DF"/>
    <w:rsid w:val="003F63BE"/>
    <w:rsid w:val="004061AC"/>
    <w:rsid w:val="00406C52"/>
    <w:rsid w:val="004149AC"/>
    <w:rsid w:val="0042009D"/>
    <w:rsid w:val="00427F58"/>
    <w:rsid w:val="00433805"/>
    <w:rsid w:val="00454D20"/>
    <w:rsid w:val="00465285"/>
    <w:rsid w:val="00471408"/>
    <w:rsid w:val="004858E0"/>
    <w:rsid w:val="004934E9"/>
    <w:rsid w:val="004943C2"/>
    <w:rsid w:val="004A11A7"/>
    <w:rsid w:val="004C702F"/>
    <w:rsid w:val="004D495A"/>
    <w:rsid w:val="004E5975"/>
    <w:rsid w:val="004E790A"/>
    <w:rsid w:val="004F50FD"/>
    <w:rsid w:val="00500A03"/>
    <w:rsid w:val="005120E2"/>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67C98"/>
    <w:rsid w:val="00770971"/>
    <w:rsid w:val="00796CA8"/>
    <w:rsid w:val="00797305"/>
    <w:rsid w:val="007A7494"/>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06738"/>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23A9"/>
    <w:rsid w:val="00FD359E"/>
    <w:rsid w:val="00FD5F37"/>
    <w:rsid w:val="00FE0A17"/>
    <w:rsid w:val="00FE179F"/>
    <w:rsid w:val="00FF213A"/>
    <w:rsid w:val="00FF6E8F"/>
    <w:rsid w:val="79F06A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A499DB7-D129-4F63-8CE1-F403A57D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uiPriority="22" w:qFormat="1"/>
    <w:lsdException w:name="Emphasis" w:uiPriority="20" w:qFormat="1"/>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2">
    <w:name w:val="heading 2"/>
    <w:basedOn w:val="a"/>
    <w:next w:val="a0"/>
    <w:link w:val="20"/>
    <w:uiPriority w:val="99"/>
    <w:qFormat/>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0"/>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Chars="200" w:firstLine="420"/>
    </w:pPr>
  </w:style>
  <w:style w:type="paragraph" w:styleId="a4">
    <w:name w:val="annotation subject"/>
    <w:basedOn w:val="a5"/>
    <w:next w:val="a5"/>
    <w:link w:val="a6"/>
    <w:uiPriority w:val="99"/>
    <w:semiHidden/>
    <w:qFormat/>
    <w:rPr>
      <w:b/>
      <w:bCs/>
    </w:rPr>
  </w:style>
  <w:style w:type="paragraph" w:styleId="a5">
    <w:name w:val="annotation text"/>
    <w:basedOn w:val="a"/>
    <w:link w:val="a7"/>
    <w:uiPriority w:val="99"/>
    <w:semiHidden/>
    <w:qFormat/>
    <w:pPr>
      <w:jc w:val="left"/>
    </w:pPr>
  </w:style>
  <w:style w:type="paragraph" w:styleId="a8">
    <w:name w:val="Document Map"/>
    <w:basedOn w:val="a"/>
    <w:link w:val="a9"/>
    <w:uiPriority w:val="99"/>
    <w:semiHidden/>
    <w:pPr>
      <w:shd w:val="clear" w:color="auto" w:fill="000080"/>
    </w:pPr>
  </w:style>
  <w:style w:type="paragraph" w:styleId="aa">
    <w:name w:val="Body Text"/>
    <w:basedOn w:val="a"/>
    <w:link w:val="ab"/>
    <w:uiPriority w:val="99"/>
    <w:qFormat/>
    <w:pPr>
      <w:spacing w:after="120"/>
    </w:pPr>
  </w:style>
  <w:style w:type="paragraph" w:styleId="ac">
    <w:name w:val="Body Text Indent"/>
    <w:basedOn w:val="a"/>
    <w:link w:val="ad"/>
    <w:uiPriority w:val="9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e">
    <w:name w:val="Plain Text"/>
    <w:basedOn w:val="a"/>
    <w:link w:val="af"/>
    <w:uiPriority w:val="99"/>
    <w:rPr>
      <w:rFonts w:ascii="宋体" w:hAnsi="Courier New" w:cs="宋体"/>
    </w:rPr>
  </w:style>
  <w:style w:type="paragraph" w:styleId="af0">
    <w:name w:val="Date"/>
    <w:basedOn w:val="a"/>
    <w:next w:val="a"/>
    <w:link w:val="af1"/>
    <w:qFormat/>
    <w:rPr>
      <w:sz w:val="24"/>
      <w:szCs w:val="24"/>
    </w:rPr>
  </w:style>
  <w:style w:type="paragraph" w:styleId="21">
    <w:name w:val="Body Text Indent 2"/>
    <w:basedOn w:val="a"/>
    <w:link w:val="22"/>
    <w:uiPriority w:val="99"/>
    <w:qFormat/>
    <w:pPr>
      <w:spacing w:line="560" w:lineRule="exact"/>
      <w:ind w:firstLineChars="200" w:firstLine="480"/>
    </w:pPr>
    <w:rPr>
      <w:rFonts w:ascii="宋体" w:hAnsi="宋体" w:cs="宋体"/>
      <w:color w:val="FF0000"/>
      <w:sz w:val="24"/>
      <w:szCs w:val="24"/>
    </w:rPr>
  </w:style>
  <w:style w:type="paragraph" w:styleId="af2">
    <w:name w:val="Balloon Text"/>
    <w:basedOn w:val="a"/>
    <w:link w:val="af3"/>
    <w:uiPriority w:val="99"/>
    <w:semiHidden/>
    <w:qFormat/>
    <w:rPr>
      <w:sz w:val="18"/>
      <w:szCs w:val="18"/>
    </w:rPr>
  </w:style>
  <w:style w:type="paragraph" w:styleId="af4">
    <w:name w:val="footer"/>
    <w:basedOn w:val="a"/>
    <w:link w:val="af5"/>
    <w:uiPriority w:val="99"/>
    <w:qFormat/>
    <w:pPr>
      <w:tabs>
        <w:tab w:val="center" w:pos="4153"/>
        <w:tab w:val="right" w:pos="8306"/>
      </w:tabs>
      <w:snapToGrid w:val="0"/>
      <w:jc w:val="left"/>
    </w:pPr>
    <w:rPr>
      <w:sz w:val="18"/>
      <w:szCs w:val="18"/>
    </w:rPr>
  </w:style>
  <w:style w:type="paragraph" w:styleId="af6">
    <w:name w:val="header"/>
    <w:basedOn w:val="a"/>
    <w:link w:val="af7"/>
    <w:uiPriority w:val="99"/>
    <w:pPr>
      <w:pBdr>
        <w:bottom w:val="single" w:sz="6" w:space="1" w:color="auto"/>
      </w:pBdr>
      <w:tabs>
        <w:tab w:val="center" w:pos="4153"/>
        <w:tab w:val="right" w:pos="8306"/>
      </w:tabs>
      <w:snapToGrid w:val="0"/>
      <w:jc w:val="center"/>
    </w:pPr>
    <w:rPr>
      <w:sz w:val="18"/>
      <w:szCs w:val="18"/>
    </w:rPr>
  </w:style>
  <w:style w:type="paragraph" w:styleId="af8">
    <w:name w:val="List"/>
    <w:basedOn w:val="aa"/>
    <w:uiPriority w:val="99"/>
    <w:pPr>
      <w:spacing w:after="220" w:line="220" w:lineRule="atLeast"/>
      <w:ind w:left="1440" w:hanging="360"/>
    </w:pPr>
  </w:style>
  <w:style w:type="paragraph" w:styleId="af9">
    <w:name w:val="footnote text"/>
    <w:basedOn w:val="a"/>
    <w:link w:val="afa"/>
    <w:pPr>
      <w:snapToGrid w:val="0"/>
      <w:jc w:val="left"/>
    </w:pPr>
    <w:rPr>
      <w:sz w:val="18"/>
      <w:szCs w:val="18"/>
    </w:rPr>
  </w:style>
  <w:style w:type="paragraph" w:styleId="31">
    <w:name w:val="Body Text Indent 3"/>
    <w:basedOn w:val="a"/>
    <w:link w:val="32"/>
    <w:uiPriority w:val="99"/>
    <w:pPr>
      <w:spacing w:line="560" w:lineRule="exact"/>
      <w:ind w:firstLineChars="200" w:firstLine="420"/>
    </w:pPr>
    <w:rPr>
      <w:rFonts w:ascii="Arial" w:hAnsi="Arial" w:cs="Arial"/>
      <w:color w:val="FF0000"/>
    </w:rPr>
  </w:style>
  <w:style w:type="paragraph" w:styleId="afb">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11">
    <w:name w:val="index 1"/>
    <w:basedOn w:val="a"/>
    <w:next w:val="a"/>
    <w:uiPriority w:val="99"/>
    <w:semiHidden/>
    <w:qFormat/>
    <w:pPr>
      <w:jc w:val="right"/>
    </w:pPr>
    <w:rPr>
      <w:color w:val="008000"/>
    </w:rPr>
  </w:style>
  <w:style w:type="paragraph" w:styleId="afc">
    <w:name w:val="Title"/>
    <w:basedOn w:val="a"/>
    <w:next w:val="a"/>
    <w:link w:val="afd"/>
    <w:uiPriority w:val="99"/>
    <w:qFormat/>
    <w:pPr>
      <w:spacing w:before="240" w:after="60"/>
      <w:jc w:val="center"/>
      <w:outlineLvl w:val="0"/>
    </w:pPr>
    <w:rPr>
      <w:rFonts w:ascii="Cambria" w:hAnsi="Cambria" w:cs="Cambria"/>
      <w:b/>
      <w:bCs/>
      <w:sz w:val="32"/>
      <w:szCs w:val="32"/>
    </w:rPr>
  </w:style>
  <w:style w:type="character" w:styleId="afe">
    <w:name w:val="Strong"/>
    <w:basedOn w:val="a1"/>
    <w:uiPriority w:val="22"/>
    <w:qFormat/>
    <w:rPr>
      <w:b/>
      <w:bCs/>
    </w:rPr>
  </w:style>
  <w:style w:type="character" w:styleId="aff">
    <w:name w:val="page number"/>
    <w:basedOn w:val="a1"/>
    <w:uiPriority w:val="99"/>
  </w:style>
  <w:style w:type="character" w:styleId="aff0">
    <w:name w:val="FollowedHyperlink"/>
    <w:basedOn w:val="a1"/>
    <w:uiPriority w:val="99"/>
    <w:qFormat/>
    <w:rPr>
      <w:color w:val="800080"/>
      <w:u w:val="single"/>
    </w:rPr>
  </w:style>
  <w:style w:type="character" w:styleId="aff1">
    <w:name w:val="Hyperlink"/>
    <w:basedOn w:val="a1"/>
    <w:uiPriority w:val="99"/>
    <w:rPr>
      <w:color w:val="0000FF"/>
      <w:u w:val="single"/>
    </w:rPr>
  </w:style>
  <w:style w:type="character" w:styleId="aff2">
    <w:name w:val="annotation reference"/>
    <w:basedOn w:val="a1"/>
    <w:uiPriority w:val="99"/>
    <w:semiHidden/>
    <w:qFormat/>
    <w:rPr>
      <w:sz w:val="21"/>
      <w:szCs w:val="21"/>
    </w:rPr>
  </w:style>
  <w:style w:type="character" w:styleId="aff3">
    <w:name w:val="footnote reference"/>
    <w:basedOn w:val="a1"/>
    <w:rPr>
      <w:vertAlign w:val="superscript"/>
    </w:rPr>
  </w:style>
  <w:style w:type="table" w:styleId="aff4">
    <w:name w:val="Table Grid"/>
    <w:basedOn w:val="a2"/>
    <w:uiPriority w:val="99"/>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1"/>
    <w:link w:val="1"/>
    <w:uiPriority w:val="99"/>
    <w:rPr>
      <w:rFonts w:ascii="Times New Roman" w:eastAsia="宋体" w:hAnsi="Times New Roman" w:cs="Times New Roman"/>
      <w:b/>
      <w:bCs/>
      <w:kern w:val="44"/>
      <w:sz w:val="44"/>
      <w:szCs w:val="44"/>
    </w:rPr>
  </w:style>
  <w:style w:type="character" w:customStyle="1" w:styleId="20">
    <w:name w:val="标题 2 字符"/>
    <w:basedOn w:val="a1"/>
    <w:link w:val="2"/>
    <w:uiPriority w:val="99"/>
    <w:rPr>
      <w:rFonts w:ascii="Arial" w:eastAsia="宋体" w:hAnsi="Arial" w:cs="Arial"/>
      <w:b/>
      <w:bCs/>
      <w:sz w:val="24"/>
      <w:szCs w:val="24"/>
    </w:rPr>
  </w:style>
  <w:style w:type="character" w:customStyle="1" w:styleId="30">
    <w:name w:val="标题 3 字符"/>
    <w:basedOn w:val="a1"/>
    <w:link w:val="3"/>
    <w:uiPriority w:val="99"/>
    <w:rPr>
      <w:rFonts w:ascii="Times New Roman" w:eastAsia="宋体" w:hAnsi="Times New Roman" w:cs="Times New Roman"/>
      <w:b/>
      <w:bCs/>
      <w:sz w:val="32"/>
      <w:szCs w:val="32"/>
    </w:rPr>
  </w:style>
  <w:style w:type="character" w:customStyle="1" w:styleId="ad">
    <w:name w:val="正文文本缩进 字符"/>
    <w:basedOn w:val="a1"/>
    <w:link w:val="ac"/>
    <w:uiPriority w:val="99"/>
    <w:rPr>
      <w:rFonts w:ascii="Arial Unicode MS" w:eastAsia="Arial Unicode MS" w:hAnsi="Arial Unicode MS" w:cs="Arial Unicode MS"/>
      <w:kern w:val="0"/>
      <w:sz w:val="24"/>
      <w:szCs w:val="24"/>
    </w:rPr>
  </w:style>
  <w:style w:type="character" w:customStyle="1" w:styleId="af">
    <w:name w:val="纯文本 字符"/>
    <w:basedOn w:val="a1"/>
    <w:link w:val="ae"/>
    <w:uiPriority w:val="99"/>
    <w:rPr>
      <w:rFonts w:ascii="宋体" w:eastAsia="宋体" w:hAnsi="Courier New" w:cs="宋体"/>
      <w:szCs w:val="21"/>
    </w:rPr>
  </w:style>
  <w:style w:type="character" w:customStyle="1" w:styleId="22">
    <w:name w:val="正文文本缩进 2 字符"/>
    <w:basedOn w:val="a1"/>
    <w:link w:val="21"/>
    <w:uiPriority w:val="99"/>
    <w:rPr>
      <w:rFonts w:ascii="宋体" w:eastAsia="宋体" w:hAnsi="宋体" w:cs="宋体"/>
      <w:color w:val="FF0000"/>
      <w:sz w:val="24"/>
      <w:szCs w:val="24"/>
    </w:rPr>
  </w:style>
  <w:style w:type="character" w:customStyle="1" w:styleId="af5">
    <w:name w:val="页脚 字符"/>
    <w:basedOn w:val="a1"/>
    <w:link w:val="af4"/>
    <w:uiPriority w:val="99"/>
    <w:rPr>
      <w:rFonts w:ascii="Times New Roman" w:eastAsia="宋体" w:hAnsi="Times New Roman" w:cs="Times New Roman"/>
      <w:sz w:val="18"/>
      <w:szCs w:val="18"/>
    </w:rPr>
  </w:style>
  <w:style w:type="character" w:customStyle="1" w:styleId="32">
    <w:name w:val="正文文本缩进 3 字符"/>
    <w:basedOn w:val="a1"/>
    <w:link w:val="31"/>
    <w:uiPriority w:val="99"/>
    <w:rPr>
      <w:rFonts w:ascii="Arial" w:eastAsia="宋体" w:hAnsi="Arial" w:cs="Arial"/>
      <w:color w:val="FF0000"/>
      <w:szCs w:val="21"/>
    </w:rPr>
  </w:style>
  <w:style w:type="character" w:customStyle="1" w:styleId="af7">
    <w:name w:val="页眉 字符"/>
    <w:basedOn w:val="a1"/>
    <w:link w:val="af6"/>
    <w:uiPriority w:val="99"/>
    <w:rPr>
      <w:rFonts w:ascii="Times New Roman" w:eastAsia="宋体" w:hAnsi="Times New Roman" w:cs="Times New Roman"/>
      <w:sz w:val="18"/>
      <w:szCs w:val="18"/>
    </w:rPr>
  </w:style>
  <w:style w:type="character" w:customStyle="1" w:styleId="ab">
    <w:name w:val="正文文本 字符"/>
    <w:basedOn w:val="a1"/>
    <w:link w:val="aa"/>
    <w:uiPriority w:val="99"/>
    <w:qFormat/>
    <w:rPr>
      <w:rFonts w:ascii="Times New Roman" w:eastAsia="宋体" w:hAnsi="Times New Roman" w:cs="Times New Roman"/>
      <w:szCs w:val="21"/>
    </w:rPr>
  </w:style>
  <w:style w:type="character" w:customStyle="1" w:styleId="af1">
    <w:name w:val="日期 字符"/>
    <w:basedOn w:val="a1"/>
    <w:link w:val="af0"/>
    <w:qFormat/>
    <w:rPr>
      <w:rFonts w:ascii="Times New Roman" w:eastAsia="宋体" w:hAnsi="Times New Roman" w:cs="Times New Roman"/>
      <w:sz w:val="24"/>
      <w:szCs w:val="24"/>
    </w:rPr>
  </w:style>
  <w:style w:type="character" w:customStyle="1" w:styleId="c1">
    <w:name w:val="c1"/>
    <w:basedOn w:val="a1"/>
    <w:uiPriority w:val="99"/>
    <w:qFormat/>
    <w:rPr>
      <w:color w:val="000000"/>
      <w:sz w:val="18"/>
      <w:szCs w:val="18"/>
    </w:rPr>
  </w:style>
  <w:style w:type="paragraph" w:customStyle="1" w:styleId="font5">
    <w:name w:val="font5"/>
    <w:basedOn w:val="a"/>
    <w:uiPriority w:val="99"/>
    <w:qFormat/>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character" w:customStyle="1" w:styleId="af3">
    <w:name w:val="批注框文本 字符"/>
    <w:basedOn w:val="a1"/>
    <w:link w:val="af2"/>
    <w:uiPriority w:val="99"/>
    <w:semiHidden/>
    <w:qFormat/>
    <w:rPr>
      <w:rFonts w:ascii="Times New Roman" w:eastAsia="宋体" w:hAnsi="Times New Roman" w:cs="Times New Roman"/>
      <w:sz w:val="18"/>
      <w:szCs w:val="18"/>
    </w:rPr>
  </w:style>
  <w:style w:type="character" w:customStyle="1" w:styleId="a7">
    <w:name w:val="批注文字 字符"/>
    <w:basedOn w:val="a1"/>
    <w:link w:val="a5"/>
    <w:uiPriority w:val="99"/>
    <w:semiHidden/>
    <w:qFormat/>
    <w:rPr>
      <w:rFonts w:ascii="Times New Roman" w:eastAsia="宋体" w:hAnsi="Times New Roman" w:cs="Times New Roman"/>
      <w:szCs w:val="21"/>
    </w:rPr>
  </w:style>
  <w:style w:type="character" w:customStyle="1" w:styleId="a6">
    <w:name w:val="批注主题 字符"/>
    <w:basedOn w:val="a7"/>
    <w:link w:val="a4"/>
    <w:uiPriority w:val="99"/>
    <w:semiHidden/>
    <w:qFormat/>
    <w:rPr>
      <w:rFonts w:ascii="Times New Roman" w:eastAsia="宋体" w:hAnsi="Times New Roman" w:cs="Times New Roman"/>
      <w:b/>
      <w:bCs/>
      <w:szCs w:val="21"/>
    </w:rPr>
  </w:style>
  <w:style w:type="paragraph" w:customStyle="1" w:styleId="Char">
    <w:name w:val="Char"/>
    <w:basedOn w:val="a"/>
    <w:uiPriority w:val="99"/>
    <w:qFormat/>
  </w:style>
  <w:style w:type="character" w:customStyle="1" w:styleId="a9">
    <w:name w:val="文档结构图 字符"/>
    <w:basedOn w:val="a1"/>
    <w:link w:val="a8"/>
    <w:uiPriority w:val="99"/>
    <w:semiHidden/>
    <w:rPr>
      <w:rFonts w:ascii="Times New Roman" w:eastAsia="宋体" w:hAnsi="Times New Roman" w:cs="Times New Roman"/>
      <w:szCs w:val="21"/>
      <w:shd w:val="clear" w:color="auto" w:fill="000080"/>
    </w:rPr>
  </w:style>
  <w:style w:type="paragraph" w:customStyle="1" w:styleId="aff5">
    <w:name w:val="正文 + (符号) 宋体"/>
    <w:basedOn w:val="a"/>
    <w:uiPriority w:val="99"/>
    <w:pPr>
      <w:autoSpaceDE w:val="0"/>
      <w:autoSpaceDN w:val="0"/>
      <w:adjustRightInd w:val="0"/>
      <w:ind w:rightChars="671" w:right="1409" w:firstLineChars="512" w:firstLine="1229"/>
      <w:jc w:val="distribute"/>
    </w:pPr>
    <w:rPr>
      <w:sz w:val="24"/>
      <w:szCs w:val="24"/>
    </w:rPr>
  </w:style>
  <w:style w:type="character" w:customStyle="1" w:styleId="afa">
    <w:name w:val="脚注文本 字符"/>
    <w:basedOn w:val="a1"/>
    <w:link w:val="af9"/>
    <w:rPr>
      <w:rFonts w:ascii="Times New Roman" w:eastAsia="宋体" w:hAnsi="Times New Roman" w:cs="Times New Roman"/>
      <w:sz w:val="18"/>
      <w:szCs w:val="18"/>
    </w:rPr>
  </w:style>
  <w:style w:type="paragraph" w:customStyle="1" w:styleId="Char1">
    <w:name w:val="Char1"/>
    <w:basedOn w:val="a"/>
    <w:uiPriority w:val="99"/>
  </w:style>
  <w:style w:type="paragraph" w:customStyle="1" w:styleId="CharCharCharCharCharChar1CharCharChar">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type="character" w:customStyle="1" w:styleId="afd">
    <w:name w:val="标题 字符"/>
    <w:basedOn w:val="a1"/>
    <w:link w:val="afc"/>
    <w:uiPriority w:val="99"/>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type="paragraph" w:customStyle="1" w:styleId="12">
    <w:name w:val="无间隔1"/>
    <w:link w:val="Char0"/>
    <w:uiPriority w:val="1"/>
    <w:qFormat/>
    <w:rPr>
      <w:rFonts w:ascii="Calibri" w:eastAsia="宋体" w:hAnsi="Calibri" w:cs="Calibri"/>
      <w:sz w:val="22"/>
      <w:szCs w:val="22"/>
    </w:rPr>
  </w:style>
  <w:style w:type="character" w:customStyle="1" w:styleId="Char0">
    <w:name w:val="无间隔 Char"/>
    <w:basedOn w:val="a1"/>
    <w:link w:val="12"/>
    <w:uiPriority w:val="1"/>
    <w:locked/>
    <w:rPr>
      <w:rFonts w:ascii="Calibri" w:eastAsia="宋体" w:hAnsi="Calibri" w:cs="Calibri"/>
      <w:kern w:val="0"/>
      <w:sz w:val="22"/>
    </w:rPr>
  </w:style>
  <w:style w:type="character" w:customStyle="1" w:styleId="t1">
    <w:name w:val="t1"/>
    <w:basedOn w:val="a1"/>
    <w:uiPriority w:val="99"/>
    <w:rPr>
      <w:color w:val="auto"/>
    </w:rPr>
  </w:style>
  <w:style w:type="paragraph" w:customStyle="1" w:styleId="13">
    <w:name w:val="列表段落1"/>
    <w:basedOn w:val="a"/>
    <w:uiPriority w:val="34"/>
    <w:qFormat/>
    <w:pPr>
      <w:ind w:firstLineChars="200" w:firstLine="420"/>
    </w:pPr>
  </w:style>
  <w:style w:type="paragraph" w:customStyle="1" w:styleId="Default">
    <w:name w:val="Default"/>
    <w:pPr>
      <w:widowControl w:val="0"/>
      <w:autoSpaceDE w:val="0"/>
      <w:autoSpaceDN w:val="0"/>
      <w:adjustRightInd w:val="0"/>
    </w:pPr>
    <w:rPr>
      <w:rFonts w:ascii="仿宋" w:eastAsia="宋体"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91470">
      <w:bodyDiv w:val="1"/>
      <w:marLeft w:val="0"/>
      <w:marRight w:val="0"/>
      <w:marTop w:val="0"/>
      <w:marBottom w:val="0"/>
      <w:divBdr>
        <w:top w:val="none" w:sz="0" w:space="0" w:color="auto"/>
        <w:left w:val="none" w:sz="0" w:space="0" w:color="auto"/>
        <w:bottom w:val="none" w:sz="0" w:space="0" w:color="auto"/>
        <w:right w:val="none" w:sz="0" w:space="0" w:color="auto"/>
      </w:divBdr>
    </w:div>
    <w:div w:id="1408696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67F228-2FA4-4E73-BE24-B2DACB4BB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13</Pages>
  <Words>1073</Words>
  <Characters>6120</Characters>
  <Application>Microsoft Office Word</Application>
  <DocSecurity>0</DocSecurity>
  <Lines>51</Lines>
  <Paragraphs>14</Paragraphs>
  <ScaleCrop>false</ScaleCrop>
  <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Olivia.Gu@FA</cp:lastModifiedBy>
  <cp:revision>268</cp:revision>
  <dcterms:created xsi:type="dcterms:W3CDTF">2012-10-16T06:07:00Z</dcterms:created>
  <dcterms:modified xsi:type="dcterms:W3CDTF">2021-04-21T08:33:00Z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