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14:paraId="44C15BAA"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48E65E7A"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48C3405E"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05892C05"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7A6A756F"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61281750" w14:textId="77777777" w:rsidR="00D06738" w:rsidRDefault="00454D20">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
      </w:r>
      <w:proofErr w:type="spellStart"/>
      <w:r>
        <w:rPr>
          <w:rFonts w:asciiTheme="minorEastAsia" w:eastAsiaTheme="minorEastAsia" w:hAnsiTheme="minorEastAsia"/>
          <w:b/>
          <w:color w:themeColor="text1" w:val="000000"/>
          <w:sz w:val="36"/>
          <w:szCs w:val="36"/>
        </w:rPr>
        <w:t/>
      </w:r>
      <w:r>
        <w:rPr>
          <w:rFonts w:asciiTheme="minorEastAsia" w:eastAsiaTheme="minorEastAsia" w:hAnsiTheme="minorEastAsia" w:hint="eastAsia"/>
          <w:b/>
          <w:color w:themeColor="text1" w:val="000000"/>
          <w:sz w:val="36"/>
          <w:szCs w:val="36"/>
        </w:rPr>
        <w:t/>
      </w:r>
      <w:r>
        <w:rPr>
          <w:rFonts w:asciiTheme="minorEastAsia" w:eastAsiaTheme="minorEastAsia" w:hAnsiTheme="minorEastAsia"/>
          <w:b/>
          <w:color w:themeColor="text1" w:val="000000"/>
          <w:sz w:val="36"/>
          <w:szCs w:val="36"/>
        </w:rPr>
        <w:t/>
      </w:r>
      <w:proofErr w:type="spellEnd"/>
      <w:r>
        <w:rPr>
          <w:rFonts w:asciiTheme="minorEastAsia" w:eastAsiaTheme="minorEastAsia" w:hAnsiTheme="minorEastAsia" w:hint="eastAsia"/>
          <w:b/>
          <w:color w:themeColor="text1" w:val="000000"/>
          <w:sz w:val="36"/>
          <w:szCs w:val="36"/>
        </w:rPr>
        <w:t>上投摩根中小盘混合型证券投资基金</w:t>
      </w:r>
    </w:p>
    <w:p w14:paraId="5A1338CB" w14:textId="77777777" w:rsidR="00D06738" w:rsidRDefault="00454D20">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
      </w:r>
      <w:proofErr w:type="spellStart"/>
      <w:r>
        <w:rPr>
          <w:rFonts w:asciiTheme="minorEastAsia" w:eastAsiaTheme="minorEastAsia" w:hAnsiTheme="minorEastAsia" w:hint="eastAsia"/>
          <w:b/>
          <w:color w:themeColor="text1" w:val="000000"/>
          <w:sz w:val="36"/>
          <w:szCs w:val="36"/>
        </w:rPr>
        <w:t/>
      </w:r>
      <w:proofErr w:type="spellEnd"/>
      <w:r>
        <w:rPr>
          <w:rFonts w:asciiTheme="minorEastAsia" w:eastAsiaTheme="minorEastAsia" w:hAnsiTheme="minorEastAsia" w:hint="eastAsia"/>
          <w:b/>
          <w:color w:themeColor="text1" w:val="000000"/>
          <w:sz w:val="36"/>
          <w:szCs w:val="36"/>
        </w:rPr>
        <w:t>2020年第4季度报告</w:t>
      </w:r>
    </w:p>
    <w:p w14:paraId="2E76B0B1" w14:textId="77777777" w:rsidR="00D06738" w:rsidRDefault="00454D20">
      <w:pPr>
        <w:spacing w:line="360" w:lineRule="auto"/>
        <w:jc w:val="center"/>
        <w:rPr>
          <w:rFonts w:asciiTheme="minorEastAsia" w:eastAsiaTheme="minorEastAsia" w:hAnsiTheme="minorEastAsia"/>
          <w:b/>
          <w:color w:themeColor="text1" w:val="000000"/>
          <w:sz w:val="24"/>
          <w:szCs w:val="24"/>
        </w:rPr>
      </w:pP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b/>
          <w:color w:themeColor="text1" w:val="000000"/>
          <w:sz w:val="24"/>
          <w:szCs w:val="24"/>
        </w:rPr>
        <w:t/>
      </w:r>
      <w:proofErr w:type="spellEnd"/>
      <w:r>
        <w:rPr>
          <w:rFonts w:asciiTheme="minorEastAsia" w:eastAsiaTheme="minorEastAsia" w:hAnsiTheme="minorEastAsia"/>
          <w:b/>
          <w:color w:themeColor="text1" w:val="000000"/>
          <w:sz w:val="24"/>
          <w:szCs w:val="24"/>
        </w:rPr>
        <w:t>2020年12月31日</w:t>
      </w:r>
    </w:p>
    <w:p w14:paraId="1A655430"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3C5B7FC4"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1D41633D"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7088D740"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4CB6A604"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160BB35C"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59EC83F9"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18FC018"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2C95459"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0B5CF4B"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39DE5ED7"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22E93BD8"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8A989DC"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4B1AA632" w14:textId="77777777" w:rsidR="00D06738" w:rsidRDefault="00D06738">
      <w:pPr>
        <w:spacing w:line="360" w:lineRule="auto"/>
        <w:rPr>
          <w:rFonts w:asciiTheme="minorEastAsia" w:eastAsiaTheme="minorEastAsia" w:hAnsiTheme="minorEastAsia"/>
          <w:b/>
          <w:bCs/>
          <w:color w:themeColor="text1" w:val="000000"/>
          <w:sz w:val="24"/>
          <w:szCs w:val="24"/>
        </w:rPr>
      </w:pPr>
    </w:p>
    <w:p w14:paraId="5866ADDF" w14:textId="77777777" w:rsidR="00D06738" w:rsidRDefault="00454D20">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基金管理人：</w:t>
      </w: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b/>
          <w:color w:themeColor="text1" w:val="000000"/>
          <w:sz w:val="24"/>
          <w:szCs w:val="24"/>
        </w:rPr>
        <w:t/>
      </w:r>
      <w:proofErr w:type="spellEnd"/>
      <w:r>
        <w:rPr>
          <w:rFonts w:asciiTheme="minorEastAsia" w:eastAsiaTheme="minorEastAsia" w:hAnsiTheme="minorEastAsia"/>
          <w:b/>
          <w:color w:themeColor="text1" w:val="000000"/>
          <w:sz w:val="24"/>
          <w:szCs w:val="24"/>
        </w:rPr>
        <w:t>上投摩根基金管理有限公司</w:t>
      </w:r>
    </w:p>
    <w:p w14:paraId="76291874" w14:textId="77777777" w:rsidR="00D06738" w:rsidRDefault="00454D20">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基金托管人：</w:t>
      </w: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b/>
          <w:color w:themeColor="text1" w:val="000000"/>
          <w:sz w:val="24"/>
          <w:szCs w:val="24"/>
        </w:rPr>
        <w:t/>
      </w:r>
      <w:proofErr w:type="spellEnd"/>
      <w:r>
        <w:rPr>
          <w:rFonts w:asciiTheme="minorEastAsia" w:eastAsiaTheme="minorEastAsia" w:hAnsiTheme="minorEastAsia"/>
          <w:b/>
          <w:color w:themeColor="text1" w:val="000000"/>
          <w:sz w:val="24"/>
          <w:szCs w:val="24"/>
        </w:rPr>
        <w:t>中国建设银行股份有限公司</w:t>
      </w:r>
    </w:p>
    <w:p w14:paraId="219C0F2E" w14:textId="77777777" w:rsidR="00D06738" w:rsidRDefault="00454D20">
      <w:pPr>
        <w:spacing w:line="360" w:lineRule="auto"/>
        <w:ind w:firstLine="2168" w:firstLineChars="900"/>
        <w:rPr>
          <w:rFonts w:asciiTheme="minorEastAsia" w:eastAsiaTheme="minorEastAsia" w:hAnsiTheme="minorEastAsia"/>
          <w:b/>
          <w:color w:themeColor="text1" w:val="000000"/>
          <w:sz w:val="24"/>
          <w:szCs w:val="24"/>
        </w:rPr>
        <w:sectPr w:rsidR="00D06738">
          <w:headerReference r:id="rId8" w:type="default"/>
          <w:footerReference r:id="rId9" w:type="default"/>
          <w:pgSz w:h="15840" w:w="11926"/>
          <w:pgMar w:bottom="851" w:footer="992" w:gutter="0" w:header="851" w:left="1418" w:right="1418" w:top="1418"/>
          <w:cols w:space="720"/>
        </w:sectPr>
      </w:pPr>
      <w:r>
        <w:rPr>
          <w:rFonts w:asciiTheme="minorEastAsia" w:eastAsiaTheme="minorEastAsia" w:hAnsiTheme="minorEastAsia" w:hint="eastAsia"/>
          <w:b/>
          <w:color w:themeColor="text1" w:val="000000"/>
          <w:sz w:val="24"/>
          <w:szCs w:val="24"/>
        </w:rPr>
        <w:t>报告送出日期：</w:t>
      </w: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hint="eastAsia"/>
          <w:b/>
          <w:color w:themeColor="text1" w:val="000000"/>
          <w:sz w:val="24"/>
          <w:szCs w:val="24"/>
        </w:rPr>
        <w:t/>
      </w:r>
      <w:proofErr w:type="spellEnd"/>
      <w:r>
        <w:rPr>
          <w:rFonts w:asciiTheme="minorEastAsia" w:eastAsiaTheme="minorEastAsia" w:hAnsiTheme="minorEastAsia"/>
          <w:b/>
          <w:color w:themeColor="text1" w:val="000000"/>
          <w:sz w:val="24"/>
          <w:szCs w:val="24"/>
        </w:rPr>
        <w:t>二〇二一年一月二十二日</w:t>
      </w:r>
    </w:p>
    <w:p w14:paraId="7AFF270F" w14:textId="77777777" w:rsidR="00D06738" w:rsidRDefault="00454D20">
      <w:pPr>
        <w:pStyle w:val="1"/>
        <w:spacing w:after="312" w:afterLines="100" w:before="312" w:beforeLines="100" w:line="360" w:lineRule="auto"/>
        <w:jc w:val="center"/>
        <w:rPr>
          <w:rFonts w:asciiTheme="minorEastAsia" w:eastAsiaTheme="minorEastAsia" w:hAnsiTheme="minorEastAsia"/>
          <w:b w:val="0"/>
          <w:bCs w:val="0"/>
          <w:color w:themeColor="text1" w:val="000000"/>
          <w:kern w:val="0"/>
          <w:sz w:val="24"/>
          <w:szCs w:val="24"/>
        </w:rPr>
      </w:pPr>
      <w:r>
        <w:rPr>
          <w:rFonts w:asciiTheme="minorEastAsia" w:eastAsiaTheme="minorEastAsia" w:hAnsiTheme="minorEastAsia" w:hint="eastAsia"/>
          <w:color w:themeColor="text1" w:val="000000"/>
          <w:kern w:val="0"/>
          <w:sz w:val="24"/>
          <w:szCs w:val="24"/>
        </w:rPr>
        <w:lastRenderedPageBreak/>
        <w:t>§</w:t>
      </w:r>
      <w:r>
        <w:rPr>
          <w:rFonts w:asciiTheme="minorEastAsia" w:eastAsiaTheme="minorEastAsia" w:hAnsiTheme="minorEastAsia"/>
          <w:color w:themeColor="text1" w:val="000000"/>
          <w:kern w:val="0"/>
          <w:sz w:val="24"/>
          <w:szCs w:val="24"/>
        </w:rPr>
        <w:t xml:space="preserve">1  </w:t>
      </w:r>
      <w:r>
        <w:rPr>
          <w:rFonts w:asciiTheme="minorEastAsia" w:eastAsiaTheme="minorEastAsia" w:hAnsiTheme="minorEastAsia" w:hint="eastAsia"/>
          <w:color w:themeColor="text1" w:val="000000"/>
          <w:kern w:val="0"/>
          <w:sz w:val="24"/>
          <w:szCs w:val="24"/>
        </w:rPr>
        <w:t>重要提示</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基金托管人中国建设银行股份有限公司根据本基金合同规定，于2021年1月21日复核了本报告中的财务指标、净值表现和投资组合报告等内容，保证复核内容不存在虚假记载、误导性陈述或者重大遗漏。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基金管理人承诺以诚实信用、勤勉尽责的原则管理和运用基金资产，但不保证基金一定盈利。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基金的过往业绩并不代表其未来表现。投资有风险，投资者在作出投资决策前应仔细阅读本基金的招募说明书。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本报告中财务资料未经审计。</w:t>
      </w:r>
    </w:p>
    <w:p w14:paraId="298A5200"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本报告期自2020年10月1日起至12月31日止。</w:t>
      </w:r>
    </w:p>
    <w:p w14:paraId="3A78A50A"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2  </w:t>
      </w:r>
      <w:r>
        <w:rPr>
          <w:rFonts w:asciiTheme="minorEastAsia" w:eastAsiaTheme="minorEastAsia" w:hAnsiTheme="minorEastAsia" w:hint="eastAsia"/>
          <w:color w:themeColor="text1" w:val="000000"/>
          <w:kern w:val="0"/>
          <w:sz w:val="24"/>
          <w:szCs w:val="24"/>
        </w:rPr>
        <w:t>基金产品概况</w:t>
      </w:r>
    </w:p>
    <w:tbl>
      <w:tblPr>
        <w:tblW w:type="dxa" w:w="831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2835"/>
        <w:gridCol w:w="2739"/>
        <w:gridCol w:w="2740"/>
      </w:tblGrid>
      <w:tr w14:paraId="0D826A0C" w14:textId="77777777" w:rsidR="00D06738">
        <w:tc>
          <w:tcPr>
            <w:tcW w:type="dxa" w:w="2835"/>
            <w:vAlign w:val="center"/>
          </w:tcPr>
          <w:p w14:paraId="41603EB5"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基金简称</w:t>
            </w:r>
          </w:p>
        </w:tc>
        <w:tc>
          <w:tcPr>
            <w:tcW w:type="dxa" w:w="5479"/>
            <w:gridSpan w:val="2"/>
            <w:vAlign w:val="center"/>
          </w:tcPr>
          <w:p w14:paraId="245289EF"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上投摩根中小盘混合</w:t>
            </w:r>
          </w:p>
        </w:tc>
      </w:tr>
      <w:tr w14:paraId="6487C456" w14:textId="77777777" w:rsidR="00D06738">
        <w:tc>
          <w:tcPr>
            <w:tcW w:type="dxa" w:w="2835"/>
            <w:tcBorders>
              <w:top w:color="auto" w:space="0" w:sz="4" w:val="single"/>
              <w:left w:color="auto" w:space="0" w:sz="4" w:val="single"/>
              <w:bottom w:color="auto" w:space="0" w:sz="4" w:val="single"/>
              <w:right w:color="auto" w:space="0" w:sz="4" w:val="single"/>
            </w:tcBorders>
            <w:vAlign w:val="center"/>
          </w:tcPr>
          <w:p w14:paraId="6BDFC5CF" w14:textId="77777777" w:rsidR="00D06738" w:rsidRDefault="00454D20">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基金主代码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14:paraId="02B49369"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
            </w:r>
            <w:proofErr w:type="spellStart"/>
            <w:r>
              <w:rPr>
                <w:rFonts w:asciiTheme="minorEastAsia" w:eastAsiaTheme="minorEastAsia" w:hAnsiTheme="minorEastAsia" w:hint="eastAsia"/>
                <w:color w:themeColor="text1" w:val="000000"/>
                <w:kern w:val="0"/>
              </w:rPr>
              <w:t/>
            </w:r>
            <w:proofErr w:type="spellEnd"/>
            <w:r>
              <w:rPr>
                <w:rFonts w:asciiTheme="minorEastAsia" w:eastAsiaTheme="minorEastAsia" w:hAnsiTheme="minorEastAsia" w:hint="eastAsia"/>
                <w:color w:themeColor="text1" w:val="000000"/>
                <w:kern w:val="0"/>
              </w:rPr>
              <w:t>379010</w:t>
            </w:r>
          </w:p>
        </w:tc>
      </w:tr>
      <w:tr w14:paraId="2443AB88" w14:textId="77777777" w:rsidR="00D06738">
        <w:tc>
          <w:tcPr>
            <w:tcW w:type="dxa" w:w="2835"/>
            <w:tcBorders>
              <w:top w:color="auto" w:space="0" w:sz="4" w:val="single"/>
              <w:left w:color="auto" w:space="0" w:sz="4" w:val="single"/>
              <w:bottom w:color="auto" w:space="0" w:sz="4" w:val="single"/>
              <w:right w:color="auto" w:space="0" w:sz="4" w:val="single"/>
            </w:tcBorders>
            <w:vAlign w:val="center"/>
          </w:tcPr>
          <w:p w14:paraId="478402FE" w14:textId="77777777" w:rsidR="00D06738" w:rsidRDefault="00454D20">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交易代码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14:paraId="2E739C65"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hint="eastAsia"/>
                <w:color w:themeColor="text1" w:val="000000"/>
                <w:kern w:val="0"/>
              </w:rPr>
              <w:t/>
            </w:r>
            <w:proofErr w:type="spellEnd"/>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hint="eastAsia"/>
                <w:color w:themeColor="text1" w:val="000000"/>
                <w:kern w:val="0"/>
              </w:rPr>
              <w:t/>
            </w:r>
            <w:proofErr w:type="gramStart"/>
            <w:r>
              <w:rPr>
                <w:rFonts w:asciiTheme="minorEastAsia" w:cs="宋体" w:eastAsiaTheme="minorEastAsia" w:hAnsiTheme="minorEastAsia" w:hint="eastAsia"/>
                <w:color w:themeColor="text1" w:val="000000"/>
                <w:kern w:val="0"/>
              </w:rPr>
              <w:t/>
            </w:r>
            <w:proofErr w:type="spellEnd"/>
            <w:r>
              <w:rPr>
                <w:rFonts w:asciiTheme="minorEastAsia" w:cs="宋体" w:eastAsiaTheme="minorEastAsia" w:hAnsiTheme="minorEastAsia" w:hint="eastAsia"/>
                <w:color w:themeColor="text1" w:val="000000"/>
                <w:kern w:val="0"/>
              </w:rPr>
              <w:t/>
            </w:r>
            <w:proofErr w:type="spellStart"/>
            <w:proofErr w:type="gramEnd"/>
            <w:r>
              <w:rPr>
                <w:rFonts w:asciiTheme="minorEastAsia" w:cs="宋体" w:eastAsiaTheme="minorEastAsia" w:hAnsiTheme="minorEastAsia" w:hint="eastAsia"/>
                <w:color w:themeColor="text1" w:val="000000"/>
                <w:kern w:val="0"/>
              </w:rPr>
              <w:t/>
            </w:r>
            <w:proofErr w:type="spellEnd"/>
            <w:r>
              <w:rPr>
                <w:rFonts w:asciiTheme="minorEastAsia" w:cs="宋体" w:eastAsiaTheme="minorEastAsia" w:hAnsiTheme="minorEastAsia" w:hint="eastAsia"/>
                <w:color w:themeColor="text1" w:val="000000"/>
                <w:kern w:val="0"/>
              </w:rPr>
              <w:t>379010</w:t>
            </w:r>
          </w:p>
        </w:tc>
      </w:tr>
      <w:tr w14:paraId="7AF1FD7C" w14:textId="77777777" w:rsidR="00D06738">
        <w:tc>
          <w:tcPr>
            <w:tcW w:type="dxa" w:w="2835"/>
            <w:vAlign w:val="center"/>
          </w:tcPr>
          <w:p w14:paraId="042D4F2C"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基金运作方式</w:t>
            </w:r>
          </w:p>
        </w:tc>
        <w:tc>
          <w:tcPr>
            <w:tcW w:type="dxa" w:w="5479"/>
            <w:gridSpan w:val="2"/>
            <w:vAlign w:val="center"/>
          </w:tcPr>
          <w:p w14:paraId="594303B4"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契约型开放式</w:t>
            </w:r>
          </w:p>
        </w:tc>
      </w:tr>
      <w:tr w14:paraId="5E254ABC" w14:textId="77777777" w:rsidR="00D06738">
        <w:tc>
          <w:tcPr>
            <w:tcW w:type="dxa" w:w="2835"/>
            <w:vAlign w:val="center"/>
          </w:tcPr>
          <w:p w14:paraId="309669DF"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基金合同生效日</w:t>
            </w:r>
          </w:p>
        </w:tc>
        <w:tc>
          <w:tcPr>
            <w:tcW w:type="dxa" w:w="5479"/>
            <w:gridSpan w:val="2"/>
            <w:vAlign w:val="center"/>
          </w:tcPr>
          <w:p w14:paraId="1568522D"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2009年1月21日</w:t>
            </w:r>
          </w:p>
        </w:tc>
      </w:tr>
      <w:tr w14:paraId="06DF9713" w14:textId="77777777" w:rsidR="00D06738">
        <w:tc>
          <w:tcPr>
            <w:tcW w:type="dxa" w:w="2835"/>
            <w:vAlign w:val="center"/>
          </w:tcPr>
          <w:p w14:paraId="57B0E596"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报告期末基金份额总额</w:t>
            </w:r>
          </w:p>
        </w:tc>
        <w:tc>
          <w:tcPr>
            <w:tcW w:type="dxa" w:w="5479"/>
            <w:gridSpan w:val="2"/>
            <w:vAlign w:val="center"/>
          </w:tcPr>
          <w:p w14:paraId="38649CC9"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218,932,062.75</w:t>
            </w:r>
            <w:r>
              <w:rPr>
                <w:rFonts w:asciiTheme="minorEastAsia" w:eastAsiaTheme="minorEastAsia" w:hAnsiTheme="minorEastAsia" w:hint="eastAsia"/>
                <w:color w:themeColor="text1" w:val="000000"/>
                <w:kern w:val="0"/>
              </w:rPr>
              <w:t>份</w:t>
            </w:r>
          </w:p>
        </w:tc>
      </w:tr>
      <w:tr w14:paraId="03D1AE98" w14:textId="77777777" w:rsidR="00D06738">
        <w:tc>
          <w:tcPr>
            <w:tcW w:type="dxa" w:w="2835"/>
            <w:vAlign w:val="center"/>
          </w:tcPr>
          <w:p w14:paraId="4AB37564"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投资目标</w:t>
            </w:r>
          </w:p>
        </w:tc>
        <w:tc>
          <w:tcPr>
            <w:tcW w:type="dxa" w:w="5479"/>
            <w:gridSpan w:val="2"/>
            <w:vAlign w:val="center"/>
          </w:tcPr>
          <w:p w14:paraId="61AB4DB9"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本基金重点投资于中国A股市场上的中小盘股票，通过缜密的资产配置原则和严格的行业个股选择，分享中国经济高速增长给优势中小市值上市公司带来的机遇，并积极运用战略和战术资产配置策略，动态优化投资组合，力求实现基金资产长期稳健增值。</w:t>
            </w:r>
          </w:p>
        </w:tc>
      </w:tr>
      <w:tr w14:paraId="0CFEC550" w14:textId="77777777" w:rsidR="00D06738">
        <w:tc>
          <w:tcPr>
            <w:tcW w:type="dxa" w:w="2835"/>
            <w:vAlign w:val="center"/>
          </w:tcPr>
          <w:p w14:paraId="1E239E6A"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投资策略</w:t>
            </w:r>
          </w:p>
        </w:tc>
        <w:tc>
          <w:tcPr>
            <w:tcW w:type="dxa" w:w="5479"/>
            <w:gridSpan w:val="2"/>
            <w:vAlign w:val="center"/>
          </w:tcPr>
          <w:p w14:paraId="57810DE4"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本基金充分借鉴摩根资产管理集团全球行之有效的投资理念和技术，运用 “自下而上”精选个股与“自上而下”资产配置相结合的投资策略，重点投资于具有行业优势、公司优势和估值优势的中小市值上市公司股票。同时结合市场研判，对相关资产类别的预期收益进行监控，动态调整股票、债券等大类资产配置。</w:t>
            </w:r>
          </w:p>
        </w:tc>
      </w:tr>
      <w:tr w14:paraId="43AD7C9F" w14:textId="77777777" w:rsidR="00D06738">
        <w:tc>
          <w:tcPr>
            <w:tcW w:type="dxa" w:w="2835"/>
            <w:vAlign w:val="center"/>
          </w:tcPr>
          <w:p w14:paraId="24E44D9B"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业绩比较基准</w:t>
            </w:r>
          </w:p>
        </w:tc>
        <w:tc>
          <w:tcPr>
            <w:tcW w:type="dxa" w:w="5479"/>
            <w:gridSpan w:val="2"/>
            <w:vAlign w:val="center"/>
          </w:tcPr>
          <w:p w14:paraId="6581E7FB"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40%×天相中盘指数收益率+40%×天相小盘指数收益率+ 20%×上证国债指数收益率</w:t>
            </w:r>
          </w:p>
        </w:tc>
      </w:tr>
      <w:tr w14:paraId="42EA0DB3" w14:textId="77777777" w:rsidR="00D06738">
        <w:tc>
          <w:tcPr>
            <w:tcW w:type="dxa" w:w="2835"/>
            <w:vAlign w:val="center"/>
          </w:tcPr>
          <w:p w14:paraId="7192C3F0"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风险收益特征</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本基金是混合型基金，预期收益及预期风险水平低于股票型基金，高于债券型基金和货币市场基金，属于较高预期收益和预期风险水平的投资品种。</w:t>
            </w:r>
          </w:p>
          <w:p w14:paraId="2673C8C6"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14:paraId="0A4AF1AB" w14:textId="77777777" w:rsidR="00D06738">
        <w:tc>
          <w:tcPr>
            <w:tcW w:type="dxa" w:w="2835"/>
            <w:vAlign w:val="center"/>
          </w:tcPr>
          <w:p w14:paraId="281C6797"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基金管理人</w:t>
            </w:r>
          </w:p>
        </w:tc>
        <w:tc>
          <w:tcPr>
            <w:tcW w:type="dxa" w:w="5479"/>
            <w:gridSpan w:val="2"/>
            <w:vAlign w:val="center"/>
          </w:tcPr>
          <w:p w14:paraId="64BEE458"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上投摩根基金管理有限公司</w:t>
            </w:r>
          </w:p>
        </w:tc>
      </w:tr>
      <w:tr w14:paraId="76894E86" w14:textId="77777777" w:rsidR="00D06738">
        <w:tc>
          <w:tcPr>
            <w:tcW w:type="dxa" w:w="2835"/>
            <w:vAlign w:val="center"/>
          </w:tcPr>
          <w:p w14:paraId="7825DD99"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基金托管人</w:t>
            </w:r>
          </w:p>
        </w:tc>
        <w:tc>
          <w:tcPr>
            <w:tcW w:type="dxa" w:w="5479"/>
            <w:gridSpan w:val="2"/>
            <w:vAlign w:val="center"/>
          </w:tcPr>
          <w:p w14:paraId="5FB3246D"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中国建设银行股份有限公司</w:t>
            </w:r>
          </w:p>
        </w:tc>
      </w:tr>
    </w:tbl>
    <w:p w14:paraId="0FD2B1FF"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3  </w:t>
      </w:r>
      <w:r>
        <w:rPr>
          <w:rFonts w:asciiTheme="minorEastAsia" w:eastAsiaTheme="minorEastAsia" w:hAnsiTheme="minorEastAsia" w:hint="eastAsia"/>
          <w:color w:themeColor="text1" w:val="000000"/>
          <w:kern w:val="0"/>
          <w:sz w:val="24"/>
          <w:szCs w:val="24"/>
        </w:rPr>
        <w:t>主要财务指标和基金净值表现</w:t>
      </w:r>
    </w:p>
    <w:p w14:paraId="210337B7"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3.1 </w:t>
      </w:r>
      <w:r>
        <w:rPr>
          <w:rFonts w:asciiTheme="minorEastAsia" w:eastAsiaTheme="minorEastAsia" w:hAnsiTheme="minorEastAsia" w:hint="eastAsia"/>
          <w:b/>
          <w:bCs/>
          <w:color w:themeColor="text1" w:val="000000"/>
          <w:kern w:val="0"/>
          <w:sz w:val="24"/>
          <w:szCs w:val="24"/>
        </w:rPr>
        <w:t>主要财务指标</w:t>
      </w:r>
    </w:p>
    <w:p w14:paraId="137D242D"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lastRenderedPageBreak/>
        <w:t>单位：人民币元</w:t>
      </w:r>
    </w:p>
    <w:tbl>
      <w:tblPr>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3402"/>
        <w:gridCol w:w="2552"/>
        <w:gridCol w:w="2410"/>
      </w:tblGrid>
      <w:tr w14:paraId="18A1FB51" w14:textId="77777777" w:rsidR="00D06738">
        <w:tc>
          <w:tcPr>
            <w:tcW w:type="dxa" w:w="3402"/>
            <w:vAlign w:val="center"/>
          </w:tcPr>
          <w:p w14:paraId="42E18AC5" w14:textId="77777777" w:rsidR="00D06738" w:rsidRDefault="00454D20">
            <w:pPr>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主要财务指标</w:t>
            </w: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
            </w:r>
          </w:p>
        </w:tc>
        <w:tc>
          <w:tcPr>
            <w:tcW w:type="dxa" w:w="4962"/>
            <w:hMerge w:val="restart"/>
            <w:vAlign w:val="center"/>
          </w:tcPr>
          <w:p w14:paraId="619578C9" w14:textId="77777777" w:rsidR="00D06738" w:rsidRDefault="00454D20">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报告期</w:t>
            </w:r>
          </w:p>
          <w:p w14:paraId="3E47B353" w14:textId="77777777" w:rsidR="00D06738" w:rsidRDefault="00454D20">
            <w:pPr>
              <w:adjustRightInd w:val="0"/>
              <w:spacing w:before="29" w:line="360" w:lineRule="auto"/>
              <w:ind w:left="17"/>
              <w:jc w:val="center"/>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rPr>
              <w:t>(</w:t>
            </w: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2020年10月1日-</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2020年12月31日</w:t>
            </w:r>
            <w:r>
              <w:rPr>
                <w:rFonts w:asciiTheme="minorEastAsia" w:cs="宋体" w:eastAsiaTheme="minorEastAsia" w:hAnsiTheme="minorEastAsia" w:hint="eastAsia"/>
                <w:color w:themeColor="text1" w:val="000000"/>
              </w:rPr>
              <w:t>)</w:t>
            </w:r>
          </w:p>
        </w:tc>
        <w:tc>
          <w:tcPr>
            <w:tcW w:type="dxa" w:w="2410"/>
            <w:hMerge/>
            <w:vAlign w:val="center"/>
          </w:tcPr>
          <w:p w14:paraId="5FB75E1A" w14:textId="77777777" w:rsidR="00D06738" w:rsidRDefault="00454D20">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上期金额</w:t>
            </w: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p>
        </w:tc>
      </w:tr>
      <w:tr w14:paraId="221834C8" w14:textId="77777777" w:rsidR="00D06738">
        <w:tc>
          <w:tcPr>
            <w:tcW w:type="dxa" w:w="3402"/>
            <w:vAlign w:val="center"/>
          </w:tcPr>
          <w:p w14:paraId="19330D2C"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1.</w:t>
            </w:r>
            <w:r>
              <w:rPr>
                <w:rFonts w:asciiTheme="minorEastAsia" w:cs="宋体" w:eastAsiaTheme="minorEastAsia" w:hAnsiTheme="minorEastAsia" w:hint="eastAsia"/>
                <w:color w:themeColor="text1" w:val="000000"/>
                <w:kern w:val="0"/>
              </w:rPr>
              <w:t>本期已实现收益</w:t>
            </w:r>
          </w:p>
        </w:tc>
        <w:tc>
          <w:tcPr>
            <w:tcW w:type="dxa" w:w="4962"/>
            <w:hMerge w:val="restart"/>
            <w:vAlign w:val="center"/>
          </w:tcPr>
          <w:p w14:paraId="568D140B"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75,581,754.35</w:t>
            </w:r>
          </w:p>
        </w:tc>
        <w:tc>
          <w:tcPr>
            <w:tcW w:type="dxa" w:w="2410"/>
            <w:hMerge/>
            <w:vAlign w:val="center"/>
          </w:tcPr>
          <w:p w14:paraId="7D46D9A3"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10AEC81A" w14:textId="77777777" w:rsidR="00D06738">
        <w:tc>
          <w:tcPr>
            <w:tcW w:type="dxa" w:w="3402"/>
            <w:vAlign w:val="center"/>
          </w:tcPr>
          <w:p w14:paraId="15ADAC28"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2.</w:t>
            </w:r>
            <w:r>
              <w:rPr>
                <w:rFonts w:asciiTheme="minorEastAsia" w:cs="宋体" w:eastAsiaTheme="minorEastAsia" w:hAnsiTheme="minorEastAsia" w:hint="eastAsia"/>
                <w:color w:themeColor="text1" w:val="000000"/>
                <w:kern w:val="0"/>
              </w:rPr>
              <w:t>本期利润</w:t>
            </w:r>
          </w:p>
        </w:tc>
        <w:tc>
          <w:tcPr>
            <w:tcW w:type="dxa" w:w="4962"/>
            <w:hMerge w:val="restart"/>
            <w:vAlign w:val="center"/>
          </w:tcPr>
          <w:p w14:paraId="42B249A8"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123,918,155.14</w:t>
            </w:r>
          </w:p>
        </w:tc>
        <w:tc>
          <w:tcPr>
            <w:tcW w:type="dxa" w:w="2410"/>
            <w:hMerge/>
            <w:vAlign w:val="center"/>
          </w:tcPr>
          <w:p w14:paraId="4CC084AD"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5C8E1F6F" w14:textId="77777777" w:rsidR="00D06738">
        <w:tc>
          <w:tcPr>
            <w:tcW w:type="dxa" w:w="3402"/>
            <w:vAlign w:val="center"/>
          </w:tcPr>
          <w:p w14:paraId="1C3F4C76"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3.</w:t>
            </w:r>
            <w:r>
              <w:rPr>
                <w:rFonts w:asciiTheme="minorEastAsia" w:cs="宋体" w:eastAsiaTheme="minorEastAsia" w:hAnsiTheme="minorEastAsia" w:hint="eastAsia"/>
                <w:color w:themeColor="text1" w:val="000000"/>
                <w:kern w:val="0"/>
              </w:rPr>
              <w:t>加权平均基金份额本期利润</w:t>
            </w:r>
          </w:p>
        </w:tc>
        <w:tc>
          <w:tcPr>
            <w:tcW w:type="dxa" w:w="4962"/>
            <w:hMerge w:val="restart"/>
            <w:vAlign w:val="center"/>
          </w:tcPr>
          <w:p w14:paraId="43651B7D"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0.5408</w:t>
            </w:r>
          </w:p>
        </w:tc>
        <w:tc>
          <w:tcPr>
            <w:tcW w:type="dxa" w:w="2410"/>
            <w:hMerge/>
            <w:vAlign w:val="center"/>
          </w:tcPr>
          <w:p w14:paraId="18DC7556"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19975AED" w14:textId="77777777" w:rsidR="00D06738">
        <w:tc>
          <w:tcPr>
            <w:tcW w:type="dxa" w:w="3402"/>
            <w:vAlign w:val="center"/>
          </w:tcPr>
          <w:p w14:paraId="5358D232"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4.</w:t>
            </w:r>
            <w:r>
              <w:rPr>
                <w:rFonts w:asciiTheme="minorEastAsia" w:cs="宋体" w:eastAsiaTheme="minorEastAsia" w:hAnsiTheme="minorEastAsia" w:hint="eastAsia"/>
                <w:color w:themeColor="text1" w:val="000000"/>
                <w:kern w:val="0"/>
              </w:rPr>
              <w:t>期末基金资产净值</w:t>
            </w:r>
          </w:p>
        </w:tc>
        <w:tc>
          <w:tcPr>
            <w:tcW w:type="dxa" w:w="4962"/>
            <w:hMerge w:val="restart"/>
            <w:vAlign w:val="center"/>
          </w:tcPr>
          <w:p w14:paraId="11849F16"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833,522,719.58</w:t>
            </w:r>
          </w:p>
        </w:tc>
        <w:tc>
          <w:tcPr>
            <w:tcW w:type="dxa" w:w="2410"/>
            <w:hMerge/>
            <w:vAlign w:val="center"/>
          </w:tcPr>
          <w:p w14:paraId="27D7B715"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5BC36451" w14:textId="77777777" w:rsidR="00D06738">
        <w:trPr>
          <w:trHeight w:val="158"/>
        </w:trPr>
        <w:tc>
          <w:tcPr>
            <w:tcW w:type="dxa" w:w="3402"/>
            <w:vAlign w:val="center"/>
          </w:tcPr>
          <w:p w14:paraId="5E87F5B6"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5.</w:t>
            </w:r>
            <w:r>
              <w:rPr>
                <w:rFonts w:asciiTheme="minorEastAsia" w:cs="宋体" w:eastAsiaTheme="minorEastAsia" w:hAnsiTheme="minorEastAsia" w:hint="eastAsia"/>
                <w:color w:themeColor="text1" w:val="000000"/>
                <w:kern w:val="0"/>
              </w:rPr>
              <w:t>期末基金份额净值</w:t>
            </w:r>
          </w:p>
        </w:tc>
        <w:tc>
          <w:tcPr>
            <w:tcW w:type="dxa" w:w="4962"/>
            <w:hMerge w:val="restart"/>
            <w:vAlign w:val="center"/>
          </w:tcPr>
          <w:p w14:paraId="20EA2920"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3.8072</w:t>
            </w:r>
          </w:p>
        </w:tc>
        <w:tc>
          <w:tcPr>
            <w:tcW w:type="dxa" w:w="2410"/>
            <w:hMerge/>
            <w:vAlign w:val="center"/>
          </w:tcPr>
          <w:p w14:paraId="52387A94"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注：本期已实现收益指基金本期利息收入、投资收益、其他收入(不含公允价值变动收益)扣除相关费用后的余额，本期利润为本期已实现收益加上本期公允价值变动收益。 </w:t>
      </w:r>
    </w:p>
    <w:p w14:paraId="71EC6E7C"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上述基金业绩指标不包括持有人认购或交易基金的各项费用（例如，开放式基金的申购赎回费、红利再投资费、基金转换费等），计入费用后实际收益水平要低于所列数字。</w:t>
      </w:r>
    </w:p>
    <w:p w14:paraId="16577CF1"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3560E0A0"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 </w:t>
      </w:r>
      <w:r>
        <w:rPr>
          <w:rFonts w:asciiTheme="minorEastAsia" w:eastAsiaTheme="minorEastAsia" w:hAnsiTheme="minorEastAsia" w:hint="eastAsia"/>
          <w:b/>
          <w:bCs/>
          <w:color w:themeColor="text1" w:val="000000"/>
          <w:kern w:val="0"/>
          <w:sz w:val="24"/>
          <w:szCs w:val="24"/>
        </w:rPr>
        <w:t>基金净值表现</w:t>
      </w:r>
    </w:p>
    <w:p w14:paraId="60962101" w14:textId="77777777" w:rsidR="00D06738" w:rsidRDefault="00454D20">
      <w:pPr>
        <w:autoSpaceDE w:val="0"/>
        <w:autoSpaceDN w:val="0"/>
        <w:adjustRightInd w:val="0"/>
        <w:spacing w:line="360" w:lineRule="auto"/>
        <w:jc w:val="left"/>
        <w:rPr>
          <w:rFonts w:asciiTheme="minorEastAsia" w:cs="宋体"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3.2.1 </w:t>
      </w:r>
      <w:r>
        <w:rPr>
          <w:rFonts w:asciiTheme="minorEastAsia" w:cs="宋体" w:eastAsiaTheme="minorEastAsia" w:hAnsiTheme="minorEastAsia" w:hint="eastAsia"/>
          <w:b/>
          <w:bCs/>
          <w:color w:themeColor="text1" w:val="000000"/>
          <w:kern w:val="0"/>
          <w:sz w:val="24"/>
          <w:szCs w:val="24"/>
        </w:rPr>
        <w:t>本报告</w:t>
      </w:r>
      <w:proofErr w:type="gramStart"/>
      <w:r>
        <w:rPr>
          <w:rFonts w:asciiTheme="minorEastAsia" w:cs="宋体" w:eastAsiaTheme="minorEastAsia" w:hAnsiTheme="minorEastAsia" w:hint="eastAsia"/>
          <w:b/>
          <w:bCs/>
          <w:color w:themeColor="text1" w:val="000000"/>
          <w:kern w:val="0"/>
          <w:sz w:val="24"/>
          <w:szCs w:val="24"/>
        </w:rPr>
        <w:t>期基金</w:t>
      </w:r>
      <w:proofErr w:type="gramEnd"/>
      <w:r>
        <w:rPr>
          <w:rFonts w:asciiTheme="minorEastAsia" w:cs="宋体" w:eastAsiaTheme="minorEastAsia" w:hAnsiTheme="minorEastAsia" w:hint="eastAsia"/>
          <w:b/>
          <w:bCs/>
          <w:color w:themeColor="text1" w:val="000000"/>
          <w:kern w:val="0"/>
          <w:sz w:val="24"/>
          <w:szCs w:val="24"/>
        </w:rPr>
        <w:t>份额净值增长率及其与同期业绩比较基准收益率的比较</w:t>
      </w:r>
    </w:p>
    <w:tbl>
      <w:tblPr>
        <w:tblStyle w:val="aff4"/>
        <w:tblW w:type="dxa" w:w="8420"/>
        <w:tblInd w:type="dxa" w:w="108"/>
        <w:tblLayout w:type="fixed"/>
        <w:tblLook w:firstColumn="1" w:firstRow="1" w:lastColumn="0" w:lastRow="0" w:noHBand="0" w:noVBand="1" w:val="04A0"/>
      </w:tblPr>
      <w:tblGrid>
        <w:gridCol w:w="1395"/>
        <w:gridCol w:w="1092"/>
        <w:gridCol w:w="1161"/>
        <w:gridCol w:w="1181"/>
        <w:gridCol w:w="1188"/>
        <w:gridCol w:w="1199"/>
        <w:gridCol w:w="1204"/>
      </w:tblGrid>
      <w:tr w14:paraId="3CB029CE" w14:textId="77777777" w:rsidR="00D06738">
        <w:tc>
          <w:tcPr>
            <w:tcW w:type="dxa" w:w="1395"/>
            <w:vAlign w:val="center"/>
          </w:tcPr>
          <w:p w14:paraId="7A7D1D1E"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阶段</w:t>
            </w:r>
            <w:proofErr w:type="spellStart"/>
            <w:r>
              <w:rPr>
                <w:rFonts w:asciiTheme="minorEastAsia" w:cs="Arial" w:eastAsiaTheme="minorEastAsia" w:hAnsiTheme="minorEastAsia" w:hint="eastAsia"/>
                <w:color w:themeColor="text1" w:val="000000"/>
                <w:kern w:val="0"/>
              </w:rPr>
              <w:t/>
            </w:r>
            <w:proofErr w:type="spellEnd"/>
            <w:r>
              <w:rPr>
                <w:rFonts w:asciiTheme="minorEastAsia" w:cs="Arial" w:eastAsiaTheme="minorEastAsia" w:hAnsiTheme="minorEastAsia" w:hint="eastAsia"/>
                <w:color w:themeColor="text1" w:val="000000"/>
                <w:kern w:val="0"/>
              </w:rPr>
              <w:t/>
            </w:r>
          </w:p>
        </w:tc>
        <w:tc>
          <w:tcPr>
            <w:tcW w:type="dxa" w:w="1092"/>
            <w:vAlign w:val="center"/>
          </w:tcPr>
          <w:p w14:paraId="2CD30E79"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净值增长率①</w:t>
            </w:r>
          </w:p>
        </w:tc>
        <w:tc>
          <w:tcPr>
            <w:tcW w:type="dxa" w:w="1161"/>
            <w:vAlign w:val="center"/>
          </w:tcPr>
          <w:p w14:paraId="37DEF420"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净值增长率标准差②</w:t>
            </w:r>
          </w:p>
        </w:tc>
        <w:tc>
          <w:tcPr>
            <w:tcW w:type="dxa" w:w="1181"/>
            <w:vAlign w:val="center"/>
          </w:tcPr>
          <w:p w14:paraId="7F4843FE"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业绩比较基准收益率③</w:t>
            </w:r>
          </w:p>
        </w:tc>
        <w:tc>
          <w:tcPr>
            <w:tcW w:type="dxa" w:w="1188"/>
            <w:vAlign w:val="center"/>
          </w:tcPr>
          <w:p w14:paraId="12655559"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业绩比较基准收益率标准差④</w:t>
            </w:r>
          </w:p>
        </w:tc>
        <w:tc>
          <w:tcPr>
            <w:tcW w:type="dxa" w:w="1199"/>
            <w:vAlign w:val="center"/>
          </w:tcPr>
          <w:p w14:paraId="5487E45D"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①</w:t>
            </w:r>
            <w:r>
              <w:rPr>
                <w:rFonts w:asciiTheme="minorEastAsia" w:cs="Arial" w:eastAsiaTheme="minorEastAsia" w:hAnsiTheme="minorEastAsia"/>
                <w:color w:themeColor="text1" w:val="000000"/>
                <w:kern w:val="0"/>
              </w:rPr>
              <w:t>-</w:t>
            </w:r>
            <w:r>
              <w:rPr>
                <w:rFonts w:asciiTheme="minorEastAsia" w:cs="Arial" w:eastAsiaTheme="minorEastAsia" w:hAnsiTheme="minorEastAsia" w:hint="eastAsia"/>
                <w:color w:themeColor="text1" w:val="000000"/>
                <w:kern w:val="0"/>
              </w:rPr>
              <w:t>③</w:t>
            </w:r>
          </w:p>
        </w:tc>
        <w:tc>
          <w:tcPr>
            <w:tcW w:type="dxa" w:w="1204"/>
            <w:vAlign w:val="center"/>
          </w:tcPr>
          <w:p w14:paraId="7C50A3FD"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②</w:t>
            </w:r>
            <w:r>
              <w:rPr>
                <w:rFonts w:asciiTheme="minorEastAsia" w:cs="Arial" w:eastAsiaTheme="minorEastAsia" w:hAnsiTheme="minorEastAsia"/>
                <w:color w:themeColor="text1" w:val="000000"/>
                <w:kern w:val="0"/>
              </w:rPr>
              <w:t>-</w:t>
            </w:r>
            <w:r>
              <w:rPr>
                <w:rFonts w:asciiTheme="minorEastAsia" w:cs="Arial" w:eastAsiaTheme="minorEastAsia" w:hAnsiTheme="minorEastAsia" w:hint="eastAsia"/>
                <w:color w:themeColor="text1" w:val="000000"/>
                <w:kern w:val="0"/>
              </w:rPr>
              <w:t>④</w:t>
            </w:r>
          </w:p>
        </w:tc>
      </w:tr>
      <w:tr>
        <w:tc>
          <w:tcPr>
            <w:vAlign w:val="center"/>
          </w:tcPr>
          <w:p>
            <w:pPr>
              <w:jc w:val="left"/>
            </w:pPr>
            <w:r>
              <w:rPr>
                <w:rFonts w:asciiTheme="minorEastAsia" w:eastAsiaTheme="minorEastAsia" w:hAnsiTheme="minorEastAsia"/>
                <w:color w:themeColor="text1" w:val="000000"/>
                <w:kern w:val="0"/>
              </w:rPr>
              <w:t>过去三个月</w:t>
            </w:r>
          </w:p>
        </w:tc>
        <w:tc>
          <w:tcPr>
            <w:vAlign w:val="center"/>
          </w:tcPr>
          <w:p>
            <w:pPr>
              <w:jc w:val="center"/>
            </w:pPr>
            <w:r>
              <w:rPr>
                <w:rFonts w:asciiTheme="minorEastAsia" w:eastAsiaTheme="minorEastAsia" w:hAnsiTheme="minorEastAsia"/>
                <w:color w:themeColor="text1" w:val="000000"/>
                <w:kern w:val="0"/>
              </w:rPr>
              <w:t>16.71%</w:t>
            </w:r>
          </w:p>
        </w:tc>
        <w:tc>
          <w:tcPr>
            <w:vAlign w:val="center"/>
          </w:tcPr>
          <w:p>
            <w:pPr>
              <w:jc w:val="center"/>
            </w:pPr>
            <w:r>
              <w:rPr>
                <w:rFonts w:asciiTheme="minorEastAsia" w:eastAsiaTheme="minorEastAsia" w:hAnsiTheme="minorEastAsia"/>
                <w:color w:themeColor="text1" w:val="000000"/>
                <w:kern w:val="0"/>
              </w:rPr>
              <w:t>1.29%</w:t>
            </w:r>
          </w:p>
        </w:tc>
        <w:tc>
          <w:tcPr>
            <w:vAlign w:val="center"/>
          </w:tcPr>
          <w:p>
            <w:pPr>
              <w:jc w:val="center"/>
            </w:pPr>
            <w:r>
              <w:rPr>
                <w:rFonts w:asciiTheme="minorEastAsia" w:eastAsiaTheme="minorEastAsia" w:hAnsiTheme="minorEastAsia"/>
                <w:color w:themeColor="text1" w:val="000000"/>
                <w:kern w:val="0"/>
              </w:rPr>
              <w:t>5.49%</w:t>
            </w:r>
          </w:p>
        </w:tc>
        <w:tc>
          <w:tcPr>
            <w:vAlign w:val="center"/>
          </w:tcPr>
          <w:p>
            <w:pPr>
              <w:jc w:val="center"/>
            </w:pPr>
            <w:r>
              <w:rPr>
                <w:rFonts w:asciiTheme="minorEastAsia" w:eastAsiaTheme="minorEastAsia" w:hAnsiTheme="minorEastAsia"/>
                <w:color w:themeColor="text1" w:val="000000"/>
                <w:kern w:val="0"/>
              </w:rPr>
              <w:t>0.90%</w:t>
            </w:r>
          </w:p>
        </w:tc>
        <w:tc>
          <w:tcPr>
            <w:vAlign w:val="center"/>
          </w:tcPr>
          <w:p>
            <w:pPr>
              <w:jc w:val="center"/>
            </w:pPr>
            <w:r>
              <w:rPr>
                <w:rFonts w:asciiTheme="minorEastAsia" w:eastAsiaTheme="minorEastAsia" w:hAnsiTheme="minorEastAsia"/>
                <w:color w:themeColor="text1" w:val="000000"/>
                <w:kern w:val="0"/>
              </w:rPr>
              <w:t>11.22%</w:t>
            </w:r>
          </w:p>
        </w:tc>
        <w:tc>
          <w:tcPr>
            <w:vAlign w:val="center"/>
          </w:tcPr>
          <w:p>
            <w:pPr>
              <w:jc w:val="center"/>
            </w:pPr>
            <w:r>
              <w:rPr>
                <w:rFonts w:asciiTheme="minorEastAsia" w:eastAsiaTheme="minorEastAsia" w:hAnsiTheme="minorEastAsia"/>
                <w:color w:themeColor="text1" w:val="000000"/>
                <w:kern w:val="0"/>
              </w:rPr>
              <w:t>0.39%</w:t>
            </w:r>
          </w:p>
        </w:tc>
      </w:tr>
      <w:tr>
        <w:tc>
          <w:tcPr>
            <w:vAlign w:val="center"/>
          </w:tcPr>
          <w:p>
            <w:pPr>
              <w:jc w:val="left"/>
            </w:pPr>
            <w:r>
              <w:rPr>
                <w:rFonts w:asciiTheme="minorEastAsia" w:eastAsiaTheme="minorEastAsia" w:hAnsiTheme="minorEastAsia"/>
                <w:color w:themeColor="text1" w:val="000000"/>
                <w:kern w:val="0"/>
              </w:rPr>
              <w:t>过去六个月</w:t>
            </w:r>
          </w:p>
        </w:tc>
        <w:tc>
          <w:tcPr>
            <w:vAlign w:val="center"/>
          </w:tcPr>
          <w:p>
            <w:pPr>
              <w:jc w:val="center"/>
            </w:pPr>
            <w:r>
              <w:rPr>
                <w:rFonts w:asciiTheme="minorEastAsia" w:eastAsiaTheme="minorEastAsia" w:hAnsiTheme="minorEastAsia"/>
                <w:color w:themeColor="text1" w:val="000000"/>
                <w:kern w:val="0"/>
              </w:rPr>
              <w:t>20.48%</w:t>
            </w:r>
          </w:p>
        </w:tc>
        <w:tc>
          <w:tcPr>
            <w:vAlign w:val="center"/>
          </w:tcPr>
          <w:p>
            <w:pPr>
              <w:jc w:val="center"/>
            </w:pPr>
            <w:r>
              <w:rPr>
                <w:rFonts w:asciiTheme="minorEastAsia" w:eastAsiaTheme="minorEastAsia" w:hAnsiTheme="minorEastAsia"/>
                <w:color w:themeColor="text1" w:val="000000"/>
                <w:kern w:val="0"/>
              </w:rPr>
              <w:t>1.69%</w:t>
            </w:r>
          </w:p>
        </w:tc>
        <w:tc>
          <w:tcPr>
            <w:vAlign w:val="center"/>
          </w:tcPr>
          <w:p>
            <w:pPr>
              <w:jc w:val="center"/>
            </w:pPr>
            <w:r>
              <w:rPr>
                <w:rFonts w:asciiTheme="minorEastAsia" w:eastAsiaTheme="minorEastAsia" w:hAnsiTheme="minorEastAsia"/>
                <w:color w:themeColor="text1" w:val="000000"/>
                <w:kern w:val="0"/>
              </w:rPr>
              <w:t>12.75%</w:t>
            </w:r>
          </w:p>
        </w:tc>
        <w:tc>
          <w:tcPr>
            <w:vAlign w:val="center"/>
          </w:tcPr>
          <w:p>
            <w:pPr>
              <w:jc w:val="center"/>
            </w:pPr>
            <w:r>
              <w:rPr>
                <w:rFonts w:asciiTheme="minorEastAsia" w:eastAsiaTheme="minorEastAsia" w:hAnsiTheme="minorEastAsia"/>
                <w:color w:themeColor="text1" w:val="000000"/>
                <w:kern w:val="0"/>
              </w:rPr>
              <w:t>1.17%</w:t>
            </w:r>
          </w:p>
        </w:tc>
        <w:tc>
          <w:tcPr>
            <w:vAlign w:val="center"/>
          </w:tcPr>
          <w:p>
            <w:pPr>
              <w:jc w:val="center"/>
            </w:pPr>
            <w:r>
              <w:rPr>
                <w:rFonts w:asciiTheme="minorEastAsia" w:eastAsiaTheme="minorEastAsia" w:hAnsiTheme="minorEastAsia"/>
                <w:color w:themeColor="text1" w:val="000000"/>
                <w:kern w:val="0"/>
              </w:rPr>
              <w:t>7.73%</w:t>
            </w:r>
          </w:p>
        </w:tc>
        <w:tc>
          <w:tcPr>
            <w:vAlign w:val="center"/>
          </w:tcPr>
          <w:p>
            <w:pPr>
              <w:jc w:val="center"/>
            </w:pPr>
            <w:r>
              <w:rPr>
                <w:rFonts w:asciiTheme="minorEastAsia" w:eastAsiaTheme="minorEastAsia" w:hAnsiTheme="minorEastAsia"/>
                <w:color w:themeColor="text1" w:val="000000"/>
                <w:kern w:val="0"/>
              </w:rPr>
              <w:t>0.52%</w:t>
            </w:r>
          </w:p>
        </w:tc>
      </w:tr>
      <w:tr>
        <w:tc>
          <w:tcPr>
            <w:vAlign w:val="center"/>
          </w:tcPr>
          <w:p>
            <w:pPr>
              <w:jc w:val="left"/>
            </w:pPr>
            <w:r>
              <w:rPr>
                <w:rFonts w:asciiTheme="minorEastAsia" w:eastAsiaTheme="minorEastAsia" w:hAnsiTheme="minorEastAsia"/>
                <w:color w:themeColor="text1" w:val="000000"/>
                <w:kern w:val="0"/>
              </w:rPr>
              <w:t>过去一年</w:t>
            </w:r>
          </w:p>
        </w:tc>
        <w:tc>
          <w:tcPr>
            <w:vAlign w:val="center"/>
          </w:tcPr>
          <w:p>
            <w:pPr>
              <w:jc w:val="center"/>
            </w:pPr>
            <w:r>
              <w:rPr>
                <w:rFonts w:asciiTheme="minorEastAsia" w:eastAsiaTheme="minorEastAsia" w:hAnsiTheme="minorEastAsia"/>
                <w:color w:themeColor="text1" w:val="000000"/>
                <w:kern w:val="0"/>
              </w:rPr>
              <w:t>66.47%</w:t>
            </w:r>
          </w:p>
        </w:tc>
        <w:tc>
          <w:tcPr>
            <w:vAlign w:val="center"/>
          </w:tcPr>
          <w:p>
            <w:pPr>
              <w:jc w:val="center"/>
            </w:pPr>
            <w:r>
              <w:rPr>
                <w:rFonts w:asciiTheme="minorEastAsia" w:eastAsiaTheme="minorEastAsia" w:hAnsiTheme="minorEastAsia"/>
                <w:color w:themeColor="text1" w:val="000000"/>
                <w:kern w:val="0"/>
              </w:rPr>
              <w:t>1.95%</w:t>
            </w:r>
          </w:p>
        </w:tc>
        <w:tc>
          <w:tcPr>
            <w:vAlign w:val="center"/>
          </w:tcPr>
          <w:p>
            <w:pPr>
              <w:jc w:val="center"/>
            </w:pPr>
            <w:r>
              <w:rPr>
                <w:rFonts w:asciiTheme="minorEastAsia" w:eastAsiaTheme="minorEastAsia" w:hAnsiTheme="minorEastAsia"/>
                <w:color w:themeColor="text1" w:val="000000"/>
                <w:kern w:val="0"/>
              </w:rPr>
              <w:t>21.57%</w:t>
            </w:r>
          </w:p>
        </w:tc>
        <w:tc>
          <w:tcPr>
            <w:vAlign w:val="center"/>
          </w:tcPr>
          <w:p>
            <w:pPr>
              <w:jc w:val="center"/>
            </w:pPr>
            <w:r>
              <w:rPr>
                <w:rFonts w:asciiTheme="minorEastAsia" w:eastAsiaTheme="minorEastAsia" w:hAnsiTheme="minorEastAsia"/>
                <w:color w:themeColor="text1" w:val="000000"/>
                <w:kern w:val="0"/>
              </w:rPr>
              <w:t>1.26%</w:t>
            </w:r>
          </w:p>
        </w:tc>
        <w:tc>
          <w:tcPr>
            <w:vAlign w:val="center"/>
          </w:tcPr>
          <w:p>
            <w:pPr>
              <w:jc w:val="center"/>
            </w:pPr>
            <w:r>
              <w:rPr>
                <w:rFonts w:asciiTheme="minorEastAsia" w:eastAsiaTheme="minorEastAsia" w:hAnsiTheme="minorEastAsia"/>
                <w:color w:themeColor="text1" w:val="000000"/>
                <w:kern w:val="0"/>
              </w:rPr>
              <w:t>44.90%</w:t>
            </w:r>
          </w:p>
        </w:tc>
        <w:tc>
          <w:tcPr>
            <w:vAlign w:val="center"/>
          </w:tcPr>
          <w:p>
            <w:pPr>
              <w:jc w:val="center"/>
            </w:pPr>
            <w:r>
              <w:rPr>
                <w:rFonts w:asciiTheme="minorEastAsia" w:eastAsiaTheme="minorEastAsia" w:hAnsiTheme="minorEastAsia"/>
                <w:color w:themeColor="text1" w:val="000000"/>
                <w:kern w:val="0"/>
              </w:rPr>
              <w:t>0.69%</w:t>
            </w:r>
          </w:p>
        </w:tc>
      </w:tr>
      <w:tr>
        <w:tc>
          <w:tcPr>
            <w:vAlign w:val="center"/>
          </w:tcPr>
          <w:p>
            <w:pPr>
              <w:jc w:val="left"/>
            </w:pPr>
            <w:r>
              <w:rPr>
                <w:rFonts w:asciiTheme="minorEastAsia" w:eastAsiaTheme="minorEastAsia" w:hAnsiTheme="minorEastAsia"/>
                <w:color w:themeColor="text1" w:val="000000"/>
                <w:kern w:val="0"/>
              </w:rPr>
              <w:t>过去三年</w:t>
            </w:r>
          </w:p>
        </w:tc>
        <w:tc>
          <w:tcPr>
            <w:vAlign w:val="center"/>
          </w:tcPr>
          <w:p>
            <w:pPr>
              <w:jc w:val="center"/>
            </w:pPr>
            <w:r>
              <w:rPr>
                <w:rFonts w:asciiTheme="minorEastAsia" w:eastAsiaTheme="minorEastAsia" w:hAnsiTheme="minorEastAsia"/>
                <w:color w:themeColor="text1" w:val="000000"/>
                <w:kern w:val="0"/>
              </w:rPr>
              <w:t>92.41%</w:t>
            </w:r>
          </w:p>
        </w:tc>
        <w:tc>
          <w:tcPr>
            <w:vAlign w:val="center"/>
          </w:tcPr>
          <w:p>
            <w:pPr>
              <w:jc w:val="center"/>
            </w:pPr>
            <w:r>
              <w:rPr>
                <w:rFonts w:asciiTheme="minorEastAsia" w:eastAsiaTheme="minorEastAsia" w:hAnsiTheme="minorEastAsia"/>
                <w:color w:themeColor="text1" w:val="000000"/>
                <w:kern w:val="0"/>
              </w:rPr>
              <w:t>1.83%</w:t>
            </w:r>
          </w:p>
        </w:tc>
        <w:tc>
          <w:tcPr>
            <w:vAlign w:val="center"/>
          </w:tcPr>
          <w:p>
            <w:pPr>
              <w:jc w:val="center"/>
            </w:pPr>
            <w:r>
              <w:rPr>
                <w:rFonts w:asciiTheme="minorEastAsia" w:eastAsiaTheme="minorEastAsia" w:hAnsiTheme="minorEastAsia"/>
                <w:color w:themeColor="text1" w:val="000000"/>
                <w:kern w:val="0"/>
              </w:rPr>
              <w:t>11.79%</w:t>
            </w:r>
          </w:p>
        </w:tc>
        <w:tc>
          <w:tcPr>
            <w:vAlign w:val="center"/>
          </w:tcPr>
          <w:p>
            <w:pPr>
              <w:jc w:val="center"/>
            </w:pPr>
            <w:r>
              <w:rPr>
                <w:rFonts w:asciiTheme="minorEastAsia" w:eastAsiaTheme="minorEastAsia" w:hAnsiTheme="minorEastAsia"/>
                <w:color w:themeColor="text1" w:val="000000"/>
                <w:kern w:val="0"/>
              </w:rPr>
              <w:t>1.17%</w:t>
            </w:r>
          </w:p>
        </w:tc>
        <w:tc>
          <w:tcPr>
            <w:vAlign w:val="center"/>
          </w:tcPr>
          <w:p>
            <w:pPr>
              <w:jc w:val="center"/>
            </w:pPr>
            <w:r>
              <w:rPr>
                <w:rFonts w:asciiTheme="minorEastAsia" w:eastAsiaTheme="minorEastAsia" w:hAnsiTheme="minorEastAsia"/>
                <w:color w:themeColor="text1" w:val="000000"/>
                <w:kern w:val="0"/>
              </w:rPr>
              <w:t>80.62%</w:t>
            </w:r>
          </w:p>
        </w:tc>
        <w:tc>
          <w:tcPr>
            <w:vAlign w:val="center"/>
          </w:tcPr>
          <w:p>
            <w:pPr>
              <w:jc w:val="center"/>
            </w:pPr>
            <w:r>
              <w:rPr>
                <w:rFonts w:asciiTheme="minorEastAsia" w:eastAsiaTheme="minorEastAsia" w:hAnsiTheme="minorEastAsia"/>
                <w:color w:themeColor="text1" w:val="000000"/>
                <w:kern w:val="0"/>
              </w:rPr>
              <w:t>0.66%</w:t>
            </w:r>
          </w:p>
        </w:tc>
      </w:tr>
      <w:tr>
        <w:tc>
          <w:tcPr>
            <w:vAlign w:val="center"/>
          </w:tcPr>
          <w:p>
            <w:pPr>
              <w:jc w:val="left"/>
            </w:pPr>
            <w:r>
              <w:rPr>
                <w:rFonts w:asciiTheme="minorEastAsia" w:eastAsiaTheme="minorEastAsia" w:hAnsiTheme="minorEastAsia"/>
                <w:color w:themeColor="text1" w:val="000000"/>
                <w:kern w:val="0"/>
              </w:rPr>
              <w:t>过去五年</w:t>
            </w:r>
          </w:p>
        </w:tc>
        <w:tc>
          <w:tcPr>
            <w:vAlign w:val="center"/>
          </w:tcPr>
          <w:p>
            <w:pPr>
              <w:jc w:val="center"/>
            </w:pPr>
            <w:r>
              <w:rPr>
                <w:rFonts w:asciiTheme="minorEastAsia" w:eastAsiaTheme="minorEastAsia" w:hAnsiTheme="minorEastAsia"/>
                <w:color w:themeColor="text1" w:val="000000"/>
                <w:kern w:val="0"/>
              </w:rPr>
              <w:t>66.85%</w:t>
            </w:r>
          </w:p>
        </w:tc>
        <w:tc>
          <w:tcPr>
            <w:vAlign w:val="center"/>
          </w:tcPr>
          <w:p>
            <w:pPr>
              <w:jc w:val="center"/>
            </w:pPr>
            <w:r>
              <w:rPr>
                <w:rFonts w:asciiTheme="minorEastAsia" w:eastAsiaTheme="minorEastAsia" w:hAnsiTheme="minorEastAsia"/>
                <w:color w:themeColor="text1" w:val="000000"/>
                <w:kern w:val="0"/>
              </w:rPr>
              <w:t>1.79%</w:t>
            </w:r>
          </w:p>
        </w:tc>
        <w:tc>
          <w:tcPr>
            <w:vAlign w:val="center"/>
          </w:tcPr>
          <w:p>
            <w:pPr>
              <w:jc w:val="center"/>
            </w:pPr>
            <w:r>
              <w:rPr>
                <w:rFonts w:asciiTheme="minorEastAsia" w:eastAsiaTheme="minorEastAsia" w:hAnsiTheme="minorEastAsia"/>
                <w:color w:themeColor="text1" w:val="000000"/>
                <w:kern w:val="0"/>
              </w:rPr>
              <w:t>0.96%</w:t>
            </w:r>
          </w:p>
        </w:tc>
        <w:tc>
          <w:tcPr>
            <w:vAlign w:val="center"/>
          </w:tcPr>
          <w:p>
            <w:pPr>
              <w:jc w:val="center"/>
            </w:pPr>
            <w:r>
              <w:rPr>
                <w:rFonts w:asciiTheme="minorEastAsia" w:eastAsiaTheme="minorEastAsia" w:hAnsiTheme="minorEastAsia"/>
                <w:color w:themeColor="text1" w:val="000000"/>
                <w:kern w:val="0"/>
              </w:rPr>
              <w:t>1.14%</w:t>
            </w:r>
          </w:p>
        </w:tc>
        <w:tc>
          <w:tcPr>
            <w:vAlign w:val="center"/>
          </w:tcPr>
          <w:p>
            <w:pPr>
              <w:jc w:val="center"/>
            </w:pPr>
            <w:r>
              <w:rPr>
                <w:rFonts w:asciiTheme="minorEastAsia" w:eastAsiaTheme="minorEastAsia" w:hAnsiTheme="minorEastAsia"/>
                <w:color w:themeColor="text1" w:val="000000"/>
                <w:kern w:val="0"/>
              </w:rPr>
              <w:t>65.89%</w:t>
            </w:r>
          </w:p>
        </w:tc>
        <w:tc>
          <w:tcPr>
            <w:vAlign w:val="center"/>
          </w:tcPr>
          <w:p>
            <w:pPr>
              <w:jc w:val="center"/>
            </w:pPr>
            <w:r>
              <w:rPr>
                <w:rFonts w:asciiTheme="minorEastAsia" w:eastAsiaTheme="minorEastAsia" w:hAnsiTheme="minorEastAsia"/>
                <w:color w:themeColor="text1" w:val="000000"/>
                <w:kern w:val="0"/>
              </w:rPr>
              <w:t>0.65%</w:t>
            </w:r>
          </w:p>
        </w:tc>
      </w:tr>
      <w:tr>
        <w:tc>
          <w:tcPr>
            <w:vAlign w:val="center"/>
          </w:tcPr>
          <w:p>
            <w:pPr>
              <w:jc w:val="left"/>
            </w:pPr>
            <w:r>
              <w:rPr>
                <w:rFonts w:asciiTheme="minorEastAsia" w:eastAsiaTheme="minorEastAsia" w:hAnsiTheme="minorEastAsia"/>
                <w:color w:themeColor="text1" w:val="000000"/>
                <w:kern w:val="0"/>
              </w:rPr>
              <w:t>自基金合同生效起至今</w:t>
            </w:r>
          </w:p>
        </w:tc>
        <w:tc>
          <w:tcPr>
            <w:vAlign w:val="center"/>
          </w:tcPr>
          <w:p>
            <w:pPr>
              <w:jc w:val="center"/>
            </w:pPr>
            <w:r>
              <w:rPr>
                <w:rFonts w:asciiTheme="minorEastAsia" w:eastAsiaTheme="minorEastAsia" w:hAnsiTheme="minorEastAsia"/>
                <w:color w:themeColor="text1" w:val="000000"/>
                <w:kern w:val="0"/>
              </w:rPr>
              <w:t>311.46%</w:t>
            </w:r>
          </w:p>
        </w:tc>
        <w:tc>
          <w:tcPr>
            <w:vAlign w:val="center"/>
          </w:tcPr>
          <w:p>
            <w:pPr>
              <w:jc w:val="center"/>
            </w:pPr>
            <w:r>
              <w:rPr>
                <w:rFonts w:asciiTheme="minorEastAsia" w:eastAsiaTheme="minorEastAsia" w:hAnsiTheme="minorEastAsia"/>
                <w:color w:themeColor="text1" w:val="000000"/>
                <w:kern w:val="0"/>
              </w:rPr>
              <w:t>1.80%</w:t>
            </w:r>
          </w:p>
        </w:tc>
        <w:tc>
          <w:tcPr>
            <w:vAlign w:val="center"/>
          </w:tcPr>
          <w:p>
            <w:pPr>
              <w:jc w:val="center"/>
            </w:pPr>
            <w:r>
              <w:rPr>
                <w:rFonts w:asciiTheme="minorEastAsia" w:eastAsiaTheme="minorEastAsia" w:hAnsiTheme="minorEastAsia"/>
                <w:color w:themeColor="text1" w:val="000000"/>
                <w:kern w:val="0"/>
              </w:rPr>
              <w:t>142.91%</w:t>
            </w:r>
          </w:p>
        </w:tc>
        <w:tc>
          <w:tcPr>
            <w:vAlign w:val="center"/>
          </w:tcPr>
          <w:p>
            <w:pPr>
              <w:jc w:val="center"/>
            </w:pPr>
            <w:r>
              <w:rPr>
                <w:rFonts w:asciiTheme="minorEastAsia" w:eastAsiaTheme="minorEastAsia" w:hAnsiTheme="minorEastAsia"/>
                <w:color w:themeColor="text1" w:val="000000"/>
                <w:kern w:val="0"/>
              </w:rPr>
              <w:t>1.30%</w:t>
            </w:r>
          </w:p>
        </w:tc>
        <w:tc>
          <w:tcPr>
            <w:vAlign w:val="center"/>
          </w:tcPr>
          <w:p>
            <w:pPr>
              <w:jc w:val="center"/>
            </w:pPr>
            <w:r>
              <w:rPr>
                <w:rFonts w:asciiTheme="minorEastAsia" w:eastAsiaTheme="minorEastAsia" w:hAnsiTheme="minorEastAsia"/>
                <w:color w:themeColor="text1" w:val="000000"/>
                <w:kern w:val="0"/>
              </w:rPr>
              <w:t>168.55%</w:t>
            </w:r>
          </w:p>
        </w:tc>
        <w:tc>
          <w:tcPr>
            <w:vAlign w:val="center"/>
          </w:tcPr>
          <w:p>
            <w:pPr>
              <w:jc w:val="center"/>
            </w:pPr>
            <w:r>
              <w:rPr>
                <w:rFonts w:asciiTheme="minorEastAsia" w:eastAsiaTheme="minorEastAsia" w:hAnsiTheme="minorEastAsia"/>
                <w:color w:themeColor="text1" w:val="000000"/>
                <w:kern w:val="0"/>
              </w:rPr>
              <w:t>0.50%</w:t>
            </w:r>
          </w:p>
        </w:tc>
      </w:tr>
    </w:tbl>
    <w:p w14:paraId="11CC28FB"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604CD2E3"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3.2.2</w:t>
      </w:r>
      <w:r>
        <w:rPr>
          <w:rStyle w:val="afe"/>
          <w:rFonts w:hint="eastAsia"/>
          <w:color w:themeColor="text1" w:val="000000"/>
          <w:sz w:val="24"/>
          <w:szCs w:val="24"/>
          <w:shd w:color="auto" w:fill="FFFFFF" w:val="clear"/>
        </w:rPr>
        <w:t/>
      </w:r>
      <w:proofErr w:type="spellStart"/>
      <w:r>
        <w:rPr>
          <w:rStyle w:val="afe"/>
          <w:rFonts w:hint="eastAsia"/>
          <w:color w:themeColor="text1" w:val="000000"/>
          <w:sz w:val="24"/>
          <w:szCs w:val="24"/>
          <w:shd w:color="auto" w:fill="FFFFFF" w:val="clear"/>
        </w:rPr>
        <w:t/>
      </w:r>
      <w:proofErr w:type="spellEnd"/>
      <w:r>
        <w:rPr>
          <w:rStyle w:val="afe"/>
          <w:rFonts w:hint="eastAsia"/>
          <w:color w:themeColor="text1" w:val="000000"/>
          <w:sz w:val="24"/>
          <w:szCs w:val="24"/>
          <w:shd w:color="auto" w:fill="FFFFFF" w:val="clear"/>
        </w:rPr>
        <w:t>自基金合同生效以来</w:t>
      </w:r>
      <w:r>
        <w:rPr>
          <w:rFonts w:asciiTheme="minorEastAsia" w:eastAsiaTheme="minorEastAsia" w:hAnsiTheme="minorEastAsia" w:hint="eastAsia"/>
          <w:b/>
          <w:bCs/>
          <w:color w:themeColor="text1" w:val="000000"/>
          <w:kern w:val="0"/>
          <w:sz w:val="24"/>
          <w:szCs w:val="24"/>
        </w:rPr>
        <w:t>基金累计净值增长率变动及其与同期业绩比较基准收益率变动的比较</w:t>
      </w:r>
    </w:p>
    <w:p w14:paraId="7E434705" w14:textId="77777777" w:rsidR="00D06738" w:rsidRDefault="00454D20">
      <w:pPr>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上投摩根中小盘混合型证券投资基金</w:t>
      </w:r>
    </w:p>
    <w:p w14:paraId="760894FB" w14:textId="77777777" w:rsidR="00D06738" w:rsidRDefault="00454D20">
      <w:pPr>
        <w:pStyle w:val="ae"/>
        <w:snapToGrid w:val="0"/>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累计净值增长率与业绩比较基准收益率历史走势对比图</w:t>
      </w:r>
    </w:p>
    <w:p w14:paraId="42485F4A" w14:textId="77777777" w:rsidR="00D06738" w:rsidRDefault="00454D20">
      <w:pPr>
        <w:pStyle w:val="ae"/>
        <w:snapToGrid w:val="0"/>
        <w:spacing w:line="360" w:lineRule="auto"/>
        <w:ind w:firstLine="480"/>
        <w:jc w:val="center"/>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rPr>
        <w:t>(</w:t>
      </w: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2009年1月21日</w:t>
      </w:r>
      <w:r>
        <w:rPr>
          <w:rFonts w:asciiTheme="minorEastAsia" w:eastAsiaTheme="minorEastAsia" w:hAnsiTheme="minorEastAsia" w:hint="eastAsia"/>
          <w:color w:themeColor="text1" w:val="000000"/>
        </w:rPr>
        <w:t>至</w:t>
      </w:r>
      <w:proofErr w:type="spell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2020年12月31日)</w:t>
      </w:r>
    </w:p>
    <w:p w14:paraId="6D7C6855" w14:textId="77777777" w:rsidR="00D06738" w:rsidRDefault="00454D20">
      <w:pPr>
        <w:pStyle w:val="ae"/>
        <w:snapToGrid w:val="0"/>
        <w:spacing w:before="120" w:line="360" w:lineRule="auto"/>
        <w:jc w:val="center"/>
        <w:rPr>
          <w:rFonts w:asciiTheme="minorEastAsia" w:eastAsiaTheme="minorEastAsia" w:hAnsiTheme="minorEastAsia"/>
          <w:color w:themeColor="text1" w:val="000000"/>
          <w:sz w:val="24"/>
          <w:szCs w:val="24"/>
        </w:rPr>
      </w:pPr>
      <w:r>
        <w:rPr>
          <w:rFonts w:asciiTheme="minorEastAsia" w:eastAsiaTheme="minorEastAsia" w:hAnsiTheme="minorEastAsia"/>
          <w:noProof/>
          <w:color w:themeColor="text1" w:val="000000"/>
          <w:sz w:val="24"/>
          <w:szCs w:val="24"/>
        </w:rPr>
        <w:drawing>
          <wp:inline distB="0" distL="0" distR="0" distT="0" wp14:anchorId="41E8FF0D" wp14:editId="228D69F2">
            <wp:extent cx="5276850" cy="3086100"/>
            <wp:effectExtent b="0" l="0" r="0" t="0"/>
            <wp:docPr descr="D:\浏览器下载\走势图柱状图\走势图1.jpg"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1" name="图片 1"/>
                    <pic:cNvPicPr>
                      <a:picLocks noChangeArrowheads="1"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注：本基金合同生效日为2009年1月21日，图示时间段为2009年1月21日至2020年12月31日。</w:t>
      </w:r>
    </w:p>
    <w:p w14:paraId="58BB6589"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本基金建仓期自2009年1月21日至2009年7月20日。建仓期结束时资产配置比例符合本基金基金合同规定。</w:t>
      </w:r>
    </w:p>
    <w:p w14:paraId="28331EE6" w14:textId="77777777" w:rsidR="00D06738" w:rsidRDefault="00D06738">
      <w:pPr>
        <w:tabs>
          <w:tab w:pos="1800" w:val="left"/>
        </w:tabs>
        <w:spacing w:line="360" w:lineRule="auto"/>
        <w:rPr>
          <w:rFonts w:asciiTheme="minorEastAsia" w:eastAsiaTheme="minorEastAsia" w:hAnsiTheme="minorEastAsia"/>
          <w:color w:themeColor="text1" w:val="000000"/>
          <w:sz w:val="24"/>
          <w:szCs w:val="24"/>
        </w:rPr>
      </w:pPr>
    </w:p>
    <w:p w14:paraId="6B938858" w14:textId="77777777" w:rsidR="00D06738" w:rsidRDefault="00D06738">
      <w:pPr>
        <w:tabs>
          <w:tab w:pos="1800" w:val="left"/>
        </w:tabs>
        <w:spacing w:line="288" w:lineRule="auto"/>
        <w:rPr>
          <w:rFonts w:asciiTheme="minorEastAsia" w:eastAsiaTheme="minorEastAsia" w:hAnsiTheme="minorEastAsia"/>
          <w:color w:themeColor="text1" w:val="000000"/>
          <w:sz w:val="24"/>
          <w:szCs w:val="24"/>
        </w:rPr>
      </w:pPr>
    </w:p>
    <w:p w14:paraId="0B771B4D"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4  </w:t>
      </w:r>
      <w:r>
        <w:rPr>
          <w:rFonts w:asciiTheme="minorEastAsia" w:eastAsiaTheme="minorEastAsia" w:hAnsiTheme="minorEastAsia" w:hint="eastAsia"/>
          <w:color w:themeColor="text1" w:val="000000"/>
          <w:kern w:val="0"/>
          <w:sz w:val="24"/>
          <w:szCs w:val="24"/>
        </w:rPr>
        <w:t>管理人报告</w:t>
      </w:r>
    </w:p>
    <w:p w14:paraId="735F051A"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4.1 </w:t>
      </w:r>
      <w:r>
        <w:rPr>
          <w:rFonts w:asciiTheme="minorEastAsia" w:eastAsiaTheme="minorEastAsia" w:hAnsiTheme="minorEastAsia" w:hint="eastAsia"/>
          <w:b/>
          <w:bCs/>
          <w:color w:themeColor="text1" w:val="000000"/>
          <w:kern w:val="0"/>
          <w:sz w:val="24"/>
          <w:szCs w:val="24"/>
        </w:rPr>
        <w:t>基金经理(或基金经理小组)简介</w:t>
      </w:r>
    </w:p>
    <w:tbl>
      <w:tblPr>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51"/>
        <w:gridCol w:w="850"/>
        <w:gridCol w:w="1560"/>
        <w:gridCol w:w="1559"/>
        <w:gridCol w:w="1417"/>
        <w:gridCol w:w="2694"/>
      </w:tblGrid>
      <w:tr w14:paraId="28062057" w14:textId="77777777" w:rsidR="00D06738">
        <w:trPr>
          <w:cantSplit/>
          <w:trHeight w:val="292"/>
        </w:trPr>
        <w:tc>
          <w:tcPr>
            <w:tcW w:type="dxa" w:w="851"/>
            <w:vMerge w:val="restart"/>
            <w:vAlign w:val="center"/>
          </w:tcPr>
          <w:p w14:paraId="1F53B620" w14:textId="77777777" w:rsidR="00D06738" w:rsidRDefault="00454D20">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姓名</w:t>
            </w:r>
          </w:p>
        </w:tc>
        <w:tc>
          <w:tcPr>
            <w:tcW w:type="dxa" w:w="850"/>
            <w:vMerge w:val="restart"/>
            <w:vAlign w:val="center"/>
          </w:tcPr>
          <w:p w14:paraId="697EB0E1" w14:textId="77777777" w:rsidR="00D06738" w:rsidRDefault="00454D20">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职务</w:t>
            </w:r>
          </w:p>
        </w:tc>
        <w:tc>
          <w:tcPr>
            <w:tcW w:type="dxa" w:w="3119"/>
            <w:gridSpan w:val="2"/>
            <w:vAlign w:val="center"/>
          </w:tcPr>
          <w:p w14:paraId="3C549DFA"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proofErr w:type="gramStart"/>
            <w:r>
              <w:rPr>
                <w:rFonts w:asciiTheme="minorEastAsia" w:cs="宋体" w:eastAsiaTheme="minorEastAsia" w:hAnsiTheme="minorEastAsia" w:hint="eastAsia"/>
                <w:color w:themeColor="text1" w:val="000000"/>
                <w:kern w:val="0"/>
              </w:rPr>
              <w:t>任本基金</w:t>
            </w:r>
            <w:proofErr w:type="gramEnd"/>
            <w:r>
              <w:rPr>
                <w:rFonts w:asciiTheme="minorEastAsia" w:cs="宋体" w:eastAsiaTheme="minorEastAsia" w:hAnsiTheme="minorEastAsia" w:hint="eastAsia"/>
                <w:color w:themeColor="text1" w:val="000000"/>
                <w:kern w:val="0"/>
              </w:rPr>
              <w:t>的基金经理期限</w:t>
            </w:r>
          </w:p>
        </w:tc>
        <w:tc>
          <w:tcPr>
            <w:tcW w:type="dxa" w:w="1417"/>
            <w:vMerge w:val="restart"/>
            <w:vAlign w:val="center"/>
          </w:tcPr>
          <w:p w14:paraId="153D4B6D"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证券从业年限</w:t>
            </w:r>
          </w:p>
        </w:tc>
        <w:tc>
          <w:tcPr>
            <w:tcW w:type="dxa" w:w="2694"/>
            <w:vMerge w:val="restart"/>
            <w:vAlign w:val="center"/>
          </w:tcPr>
          <w:p w14:paraId="6B8352A3" w14:textId="77777777" w:rsidR="00D06738" w:rsidRDefault="00454D20">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说明</w:t>
            </w:r>
          </w:p>
        </w:tc>
      </w:tr>
      <w:tr w14:paraId="12458907" w14:textId="77777777" w:rsidR="00D06738">
        <w:trPr>
          <w:cantSplit/>
        </w:trPr>
        <w:tc>
          <w:tcPr>
            <w:tcW w:type="dxa" w:w="851"/>
            <w:vMerge/>
            <w:vAlign w:val="center"/>
          </w:tcPr>
          <w:p w14:paraId="0E137D74" w14:textId="77777777" w:rsidR="00D06738" w:rsidRDefault="00D06738">
            <w:pPr>
              <w:widowControl/>
              <w:spacing w:line="360" w:lineRule="auto"/>
              <w:jc w:val="left"/>
              <w:rPr>
                <w:rFonts w:asciiTheme="minorEastAsia" w:eastAsiaTheme="minorEastAsia" w:hAnsiTheme="minorEastAsia"/>
                <w:color w:themeColor="text1" w:val="000000"/>
                <w:kern w:val="0"/>
              </w:rPr>
            </w:pPr>
          </w:p>
        </w:tc>
        <w:tc>
          <w:tcPr>
            <w:tcW w:type="dxa" w:w="850"/>
            <w:vMerge/>
            <w:vAlign w:val="center"/>
          </w:tcPr>
          <w:p w14:paraId="1CC0886F" w14:textId="77777777" w:rsidR="00D06738" w:rsidRDefault="00D06738">
            <w:pPr>
              <w:widowControl/>
              <w:spacing w:line="360" w:lineRule="auto"/>
              <w:jc w:val="left"/>
              <w:rPr>
                <w:rFonts w:asciiTheme="minorEastAsia" w:eastAsiaTheme="minorEastAsia" w:hAnsiTheme="minorEastAsia"/>
                <w:color w:themeColor="text1" w:val="000000"/>
                <w:kern w:val="0"/>
              </w:rPr>
            </w:pPr>
          </w:p>
        </w:tc>
        <w:tc>
          <w:tcPr>
            <w:tcW w:type="dxa" w:w="1560"/>
            <w:vAlign w:val="center"/>
          </w:tcPr>
          <w:p w14:paraId="213ED421" w14:textId="77777777" w:rsidR="00D06738" w:rsidRDefault="00454D20">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任职日期</w:t>
            </w:r>
          </w:p>
        </w:tc>
        <w:tc>
          <w:tcPr>
            <w:tcW w:type="dxa" w:w="1559"/>
            <w:vAlign w:val="center"/>
          </w:tcPr>
          <w:p w14:paraId="025CCC9C" w14:textId="77777777" w:rsidR="00D06738" w:rsidRDefault="00454D20">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离任日期</w:t>
            </w:r>
          </w:p>
        </w:tc>
        <w:tc>
          <w:tcPr>
            <w:tcW w:type="dxa" w:w="1417"/>
            <w:vMerge/>
            <w:vAlign w:val="center"/>
          </w:tcPr>
          <w:p w14:paraId="3D222F40" w14:textId="77777777" w:rsidR="00D06738" w:rsidRDefault="00D06738">
            <w:pPr>
              <w:widowControl/>
              <w:spacing w:line="360" w:lineRule="auto"/>
              <w:jc w:val="left"/>
              <w:rPr>
                <w:rFonts w:asciiTheme="minorEastAsia" w:eastAsiaTheme="minorEastAsia" w:hAnsiTheme="minorEastAsia"/>
                <w:color w:themeColor="text1" w:val="000000"/>
                <w:kern w:val="0"/>
              </w:rPr>
            </w:pPr>
          </w:p>
        </w:tc>
        <w:tc>
          <w:tcPr>
            <w:tcW w:type="dxa" w:w="2694"/>
            <w:vMerge/>
            <w:vAlign w:val="center"/>
          </w:tcPr>
          <w:p w14:paraId="637B7507" w14:textId="77777777" w:rsidR="00D06738" w:rsidRDefault="00D06738">
            <w:pPr>
              <w:widowControl/>
              <w:spacing w:line="360" w:lineRule="auto"/>
              <w:jc w:val="left"/>
              <w:rPr>
                <w:rFonts w:asciiTheme="minorEastAsia" w:eastAsiaTheme="minorEastAsia" w:hAnsiTheme="minorEastAsia"/>
                <w:color w:themeColor="text1" w:val="000000"/>
                <w:kern w:val="0"/>
              </w:rPr>
            </w:pPr>
          </w:p>
        </w:tc>
      </w:tr>
      <w:tr>
        <w:tc>
          <w:tcPr>
            <w:vAlign w:val="center"/>
          </w:tcPr>
          <w:p>
            <w:pPr>
              <w:jc w:val="center"/>
            </w:pPr>
            <w:r>
              <w:rPr>
                <w:rFonts w:asciiTheme="minorEastAsia" w:eastAsiaTheme="minorEastAsia" w:hAnsiTheme="minorEastAsia"/>
                <w:color w:themeColor="text1" w:val="000000"/>
              </w:rPr>
              <w:t>郭晨</w:t>
            </w:r>
          </w:p>
        </w:tc>
        <w:tc>
          <w:tcPr>
            <w:vAlign w:val="center"/>
          </w:tcPr>
          <w:p>
            <w:pPr>
              <w:jc w:val="center"/>
            </w:pPr>
            <w:r>
              <w:rPr>
                <w:rFonts w:asciiTheme="minorEastAsia" w:eastAsiaTheme="minorEastAsia" w:hAnsiTheme="minorEastAsia"/>
                <w:color w:themeColor="text1" w:val="000000"/>
              </w:rPr>
              <w:t>本基金基金经理</w:t>
            </w:r>
          </w:p>
        </w:tc>
        <w:tc>
          <w:tcPr>
            <w:vAlign w:val="center"/>
          </w:tcPr>
          <w:p>
            <w:pPr>
              <w:jc w:val="center"/>
            </w:pPr>
            <w:r>
              <w:rPr>
                <w:rFonts w:asciiTheme="minorEastAsia" w:eastAsiaTheme="minorEastAsia" w:hAnsiTheme="minorEastAsia"/>
                <w:color w:themeColor="text1" w:val="000000"/>
              </w:rPr>
              <w:t>2015-01-30</w:t>
            </w:r>
          </w:p>
        </w:tc>
        <w:tc>
          <w:tcPr>
            <w:vAlign w:val="center"/>
          </w:tcPr>
          <w:p>
            <w:pPr>
              <w:jc w:val="center"/>
            </w:pPr>
            <w:r>
              <w:rPr>
                <w:rFonts w:asciiTheme="minorEastAsia" w:eastAsiaTheme="minorEastAsia" w:hAnsiTheme="minorEastAsia"/>
                <w:color w:themeColor="text1" w:val="000000"/>
              </w:rPr>
              <w:t>-</w:t>
            </w:r>
          </w:p>
        </w:tc>
        <w:tc>
          <w:tcPr>
            <w:vAlign w:val="center"/>
          </w:tcPr>
          <w:p>
            <w:pPr>
              <w:jc w:val="center"/>
            </w:pPr>
            <w:r>
              <w:rPr>
                <w:rFonts w:asciiTheme="minorEastAsia" w:eastAsiaTheme="minorEastAsia" w:hAnsiTheme="minorEastAsia"/>
                <w:color w:themeColor="text1" w:val="000000"/>
              </w:rPr>
              <w:t>14年</w:t>
            </w:r>
          </w:p>
        </w:tc>
        <w:tc>
          <w:tcPr>
            <w:vAlign w:val="center"/>
          </w:tcPr>
          <w:p>
            <w:pPr>
              <w:jc w:val="both"/>
            </w:pPr>
            <w:r>
              <w:rPr>
                <w:rFonts w:asciiTheme="minorEastAsia" w:eastAsiaTheme="minorEastAsia" w:hAnsiTheme="minorEastAsia"/>
                <w:color w:themeColor="text1" w:val="000000"/>
              </w:rPr>
              <w:t>郭晨先生，自2007年7月至2008年4月在平安资产管理有限公司担任分析师；2008年4月至2009年11月在东吴基金管理有限公司担任研究员；2009年11月至2014年10月在华富基金管理有限公司先后担任基金经理助理、基金经理，自2014年10月起加入上投摩根基金管理有限公司担任基金经理、国内权益投资部动力组组长兼资深基金经理，自2015年1月起担任上投摩根中小盘混合型证券投资基金基金经理，自2015年6月起同时担任上投摩根智慧互联股票型证券投资基金基金经理，自2015年8月起同时担任上投摩根新兴服务股票型证券投资基金基金经理，自2019年3月起同时担任上投摩根创新商业模式灵活配置混合型证券投资基金基金经理。</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注：1.任职日期和离任日期均指根据公司决定确定的聘任日期和解聘日期。</w:t>
      </w:r>
    </w:p>
    <w:p w14:paraId="617FFBB9"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gramEnd"/>
      <w:r>
        <w:rPr>
          <w:rFonts w:asciiTheme="minorEastAsia" w:eastAsiaTheme="minorEastAsia" w:hAnsiTheme="minorEastAsia"/>
          <w:color w:themeColor="text1" w:val="000000"/>
        </w:rPr>
        <w:t>2.证券从业的含义遵从行业协会《证券业从业人员资格管理办法》的相关规定。</w:t>
      </w:r>
    </w:p>
    <w:p w14:paraId="4FBEFD21"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4.2 </w:t>
      </w:r>
      <w:r>
        <w:rPr>
          <w:rFonts w:asciiTheme="minorEastAsia" w:eastAsiaTheme="minorEastAsia" w:hAnsiTheme="minorEastAsia" w:hint="eastAsia"/>
          <w:b/>
          <w:bCs/>
          <w:color w:themeColor="text1" w:val="000000"/>
          <w:kern w:val="0"/>
          <w:sz w:val="24"/>
          <w:szCs w:val="24"/>
        </w:rPr>
        <w:t>管理人对报告期内本基金运作遵规守信情况的说明</w:t>
      </w:r>
    </w:p>
    <w:p w14:paraId="6D01CD8D"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在本报告期内，基金管理人不存在损害基金份额持有人利益的行为，勤勉尽责地为基金份额持有人谋求利益。基金管理人遵守了《证券投资基金法》及其他有关法律法规、《上投摩根中小盘混合型证券投资基金基金合同》的规定。基金经理对个股和投资组合的比例遵循了投资决策委员会的授权限制，基金投资比例符合基金合同和法律法规的要求。</w:t>
      </w:r>
    </w:p>
    <w:p w14:paraId="79379002"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639C8B3E"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4.3 </w:t>
      </w:r>
      <w:r>
        <w:rPr>
          <w:rFonts w:asciiTheme="minorEastAsia" w:eastAsiaTheme="minorEastAsia" w:hAnsiTheme="minorEastAsia" w:hint="eastAsia"/>
          <w:b/>
          <w:bCs/>
          <w:color w:themeColor="text1" w:val="000000"/>
          <w:kern w:val="0"/>
          <w:sz w:val="24"/>
          <w:szCs w:val="24"/>
        </w:rPr>
        <w:t>公平交易专项说明</w:t>
      </w:r>
    </w:p>
    <w:p w14:paraId="0796C6BB"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4.3.1 </w:t>
      </w:r>
      <w:r>
        <w:rPr>
          <w:rFonts w:asciiTheme="minorEastAsia" w:eastAsiaTheme="minorEastAsia" w:hAnsiTheme="minorEastAsia" w:hint="eastAsia"/>
          <w:color w:themeColor="text1" w:val="000000"/>
          <w:sz w:val="24"/>
          <w:szCs w:val="24"/>
        </w:rPr>
        <w:t>公平交易制度的执行情况</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14:paraId="3E52BB6A"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报告期内，通过对不同投资组合之间的收益率差异比较、对同向交易和反向交易的交易时机和交易价差监控分析，未发现整体公平交易执行出现异常的情况。</w:t>
      </w:r>
    </w:p>
    <w:p w14:paraId="06ECB64A"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4.3.2 </w:t>
      </w:r>
      <w:r>
        <w:rPr>
          <w:rFonts w:asciiTheme="minorEastAsia" w:eastAsiaTheme="minorEastAsia" w:hAnsiTheme="minorEastAsia" w:hint="eastAsia"/>
          <w:color w:themeColor="text1" w:val="000000"/>
          <w:sz w:val="24"/>
          <w:szCs w:val="24"/>
        </w:rPr>
        <w:t>异常交易行为的专项说明</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报告期内，通过对交易价格、交易时间、交易方向等的分析，未发现有可能导致不公平交易和利益输送的异常交易行为。</w:t>
      </w:r>
    </w:p>
    <w:p w14:paraId="4219F41F"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所有投资组合参与的交易所公开竞价同日反向交易成交较少的单边交易量超过该证券当日成交量的5%的情形：无。</w:t>
      </w:r>
    </w:p>
    <w:p w14:paraId="78B72EC9"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268AD9F2"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4.4 </w:t>
      </w:r>
      <w:r>
        <w:rPr>
          <w:rFonts w:asciiTheme="minorEastAsia" w:eastAsiaTheme="minorEastAsia" w:hAnsiTheme="minorEastAsia" w:hint="eastAsia"/>
          <w:b/>
          <w:bCs/>
          <w:color w:themeColor="text1" w:val="000000"/>
          <w:kern w:val="0"/>
          <w:sz w:val="24"/>
          <w:szCs w:val="24"/>
        </w:rPr>
        <w:t>报告期内基金的投资策略和业绩表现说明</w:t>
      </w:r>
    </w:p>
    <w:p w14:paraId="37D7D562"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4.4.1</w:t>
      </w:r>
      <w:r>
        <w:rPr>
          <w:rFonts w:asciiTheme="minorEastAsia" w:cs="宋体" w:eastAsiaTheme="minorEastAsia" w:hAnsiTheme="minorEastAsia" w:hint="eastAsia"/>
          <w:color w:themeColor="text1" w:val="000000"/>
          <w:sz w:val="24"/>
          <w:szCs w:val="24"/>
        </w:rPr>
        <w:t>报告期内基金投资策略和运作分析</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季度市场整体表现不错，沪深300指数涨幅达到13.60%，创业板指数上涨15.21%，市场整体比较活跃，两市成交额温和放大，呈现出慢牛的走势。表现比较好的行业依然是前期强势板块，比如新能源汽车、光伏、食品饮料等。今年新基金发行火爆，机构话语权增强，资金通过机构入市的趋势逐渐形成，市场结构分化越来越明显。四季度美国大选结束，海外疫情依然严峻，但是疫苗的研发出现曙光，全球资本市场开始预期未来经济的恢复，风险偏好提升，加上流动性非常充裕，全球大宗商品和股市都表现不错。国内疫情控制良好，经济平稳，出口超预期，对市场整体都是利好。</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四季度本基金考虑到年底市场的不确定性，仓位比较灵活，行业和个股配置上更加均衡，继续超配长期看好的科技、光伏、医药、新能源汽车、消费等行业，也是本基金一直长期持有的一些行业和公司。本基金始终坚持价值投资思路，坚持配置高景气度行业，选择高景气行业中优秀的龙头公司长期投资。</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展望2021年一季度我们继续乐观，随着疫苗逐渐开始应用，疫情有望得到控制。考虑到低基数原因，2021年一季度全球经济增速预计都比较亮眼，上市公司业绩也有望加速。另外一季度受益于流动性的改善和全年各种经济政策的出台，股市也会有一定的表现。整体来看A股市场的估值不贵，三千点附近处于长期底部，A股市场没有大的系统性风险，也很难出现快牛、疯牛。未来有望走出长期慢牛行情，类似于海外成熟市场的走势。一季度结构性行情大概率将持续。</w:t>
      </w:r>
    </w:p>
    <w:p w14:paraId="6E21DA7A"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我们会始终坚持价值投资，坚持超配高景气度行业，选择朝阳行业中优秀的龙头公司长期投资。我们依然战略看好高科技、先进制造等成长板块和与百姓生活相关的消费、医药行业，致力长期投资高景气度、高成长，低估值的优秀龙头公司。行业上，半导体、消费电子、新能源汽车、消费、医药、光伏等行业的景气度依然长期看好。合理的估值，业绩增速，成长的确定性是本基金最看重的。</w:t>
      </w:r>
    </w:p>
    <w:p w14:paraId="23C77E45"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4.4.2</w:t>
      </w:r>
      <w:r>
        <w:rPr>
          <w:rFonts w:asciiTheme="minorEastAsia" w:cs="宋体" w:eastAsiaTheme="minorEastAsia" w:hAnsiTheme="minorEastAsia" w:hint="eastAsia"/>
          <w:color w:themeColor="text1" w:val="000000"/>
          <w:sz w:val="24"/>
          <w:szCs w:val="24"/>
        </w:rPr>
        <w:t>报告期内基金的业绩表现</w:t>
      </w:r>
    </w:p>
    <w:p w14:paraId="3743F1F6"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本报告期上投摩根中小盘混合份额净值增长率为:16.71%，同期业绩比较基准收益率为:5.49%。</w:t>
      </w:r>
    </w:p>
    <w:p w14:paraId="44A63C7D"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7FECA9F5"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b/>
          <w:color w:themeColor="text1" w:val="000000"/>
          <w:kern w:val="0"/>
          <w:sz w:val="24"/>
          <w:szCs w:val="24"/>
        </w:rPr>
        <w:t/>
      </w:r>
      <w:proofErr w:type="spellStart"/>
      <w:r>
        <w:rPr>
          <w:rFonts w:asciiTheme="minorEastAsia" w:eastAsiaTheme="minorEastAsia" w:hAnsiTheme="minorEastAsia"/>
          <w:b/>
          <w:color w:themeColor="text1" w:val="000000"/>
          <w:kern w:val="0"/>
          <w:sz w:val="24"/>
          <w:szCs w:val="24"/>
        </w:rPr>
        <w:t/>
      </w:r>
      <w:proofErr w:type="spellEnd"/>
      <w:r>
        <w:rPr>
          <w:rFonts w:asciiTheme="minorEastAsia" w:eastAsiaTheme="minorEastAsia" w:hAnsiTheme="minorEastAsia"/>
          <w:b/>
          <w:color w:themeColor="text1" w:val="000000"/>
          <w:kern w:val="0"/>
          <w:sz w:val="24"/>
          <w:szCs w:val="24"/>
        </w:rPr>
        <w:t>4</w:t>
      </w:r>
      <w:r>
        <w:rPr>
          <w:rFonts w:asciiTheme="minorEastAsia" w:eastAsiaTheme="minorEastAsia" w:hAnsiTheme="minorEastAsia" w:hint="eastAsia"/>
          <w:b/>
          <w:color w:themeColor="text1" w:val="000000"/>
          <w:kern w:val="0"/>
          <w:sz w:val="24"/>
          <w:szCs w:val="24"/>
        </w:rPr>
        <w:t>.5报告期内基金持有人数或基金资产净值预警说明</w:t>
      </w:r>
    </w:p>
    <w:p w14:paraId="35411AB5"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eastAsiaTheme="minorEastAsia" w:hAnsiTheme="minorEastAsia"/>
          <w:color w:themeColor="text1" w:val="000000"/>
        </w:rPr>
        <w:t/>
      </w:r>
      <w:r>
        <w:rPr>
          <w:rFonts w:asciiTheme="minorEastAsia" w:eastAsiaTheme="minorEastAsia" w:hAnsiTheme="minorEastAsia"/>
          <w:color w:themeColor="text1" w:val="000000"/>
          <w:kern w:val="0"/>
        </w:rPr>
        <w:t>无。</w:t>
      </w:r>
    </w:p>
    <w:p w14:paraId="1DAA7197"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lastRenderedPageBreak/>
        <w:t>§5</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投资组合报告</w:t>
      </w:r>
    </w:p>
    <w:p w14:paraId="2ED46D8C"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5.1 </w:t>
      </w:r>
      <w:r>
        <w:rPr>
          <w:rFonts w:asciiTheme="minorEastAsia" w:eastAsiaTheme="minorEastAsia" w:hAnsiTheme="minorEastAsia" w:hint="eastAsia"/>
          <w:b/>
          <w:bCs/>
          <w:color w:themeColor="text1" w:val="000000"/>
          <w:kern w:val="0"/>
          <w:sz w:val="24"/>
          <w:szCs w:val="24"/>
        </w:rPr>
        <w:t>报告期末基金资产组合情况</w:t>
      </w:r>
    </w:p>
    <w:tbl>
      <w:tblPr>
        <w:tblStyle w:val="aff4"/>
        <w:tblW w:type="dxa" w:w="8897"/>
        <w:jc w:val="center"/>
        <w:tblLayout w:type="fixed"/>
        <w:tblLook w:firstColumn="1" w:firstRow="1" w:lastColumn="0" w:lastRow="0" w:noHBand="0" w:noVBand="1" w:val="04A0"/>
      </w:tblPr>
      <w:tblGrid>
        <w:gridCol w:w="720"/>
        <w:gridCol w:w="3357"/>
        <w:gridCol w:w="2977"/>
        <w:gridCol w:w="1843"/>
      </w:tblGrid>
      <w:tr w14:paraId="0557169A" w14:textId="77777777" w:rsidR="00D06738">
        <w:trPr>
          <w:jc w:val="center"/>
        </w:trPr>
        <w:tc>
          <w:tcPr>
            <w:tcW w:type="dxa" w:w="720"/>
            <w:vAlign w:val="center"/>
          </w:tcPr>
          <w:p w14:paraId="267B5679"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序号</w:t>
            </w:r>
          </w:p>
        </w:tc>
        <w:tc>
          <w:tcPr>
            <w:tcW w:type="dxa" w:w="3357"/>
            <w:vAlign w:val="center"/>
          </w:tcPr>
          <w:p w14:paraId="64B125CA"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项目</w:t>
            </w:r>
          </w:p>
        </w:tc>
        <w:tc>
          <w:tcPr>
            <w:tcW w:type="dxa" w:w="2977"/>
            <w:vAlign w:val="center"/>
          </w:tcPr>
          <w:p w14:paraId="7B039B4F"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金额(元)</w:t>
            </w:r>
          </w:p>
        </w:tc>
        <w:tc>
          <w:tcPr>
            <w:tcW w:type="dxa" w:w="1843"/>
            <w:vAlign w:val="center"/>
          </w:tcPr>
          <w:p w14:paraId="546A193D"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占基金总资产的比例(</w:t>
            </w:r>
            <w:r>
              <w:rPr>
                <w:rFonts w:asciiTheme="minorEastAsia" w:eastAsiaTheme="minorEastAsia" w:hAnsiTheme="minorEastAsia"/>
                <w:color w:themeColor="text1" w:val="000000"/>
                <w:kern w:val="0"/>
              </w:rPr>
              <w:t>%</w:t>
            </w:r>
            <w:r>
              <w:rPr>
                <w:rFonts w:asciiTheme="minorEastAsia" w:eastAsiaTheme="minorEastAsia" w:hAnsiTheme="minorEastAsia" w:hint="eastAsia"/>
                <w:color w:themeColor="text1" w:val="000000"/>
                <w:kern w:val="0"/>
              </w:rPr>
              <w:t>)</w:t>
            </w:r>
          </w:p>
        </w:tc>
      </w:tr>
      <w:tr w14:paraId="2C5F8168" w14:textId="77777777" w:rsidR="00D06738">
        <w:trPr>
          <w:jc w:val="center"/>
        </w:trPr>
        <w:tc>
          <w:tcPr>
            <w:tcW w:type="dxa" w:w="720"/>
            <w:vAlign w:val="center"/>
          </w:tcPr>
          <w:p w14:paraId="790AB276"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1</w:t>
            </w:r>
          </w:p>
        </w:tc>
        <w:tc>
          <w:tcPr>
            <w:tcW w:type="dxa" w:w="3357"/>
            <w:vAlign w:val="center"/>
          </w:tcPr>
          <w:p w14:paraId="2A6D52A1"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权益投资</w:t>
            </w:r>
          </w:p>
        </w:tc>
        <w:tc>
          <w:tcPr>
            <w:tcW w:type="dxa" w:w="2977"/>
            <w:vAlign w:val="center"/>
          </w:tcPr>
          <w:p w14:paraId="3F07A469"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726,022,959.92</w:t>
            </w:r>
          </w:p>
        </w:tc>
        <w:tc>
          <w:tcPr>
            <w:tcW w:type="dxa" w:w="1843"/>
            <w:vAlign w:val="center"/>
          </w:tcPr>
          <w:p w14:paraId="233B134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84.66</w:t>
            </w:r>
          </w:p>
        </w:tc>
      </w:tr>
      <w:tr w14:paraId="2113730F" w14:textId="77777777" w:rsidR="00D06738">
        <w:trPr>
          <w:jc w:val="center"/>
        </w:trPr>
        <w:tc>
          <w:tcPr>
            <w:tcW w:type="dxa" w:w="720"/>
            <w:vAlign w:val="center"/>
          </w:tcPr>
          <w:p w14:paraId="66F43ADC"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42830015"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其中：股票</w:t>
            </w:r>
          </w:p>
        </w:tc>
        <w:tc>
          <w:tcPr>
            <w:tcW w:type="dxa" w:w="2977"/>
            <w:vAlign w:val="center"/>
          </w:tcPr>
          <w:p w14:paraId="36A710A1"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726,022,959.92</w:t>
            </w:r>
          </w:p>
        </w:tc>
        <w:tc>
          <w:tcPr>
            <w:tcW w:type="dxa" w:w="1843"/>
            <w:vAlign w:val="center"/>
          </w:tcPr>
          <w:p w14:paraId="4235B2A6"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84.66</w:t>
            </w:r>
          </w:p>
        </w:tc>
      </w:tr>
      <w:tr w14:paraId="7AF15202" w14:textId="77777777" w:rsidR="00D06738">
        <w:trPr>
          <w:jc w:val="center"/>
        </w:trPr>
        <w:tc>
          <w:tcPr>
            <w:tcW w:type="dxa" w:w="720"/>
            <w:vAlign w:val="center"/>
          </w:tcPr>
          <w:p w14:paraId="0231B762"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2</w:t>
            </w:r>
          </w:p>
        </w:tc>
        <w:tc>
          <w:tcPr>
            <w:tcW w:type="dxa" w:w="3357"/>
            <w:vAlign w:val="center"/>
          </w:tcPr>
          <w:p w14:paraId="4854CF2B"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固定收益投资</w:t>
            </w:r>
          </w:p>
        </w:tc>
        <w:tc>
          <w:tcPr>
            <w:tcW w:type="dxa" w:w="2977"/>
            <w:vAlign w:val="center"/>
          </w:tcPr>
          <w:p w14:paraId="789C70AC"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617,000.00</w:t>
            </w:r>
          </w:p>
        </w:tc>
        <w:tc>
          <w:tcPr>
            <w:tcW w:type="dxa" w:w="1843"/>
            <w:vAlign w:val="center"/>
          </w:tcPr>
          <w:p w14:paraId="249B7557"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0.07</w:t>
            </w:r>
          </w:p>
        </w:tc>
      </w:tr>
      <w:tr w14:paraId="19D15F90" w14:textId="77777777" w:rsidR="00D06738">
        <w:trPr>
          <w:jc w:val="center"/>
        </w:trPr>
        <w:tc>
          <w:tcPr>
            <w:tcW w:type="dxa" w:w="720"/>
            <w:vAlign w:val="center"/>
          </w:tcPr>
          <w:p w14:paraId="16E41AE7"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47E8D347"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其中：债券</w:t>
            </w:r>
          </w:p>
        </w:tc>
        <w:tc>
          <w:tcPr>
            <w:tcW w:type="dxa" w:w="2977"/>
            <w:vAlign w:val="center"/>
          </w:tcPr>
          <w:p w14:paraId="49FE2FF2"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617,000.00</w:t>
            </w:r>
          </w:p>
        </w:tc>
        <w:tc>
          <w:tcPr>
            <w:tcW w:type="dxa" w:w="1843"/>
            <w:vAlign w:val="center"/>
          </w:tcPr>
          <w:p w14:paraId="378238FF"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0.07</w:t>
            </w:r>
          </w:p>
        </w:tc>
      </w:tr>
      <w:tr w14:paraId="62562C15" w14:textId="77777777" w:rsidR="00D06738">
        <w:trPr>
          <w:jc w:val="center"/>
        </w:trPr>
        <w:tc>
          <w:tcPr>
            <w:tcW w:type="dxa" w:w="720"/>
            <w:vAlign w:val="center"/>
          </w:tcPr>
          <w:p w14:paraId="104BD163"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47AC6DAD" w14:textId="77777777" w:rsidR="00D06738" w:rsidRDefault="00454D20">
            <w:pPr>
              <w:autoSpaceDE w:val="0"/>
              <w:autoSpaceDN w:val="0"/>
              <w:adjustRightInd w:val="0"/>
              <w:spacing w:before="29" w:line="360" w:lineRule="auto"/>
              <w:ind w:firstLine="525" w:firstLineChars="250"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资产支持证券</w:t>
            </w:r>
          </w:p>
        </w:tc>
        <w:tc>
          <w:tcPr>
            <w:tcW w:type="dxa" w:w="2977"/>
            <w:vAlign w:val="center"/>
          </w:tcPr>
          <w:p w14:paraId="3CF84DD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1CCF9364"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color w:themeColor="text1" w:val="000000"/>
                <w:kern w:val="0"/>
              </w:rPr>
              <w:lastRenderedPageBreak/>
              <w:t/>
            </w:r>
            <w:r>
              <w:rPr>
                <w:rFonts w:asciiTheme="minorEastAsia" w:cs="宋体" w:eastAsiaTheme="minorEastAsia" w:hAnsiTheme="minorEastAsia" w:hint="eastAsia"/>
                <w:color w:themeColor="text1" w:val="000000"/>
                <w:kern w:val="0"/>
              </w:rPr>
              <w:t>-</w:t>
            </w:r>
          </w:p>
        </w:tc>
      </w:tr>
      <w:tr w14:paraId="3F449325" w14:textId="77777777" w:rsidR="00D06738">
        <w:trPr>
          <w:jc w:val="center"/>
        </w:trPr>
        <w:tc>
          <w:tcPr>
            <w:tcW w:type="dxa" w:w="720"/>
          </w:tcPr>
          <w:p w14:paraId="1EE609C8"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lastRenderedPageBreak/>
              <w:t>3</w:t>
            </w:r>
          </w:p>
        </w:tc>
        <w:tc>
          <w:tcPr>
            <w:tcW w:type="dxa" w:w="3357"/>
          </w:tcPr>
          <w:p w14:paraId="7A120390" w14:textId="77777777" w:rsidR="00D06738" w:rsidRDefault="00454D20">
            <w:pPr>
              <w:spacing w:before="29" w:line="360" w:lineRule="auto"/>
              <w:ind w:left="105" w:leftChars="50"/>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贵金属投资</w:t>
            </w:r>
          </w:p>
        </w:tc>
        <w:tc>
          <w:tcPr>
            <w:tcW w:type="dxa" w:w="2977"/>
            <w:vAlign w:val="center"/>
          </w:tcPr>
          <w:p w14:paraId="201F9736"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76F8BBA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r>
      <w:tr w14:paraId="40209BD0" w14:textId="77777777" w:rsidR="00D06738">
        <w:trPr>
          <w:jc w:val="center"/>
        </w:trPr>
        <w:tc>
          <w:tcPr>
            <w:tcW w:type="dxa" w:w="720"/>
            <w:vAlign w:val="center"/>
          </w:tcPr>
          <w:p w14:paraId="44CDCE61"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4</w:t>
            </w:r>
          </w:p>
        </w:tc>
        <w:tc>
          <w:tcPr>
            <w:tcW w:type="dxa" w:w="3357"/>
            <w:vAlign w:val="center"/>
          </w:tcPr>
          <w:p w14:paraId="26733435"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金融衍生</w:t>
            </w:r>
            <w:proofErr w:type="gramStart"/>
            <w:r>
              <w:rPr>
                <w:rFonts w:asciiTheme="minorEastAsia" w:cs="宋体" w:eastAsiaTheme="minorEastAsia" w:hAnsiTheme="minorEastAsia" w:hint="eastAsia"/>
                <w:color w:themeColor="text1" w:val="000000"/>
                <w:kern w:val="0"/>
              </w:rPr>
              <w:t>品投资</w:t>
            </w:r>
            <w:proofErr w:type="gramEnd"/>
          </w:p>
        </w:tc>
        <w:tc>
          <w:tcPr>
            <w:tcW w:type="dxa" w:w="2977"/>
            <w:vAlign w:val="center"/>
          </w:tcPr>
          <w:p w14:paraId="2CA6AE5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117B3EB0"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69083124" w14:textId="77777777" w:rsidR="00D06738">
        <w:trPr>
          <w:jc w:val="center"/>
        </w:trPr>
        <w:tc>
          <w:tcPr>
            <w:tcW w:type="dxa" w:w="720"/>
            <w:vAlign w:val="center"/>
          </w:tcPr>
          <w:p w14:paraId="3E06450B"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5</w:t>
            </w:r>
          </w:p>
        </w:tc>
        <w:tc>
          <w:tcPr>
            <w:tcW w:type="dxa" w:w="3357"/>
            <w:vAlign w:val="center"/>
          </w:tcPr>
          <w:p w14:paraId="11937F9B"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买入返售金融资产</w:t>
            </w:r>
          </w:p>
        </w:tc>
        <w:tc>
          <w:tcPr>
            <w:tcW w:type="dxa" w:w="2977"/>
            <w:vAlign w:val="center"/>
          </w:tcPr>
          <w:p w14:paraId="6293112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3F06200C"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5EFCF5A8" w14:textId="77777777" w:rsidR="00D06738">
        <w:trPr>
          <w:jc w:val="center"/>
        </w:trPr>
        <w:tc>
          <w:tcPr>
            <w:tcW w:type="dxa" w:w="720"/>
            <w:vAlign w:val="center"/>
          </w:tcPr>
          <w:p w14:paraId="7A522889"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3CEA16A4"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其中：买断式回购的买入返售金融资产</w:t>
            </w:r>
          </w:p>
        </w:tc>
        <w:tc>
          <w:tcPr>
            <w:tcW w:type="dxa" w:w="2977"/>
            <w:vAlign w:val="center"/>
          </w:tcPr>
          <w:p w14:paraId="7B73699E"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c>
          <w:tcPr>
            <w:tcW w:type="dxa" w:w="1843"/>
            <w:vAlign w:val="center"/>
          </w:tcPr>
          <w:p w14:paraId="15A7BCA6"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786251D7" w14:textId="77777777" w:rsidR="00D06738">
        <w:trPr>
          <w:jc w:val="center"/>
        </w:trPr>
        <w:tc>
          <w:tcPr>
            <w:tcW w:type="dxa" w:w="720"/>
            <w:vAlign w:val="center"/>
          </w:tcPr>
          <w:p w14:paraId="29692791"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6</w:t>
            </w:r>
          </w:p>
        </w:tc>
        <w:tc>
          <w:tcPr>
            <w:tcW w:type="dxa" w:w="3357"/>
            <w:vAlign w:val="center"/>
          </w:tcPr>
          <w:p w14:paraId="421FB0FB"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银行存款和结算备付金合计</w:t>
            </w:r>
          </w:p>
        </w:tc>
        <w:tc>
          <w:tcPr>
            <w:tcW w:type="dxa" w:w="2977"/>
            <w:vAlign w:val="center"/>
          </w:tcPr>
          <w:p w14:paraId="54D555B7"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130,499,983.41</w:t>
            </w:r>
          </w:p>
        </w:tc>
        <w:tc>
          <w:tcPr>
            <w:tcW w:type="dxa" w:w="1843"/>
            <w:vAlign w:val="center"/>
          </w:tcPr>
          <w:p w14:paraId="174620B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15.22</w:t>
            </w:r>
          </w:p>
        </w:tc>
      </w:tr>
      <w:tr w14:paraId="42ECF5E1" w14:textId="77777777" w:rsidR="00D06738">
        <w:trPr>
          <w:jc w:val="center"/>
        </w:trPr>
        <w:tc>
          <w:tcPr>
            <w:tcW w:type="dxa" w:w="720"/>
            <w:vAlign w:val="center"/>
          </w:tcPr>
          <w:p w14:paraId="59AA2BC1"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r>
              <w:rPr>
                <w:rFonts w:asciiTheme="minorEastAsia" w:eastAsiaTheme="minorEastAsia" w:hAnsiTheme="minorEastAsia" w:hint="eastAsia"/>
                <w:color w:themeColor="text1" w:val="000000"/>
                <w:kern w:val="0"/>
              </w:rPr>
              <w:t/>
            </w:r>
            <w:r>
              <w:rPr>
                <w:rFonts w:asciiTheme="minorEastAsia" w:eastAsiaTheme="minorEastAsia" w:hAnsiTheme="minorEastAsia"/>
                <w:color w:themeColor="text1" w:val="000000"/>
                <w:kern w:val="0"/>
              </w:rPr>
              <w:t>7</w:t>
            </w:r>
          </w:p>
        </w:tc>
        <w:tc>
          <w:tcPr>
            <w:tcW w:type="dxa" w:w="3357"/>
            <w:vAlign w:val="center"/>
          </w:tcPr>
          <w:p w14:paraId="705D6B78" w14:textId="77777777" w:rsidR="00D06738" w:rsidRDefault="00454D20">
            <w:pPr>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其他各项资产</w:t>
            </w:r>
          </w:p>
        </w:tc>
        <w:tc>
          <w:tcPr>
            <w:tcW w:type="dxa" w:w="2977"/>
            <w:vAlign w:val="center"/>
          </w:tcPr>
          <w:p w14:paraId="4AF0CB10"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485,519.92</w:t>
            </w:r>
          </w:p>
        </w:tc>
        <w:tc>
          <w:tcPr>
            <w:tcW w:type="dxa" w:w="1843"/>
            <w:vAlign w:val="center"/>
          </w:tcPr>
          <w:p w14:paraId="12AAF10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0.06</w:t>
            </w:r>
          </w:p>
        </w:tc>
      </w:tr>
      <w:tr w14:paraId="4D6FFA71" w14:textId="77777777" w:rsidR="00D06738">
        <w:trPr>
          <w:jc w:val="center"/>
        </w:trPr>
        <w:tc>
          <w:tcPr>
            <w:tcW w:type="dxa" w:w="720"/>
            <w:vAlign w:val="center"/>
          </w:tcPr>
          <w:p w14:paraId="17A180E6"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r>
              <w:rPr>
                <w:rFonts w:asciiTheme="minorEastAsia" w:eastAsiaTheme="minorEastAsia" w:hAnsiTheme="minorEastAsia" w:hint="eastAsia"/>
                <w:color w:themeColor="text1" w:val="000000"/>
                <w:kern w:val="0"/>
              </w:rPr>
              <w:t/>
            </w:r>
            <w:r>
              <w:rPr>
                <w:rFonts w:asciiTheme="minorEastAsia" w:eastAsiaTheme="minorEastAsia" w:hAnsiTheme="minorEastAsia"/>
                <w:color w:themeColor="text1" w:val="000000"/>
                <w:kern w:val="0"/>
              </w:rPr>
              <w:t>8</w:t>
            </w:r>
          </w:p>
        </w:tc>
        <w:tc>
          <w:tcPr>
            <w:tcW w:type="dxa" w:w="3357"/>
            <w:vAlign w:val="center"/>
          </w:tcPr>
          <w:p w14:paraId="29DAA7F6" w14:textId="77777777" w:rsidR="00D06738" w:rsidRDefault="00454D20">
            <w:pPr>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合计</w:t>
            </w:r>
          </w:p>
        </w:tc>
        <w:tc>
          <w:tcPr>
            <w:tcW w:type="dxa" w:w="2977"/>
            <w:vAlign w:val="center"/>
          </w:tcPr>
          <w:p w14:paraId="446A48E1"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857,625,463.25</w:t>
            </w:r>
          </w:p>
        </w:tc>
        <w:tc>
          <w:tcPr>
            <w:tcW w:type="dxa" w:w="1843"/>
            <w:vAlign w:val="center"/>
          </w:tcPr>
          <w:p w14:paraId="3C7AC8A3"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100.00</w:t>
            </w:r>
          </w:p>
        </w:tc>
      </w:tr>
    </w:tbl>
    <w:p w14:paraId="6175743F" w14:textId="77777777" w:rsidR="00D06738" w:rsidRDefault="00D06738">
      <w:pPr>
        <w:autoSpaceDE w:val="0"/>
        <w:autoSpaceDN w:val="0"/>
        <w:adjustRightInd w:val="0"/>
        <w:spacing w:line="360" w:lineRule="auto"/>
        <w:jc w:val="left"/>
        <w:rPr>
          <w:rFonts w:asciiTheme="minorEastAsia" w:cs="宋体" w:eastAsiaTheme="minorEastAsia" w:hAnsiTheme="minorEastAsia"/>
          <w:color w:themeColor="text1" w:val="000000"/>
          <w:sz w:val="24"/>
          <w:szCs w:val="24"/>
        </w:rPr>
      </w:pPr>
    </w:p>
    <w:p w14:paraId="71F975B1"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5.2 </w:t>
      </w:r>
      <w:r>
        <w:rPr>
          <w:rFonts w:asciiTheme="minorEastAsia" w:eastAsiaTheme="minorEastAsia" w:hAnsiTheme="minorEastAsia" w:hint="eastAsia"/>
          <w:b/>
          <w:bCs/>
          <w:color w:themeColor="text1" w:val="000000"/>
          <w:kern w:val="0"/>
          <w:sz w:val="24"/>
          <w:szCs w:val="24"/>
        </w:rPr>
        <w:t>报告期末按行业分类的股票投资组合</w:t>
      </w:r>
    </w:p>
    <w:p w14:paraId="0A24FB38" w14:textId="77777777" w:rsidR="00D06738" w:rsidRDefault="00454D20">
      <w:pPr>
        <w:rPr>
          <w:b/>
        </w:rPr>
      </w:pPr>
      <w:r>
        <w:rPr>
          <w:b/>
          <w:color w:themeColor="text1" w:val="000000"/>
        </w:rPr>
        <w:t/>
      </w:r>
      <w:proofErr w:type="spellStart"/>
      <w:r>
        <w:rPr>
          <w:b/>
          <w:color w:themeColor="text1" w:val="000000"/>
        </w:rPr>
        <w:t/>
      </w:r>
      <w:proofErr w:type="spellEnd"/>
      <w:r>
        <w:rPr>
          <w:b/>
          <w:color w:themeColor="text1" w:val="000000"/>
        </w:rPr>
        <w:t/>
      </w:r>
      <w:r>
        <w:rPr>
          <w:rFonts w:eastAsiaTheme="minorEastAsia" w:hint="eastAsia"/>
          <w:b/>
          <w:color w:themeColor="text1" w:val="000000"/>
          <w:kern w:val="0"/>
        </w:rPr>
        <w:t>5.2.1</w:t>
      </w:r>
      <w:r>
        <w:rPr>
          <w:rFonts w:eastAsiaTheme="minorEastAsia" w:hint="eastAsia"/>
          <w:b/>
          <w:color w:themeColor="text1" w:val="000000"/>
          <w:kern w:val="0"/>
        </w:rPr>
        <w:t>报告期末按行业分类的境内股票投资组合</w:t>
      </w:r>
    </w:p>
    <w:tbl>
      <w:tblPr>
        <w:tblW w:type="dxa" w:w="8731"/>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left w:type="dxa" w:w="0"/>
          <w:right w:type="dxa" w:w="0"/>
        </w:tblCellMar>
        <w:tblLook w:firstColumn="1" w:firstRow="1" w:lastColumn="0" w:lastRow="0" w:noHBand="0" w:noVBand="1" w:val="04A0"/>
      </w:tblPr>
      <w:tblGrid>
        <w:gridCol w:w="540"/>
        <w:gridCol w:w="3691"/>
        <w:gridCol w:w="2852"/>
        <w:gridCol w:w="1648"/>
      </w:tblGrid>
      <w:tr w14:paraId="72F29E24" w14:textId="77777777" w:rsidR="00D06738">
        <w:trPr>
          <w:trHeight w:val="390"/>
        </w:trPr>
        <w:tc>
          <w:tcPr>
            <w:tcW w:type="dxa" w:w="540"/>
            <w:tcBorders>
              <w:top w:color="000000" w:space="0" w:sz="4" w:val="single"/>
              <w:left w:color="000000" w:space="0" w:sz="4" w:val="single"/>
              <w:bottom w:color="000000" w:space="0" w:sz="4" w:val="single"/>
              <w:right w:color="000000" w:space="0" w:sz="4" w:val="single"/>
            </w:tcBorders>
            <w:vAlign w:val="center"/>
          </w:tcPr>
          <w:p w14:paraId="47C646D2"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代码</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C97B7F7"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行业类别</w:t>
            </w:r>
          </w:p>
        </w:tc>
        <w:tc>
          <w:tcPr>
            <w:tcW w:type="dxa" w:w="2852"/>
            <w:tcBorders>
              <w:top w:color="000000" w:space="0" w:sz="4" w:val="single"/>
              <w:left w:color="auto" w:space="0" w:sz="4" w:val="single"/>
              <w:bottom w:color="000000" w:space="0" w:sz="4" w:val="single"/>
              <w:right w:color="000000" w:space="0" w:sz="4" w:val="single"/>
            </w:tcBorders>
            <w:vAlign w:val="center"/>
          </w:tcPr>
          <w:p w14:paraId="037931C3"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公允价值（元）</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B76ADB3"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占基金资产净值比例（％）</w:t>
            </w:r>
          </w:p>
        </w:tc>
      </w:tr>
      <w:tr w14:paraId="651FF96F"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0A9BD6B"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A</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6AD492E7"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农、林、牧、渔业</w:t>
            </w:r>
          </w:p>
        </w:tc>
        <w:tc>
          <w:tcPr>
            <w:tcW w:type="dxa" w:w="2852"/>
            <w:tcBorders>
              <w:top w:color="000000" w:space="0" w:sz="4" w:val="single"/>
              <w:left w:color="auto" w:space="0" w:sz="4" w:val="single"/>
              <w:bottom w:color="000000" w:space="0" w:sz="4" w:val="single"/>
              <w:right w:color="000000" w:space="0" w:sz="4" w:val="single"/>
            </w:tcBorders>
            <w:vAlign w:val="center"/>
          </w:tcPr>
          <w:p w14:paraId="78148A5F" w14:textId="77777777" w:rsidR="00D06738" w:rsidRDefault="00454D20">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697,138.20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70D526D" w14:textId="77777777" w:rsidR="00D06738" w:rsidRDefault="00454D20">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0.08</w:t>
            </w:r>
          </w:p>
        </w:tc>
      </w:tr>
      <w:tr w14:paraId="2B8EF369"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6B10F5D"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B</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1A715D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采矿业</w:t>
            </w:r>
          </w:p>
        </w:tc>
        <w:tc>
          <w:tcPr>
            <w:tcW w:type="dxa" w:w="2852"/>
            <w:tcBorders>
              <w:top w:color="000000" w:space="0" w:sz="4" w:val="single"/>
              <w:left w:color="auto" w:space="0" w:sz="4" w:val="single"/>
              <w:bottom w:color="000000" w:space="0" w:sz="4" w:val="single"/>
              <w:right w:color="000000" w:space="0" w:sz="4" w:val="single"/>
            </w:tcBorders>
            <w:vAlign w:val="center"/>
          </w:tcPr>
          <w:p w14:paraId="21FC9ACA"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1,730,625.00</w:t>
            </w:r>
          </w:p>
          <w:p w14:paraId="72CB0322" w14:textId="77777777" w:rsidR="00D06738" w:rsidRDefault="00D06738">
            <w:pPr>
              <w:jc w:val="right"/>
              <w:rPr>
                <w:rFonts w:asciiTheme="minorEastAsia" w:cs="宋体" w:eastAsiaTheme="minorEastAsia" w:hAnsiTheme="minorEastAsia"/>
                <w:color w:themeColor="text1" w:val="000000"/>
                <w:kern w:val="0"/>
              </w:rPr>
            </w:pP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14421B1"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0.21</w:t>
            </w:r>
          </w:p>
          <w:p w14:paraId="5DCD6455" w14:textId="77777777" w:rsidR="00D06738" w:rsidRDefault="00D06738">
            <w:pPr>
              <w:jc w:val="right"/>
              <w:rPr>
                <w:rFonts w:asciiTheme="minorEastAsia" w:cs="宋体" w:eastAsiaTheme="minorEastAsia" w:hAnsiTheme="minorEastAsia"/>
                <w:color w:themeColor="text1" w:val="000000"/>
                <w:kern w:val="0"/>
              </w:rPr>
            </w:pPr>
          </w:p>
        </w:tc>
      </w:tr>
      <w:tr w14:paraId="3470B292"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61CD784"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C</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B84AAA9"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制造业</w:t>
            </w:r>
          </w:p>
        </w:tc>
        <w:tc>
          <w:tcPr>
            <w:tcW w:type="dxa" w:w="2852"/>
            <w:tcBorders>
              <w:top w:color="000000" w:space="0" w:sz="4" w:val="single"/>
              <w:left w:color="auto" w:space="0" w:sz="4" w:val="single"/>
              <w:bottom w:color="000000" w:space="0" w:sz="4" w:val="single"/>
              <w:right w:color="000000" w:space="0" w:sz="4" w:val="single"/>
            </w:tcBorders>
            <w:vAlign w:val="center"/>
          </w:tcPr>
          <w:p w14:paraId="6B93E8B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552,740,629.08</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4538DB9"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66.31</w:t>
            </w:r>
          </w:p>
        </w:tc>
      </w:tr>
      <w:tr w14:paraId="53F8CFEC"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27F6600"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D</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4C78FB78"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电力、热力、燃气及水生产和供应业</w:t>
            </w:r>
          </w:p>
        </w:tc>
        <w:tc>
          <w:tcPr>
            <w:tcW w:type="dxa" w:w="2852"/>
            <w:tcBorders>
              <w:top w:color="000000" w:space="0" w:sz="4" w:val="single"/>
              <w:left w:color="auto" w:space="0" w:sz="4" w:val="single"/>
              <w:bottom w:color="000000" w:space="0" w:sz="4" w:val="single"/>
              <w:right w:color="000000" w:space="0" w:sz="4" w:val="single"/>
            </w:tcBorders>
            <w:vAlign w:val="center"/>
          </w:tcPr>
          <w:p w14:paraId="585412E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C65AF0A"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14:paraId="1B8429AC"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B4D80E8"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lastRenderedPageBreak/>
              <w:t>E</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756F489"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建筑业</w:t>
            </w:r>
          </w:p>
        </w:tc>
        <w:tc>
          <w:tcPr>
            <w:tcW w:type="dxa" w:w="2852"/>
            <w:tcBorders>
              <w:top w:color="000000" w:space="0" w:sz="4" w:val="single"/>
              <w:left w:color="auto" w:space="0" w:sz="4" w:val="single"/>
              <w:bottom w:color="000000" w:space="0" w:sz="4" w:val="single"/>
              <w:right w:color="000000" w:space="0" w:sz="4" w:val="single"/>
            </w:tcBorders>
            <w:vAlign w:val="center"/>
          </w:tcPr>
          <w:p w14:paraId="1DF004B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BF184E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25A56BDE"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83F7537"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F</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5808EA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批发和零售业</w:t>
            </w:r>
          </w:p>
        </w:tc>
        <w:tc>
          <w:tcPr>
            <w:tcW w:type="dxa" w:w="2852"/>
            <w:tcBorders>
              <w:top w:color="000000" w:space="0" w:sz="4" w:val="single"/>
              <w:left w:color="auto" w:space="0" w:sz="4" w:val="single"/>
              <w:bottom w:color="000000" w:space="0" w:sz="4" w:val="single"/>
              <w:right w:color="000000" w:space="0" w:sz="4" w:val="single"/>
            </w:tcBorders>
            <w:vAlign w:val="center"/>
          </w:tcPr>
          <w:p w14:paraId="5FEC938C"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16,322.72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1E552C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0.00</w:t>
            </w:r>
          </w:p>
        </w:tc>
      </w:tr>
      <w:tr w14:paraId="68AD7C4C"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627F9BD"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G</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6A4BC8C"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交通运输、仓储和邮政业</w:t>
            </w:r>
          </w:p>
        </w:tc>
        <w:tc>
          <w:tcPr>
            <w:tcW w:type="dxa" w:w="2852"/>
            <w:tcBorders>
              <w:top w:color="000000" w:space="0" w:sz="4" w:val="single"/>
              <w:left w:color="auto" w:space="0" w:sz="4" w:val="single"/>
              <w:bottom w:color="000000" w:space="0" w:sz="4" w:val="single"/>
              <w:right w:color="000000" w:space="0" w:sz="4" w:val="single"/>
            </w:tcBorders>
            <w:vAlign w:val="center"/>
          </w:tcPr>
          <w:p w14:paraId="08E22E7D"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20,117,234.07</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81E2CE7"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2.41</w:t>
            </w:r>
          </w:p>
        </w:tc>
      </w:tr>
      <w:tr w14:paraId="545862F1"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2865C67"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H</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793D1BB"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住宿和餐饮业</w:t>
            </w:r>
          </w:p>
        </w:tc>
        <w:tc>
          <w:tcPr>
            <w:tcW w:type="dxa" w:w="2852"/>
            <w:tcBorders>
              <w:top w:color="000000" w:space="0" w:sz="4" w:val="single"/>
              <w:left w:color="auto" w:space="0" w:sz="4" w:val="single"/>
              <w:bottom w:color="000000" w:space="0" w:sz="4" w:val="single"/>
              <w:right w:color="000000" w:space="0" w:sz="4" w:val="single"/>
            </w:tcBorders>
            <w:vAlign w:val="center"/>
          </w:tcPr>
          <w:p w14:paraId="5CE1C581"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C62C62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4EB68E1B"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DD887CC"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I</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6DE8B8D"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信息传输、软件和信息技术服务业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329C9663"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1,221,345.63</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C42189A"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0.15</w:t>
            </w:r>
          </w:p>
        </w:tc>
      </w:tr>
      <w:tr w14:paraId="379675A7"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C768A8F"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J</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AAE673D"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金融业</w:t>
            </w:r>
          </w:p>
        </w:tc>
        <w:tc>
          <w:tcPr>
            <w:tcW w:type="dxa" w:w="2852"/>
            <w:tcBorders>
              <w:top w:color="000000" w:space="0" w:sz="4" w:val="single"/>
              <w:left w:color="auto" w:space="0" w:sz="4" w:val="single"/>
              <w:bottom w:color="000000" w:space="0" w:sz="4" w:val="single"/>
              <w:right w:color="000000" w:space="0" w:sz="4" w:val="single"/>
            </w:tcBorders>
            <w:vAlign w:val="center"/>
          </w:tcPr>
          <w:p w14:paraId="0FBB8074"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43,298,392.67</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73BAE3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5.19</w:t>
            </w:r>
          </w:p>
        </w:tc>
      </w:tr>
      <w:tr w14:paraId="3FE1377D"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22C5811"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K</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A3B5A32"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房地产业</w:t>
            </w:r>
          </w:p>
        </w:tc>
        <w:tc>
          <w:tcPr>
            <w:tcW w:type="dxa" w:w="2852"/>
            <w:tcBorders>
              <w:top w:color="000000" w:space="0" w:sz="4" w:val="single"/>
              <w:left w:color="auto" w:space="0" w:sz="4" w:val="single"/>
              <w:bottom w:color="000000" w:space="0" w:sz="4" w:val="single"/>
              <w:right w:color="000000" w:space="0" w:sz="4" w:val="single"/>
            </w:tcBorders>
            <w:vAlign w:val="center"/>
          </w:tcPr>
          <w:p w14:paraId="71FFF7B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8,975.14</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3CF399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0.00</w:t>
            </w:r>
          </w:p>
        </w:tc>
      </w:tr>
      <w:tr w14:paraId="66630310"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E1A83E3"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L</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A426E43"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租赁和商务服务业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018CCF2B"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39,268,458.60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1F45B6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4.71</w:t>
            </w:r>
          </w:p>
        </w:tc>
      </w:tr>
      <w:tr w14:paraId="07EC249A"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F796C31"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M</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0388132"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科学研究和技术服务业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42C13C7F"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39,884,997.83</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A3AAC2E"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4.79</w:t>
            </w:r>
          </w:p>
        </w:tc>
      </w:tr>
      <w:tr w14:paraId="69D921F3"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944CACA"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N</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F246C9E"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水利、环境和公共设施管理业</w:t>
            </w:r>
          </w:p>
        </w:tc>
        <w:tc>
          <w:tcPr>
            <w:tcW w:type="dxa" w:w="2852"/>
            <w:tcBorders>
              <w:top w:color="000000" w:space="0" w:sz="4" w:val="single"/>
              <w:left w:color="auto" w:space="0" w:sz="4" w:val="single"/>
              <w:bottom w:color="000000" w:space="0" w:sz="4" w:val="single"/>
              <w:right w:color="000000" w:space="0" w:sz="4" w:val="single"/>
            </w:tcBorders>
            <w:vAlign w:val="center"/>
          </w:tcPr>
          <w:p w14:paraId="2367BCF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98,331.10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DC857B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0.01</w:t>
            </w:r>
          </w:p>
        </w:tc>
      </w:tr>
      <w:tr w14:paraId="090E46DF"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9F862C2"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O</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8F1938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居民服务、修理和其他服务业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46B48C5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7789C3B"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asciiTheme="minorEastAsia" w:cs="宋体" w:eastAsiaTheme="minorEastAsia" w:hAnsiTheme="minorEastAsia"/>
                <w:color w:themeColor="text1" w:val="000000"/>
                <w:kern w:val="0"/>
              </w:rPr>
              <w:lastRenderedPageBreak/>
              <w:t/>
            </w:r>
            <w:proofErr w:type="spellEnd"/>
            <w:r>
              <w:rPr>
                <w:rFonts w:asciiTheme="minorEastAsia" w:cs="宋体" w:eastAsiaTheme="minorEastAsia" w:hAnsiTheme="minorEastAsia"/>
                <w:color w:themeColor="text1" w:val="000000"/>
                <w:kern w:val="0"/>
              </w:rPr>
              <w:t>-</w:t>
            </w:r>
          </w:p>
        </w:tc>
      </w:tr>
      <w:tr w14:paraId="684B91C8"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3C19EC6"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lastRenderedPageBreak/>
              <w:t>P</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5F4C987"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教育</w:t>
            </w:r>
          </w:p>
        </w:tc>
        <w:tc>
          <w:tcPr>
            <w:tcW w:type="dxa" w:w="2852"/>
            <w:tcBorders>
              <w:top w:color="000000" w:space="0" w:sz="4" w:val="single"/>
              <w:left w:color="auto" w:space="0" w:sz="4" w:val="single"/>
              <w:bottom w:color="000000" w:space="0" w:sz="4" w:val="single"/>
              <w:right w:color="000000" w:space="0" w:sz="4" w:val="single"/>
            </w:tcBorders>
            <w:vAlign w:val="center"/>
          </w:tcPr>
          <w:p w14:paraId="0AE4115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1,068,478.95</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A7A1384"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0.13</w:t>
            </w:r>
          </w:p>
        </w:tc>
      </w:tr>
      <w:tr w14:paraId="58A809B6"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62495E6"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Q</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4977624"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卫生和社会工作</w:t>
            </w:r>
          </w:p>
        </w:tc>
        <w:tc>
          <w:tcPr>
            <w:tcW w:type="dxa" w:w="2852"/>
            <w:tcBorders>
              <w:top w:color="000000" w:space="0" w:sz="4" w:val="single"/>
              <w:left w:color="auto" w:space="0" w:sz="4" w:val="single"/>
              <w:bottom w:color="000000" w:space="0" w:sz="4" w:val="single"/>
              <w:right w:color="000000" w:space="0" w:sz="4" w:val="single"/>
            </w:tcBorders>
            <w:vAlign w:val="center"/>
          </w:tcPr>
          <w:p w14:paraId="319C17E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25,026,401.54</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C4D9DB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3.00</w:t>
            </w:r>
          </w:p>
        </w:tc>
      </w:tr>
      <w:tr w14:paraId="0C10CFD7"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189669B"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R</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4F3219D4"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文化、体育和娱乐业</w:t>
            </w:r>
          </w:p>
        </w:tc>
        <w:tc>
          <w:tcPr>
            <w:tcW w:type="dxa" w:w="2852"/>
            <w:tcBorders>
              <w:top w:color="000000" w:space="0" w:sz="4" w:val="single"/>
              <w:left w:color="auto" w:space="0" w:sz="4" w:val="single"/>
              <w:bottom w:color="000000" w:space="0" w:sz="4" w:val="single"/>
              <w:right w:color="000000" w:space="0" w:sz="4" w:val="single"/>
            </w:tcBorders>
            <w:vAlign w:val="center"/>
          </w:tcPr>
          <w:p w14:paraId="5015CBD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845,629.39</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F3980D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0.10</w:t>
            </w:r>
          </w:p>
        </w:tc>
      </w:tr>
      <w:tr w14:paraId="78F46200"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C0217D6"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S</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759577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综合</w:t>
            </w:r>
          </w:p>
        </w:tc>
        <w:tc>
          <w:tcPr>
            <w:tcW w:type="dxa" w:w="2852"/>
            <w:tcBorders>
              <w:top w:color="000000" w:space="0" w:sz="4" w:val="single"/>
              <w:left w:color="auto" w:space="0" w:sz="4" w:val="single"/>
              <w:bottom w:color="000000" w:space="0" w:sz="4" w:val="single"/>
              <w:right w:color="000000" w:space="0" w:sz="4" w:val="single"/>
            </w:tcBorders>
            <w:vAlign w:val="center"/>
          </w:tcPr>
          <w:p w14:paraId="397C56B4"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2170A5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5AD397BD"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2609568" w14:textId="77777777" w:rsidR="00D06738" w:rsidRDefault="00D06738">
            <w:pPr>
              <w:adjustRightInd w:val="0"/>
              <w:snapToGrid w:val="0"/>
              <w:spacing w:line="400" w:lineRule="exact"/>
              <w:jc w:val="center"/>
              <w:rPr>
                <w:rFonts w:asciiTheme="minorEastAsia" w:cs="宋体" w:eastAsiaTheme="minorEastAsia" w:hAnsiTheme="minorEastAsia"/>
                <w:color w:themeColor="text1" w:val="000000"/>
                <w:kern w:val="0"/>
              </w:rPr>
            </w:pP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E5096EA"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合计</w:t>
            </w:r>
          </w:p>
        </w:tc>
        <w:tc>
          <w:tcPr>
            <w:tcW w:type="dxa" w:w="2852"/>
            <w:tcBorders>
              <w:top w:color="000000" w:space="0" w:sz="4" w:val="single"/>
              <w:left w:color="auto" w:space="0" w:sz="4" w:val="single"/>
              <w:bottom w:color="000000" w:space="0" w:sz="4" w:val="single"/>
              <w:right w:color="000000" w:space="0" w:sz="4" w:val="single"/>
            </w:tcBorders>
            <w:vAlign w:val="center"/>
          </w:tcPr>
          <w:p w14:paraId="54BA6A9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726,022,959.92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E973B8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87.10</w:t>
            </w:r>
          </w:p>
        </w:tc>
      </w:tr>
    </w:tbl>
    <w:p w14:paraId="0F45C821"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031B4A52"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5.3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报告期末按公允价值占基金资产净值比例大小排序的前十名股票投资明细</w:t>
      </w:r>
    </w:p>
    <w:tbl>
      <w:tblPr>
        <w:tblStyle w:val="aff4"/>
        <w:tblW w:type="dxa" w:w="8528"/>
        <w:tblLayout w:type="fixed"/>
        <w:tblLook w:firstColumn="1" w:firstRow="1" w:lastColumn="0" w:lastRow="0" w:noHBand="0" w:noVBand="1" w:val="04A0"/>
      </w:tblPr>
      <w:tblGrid>
        <w:gridCol w:w="817"/>
        <w:gridCol w:w="1276"/>
        <w:gridCol w:w="1701"/>
        <w:gridCol w:w="1276"/>
        <w:gridCol w:w="1842"/>
        <w:gridCol w:w="1616"/>
      </w:tblGrid>
      <w:tr w14:paraId="783178E1" w14:textId="77777777" w:rsidR="00D06738">
        <w:tc>
          <w:tcPr>
            <w:tcW w:type="dxa" w:w="817"/>
            <w:vAlign w:val="center"/>
          </w:tcPr>
          <w:p w14:paraId="48FEE555"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序号</w:t>
            </w:r>
          </w:p>
        </w:tc>
        <w:tc>
          <w:tcPr>
            <w:tcW w:type="dxa" w:w="1276"/>
            <w:vAlign w:val="center"/>
          </w:tcPr>
          <w:p w14:paraId="75B0DAE6"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股票代码</w:t>
            </w:r>
          </w:p>
        </w:tc>
        <w:tc>
          <w:tcPr>
            <w:tcW w:type="dxa" w:w="1701"/>
            <w:vAlign w:val="center"/>
          </w:tcPr>
          <w:p w14:paraId="1CCAA56A"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股票名称</w:t>
            </w:r>
          </w:p>
        </w:tc>
        <w:tc>
          <w:tcPr>
            <w:tcW w:type="dxa" w:w="1276"/>
            <w:vAlign w:val="center"/>
          </w:tcPr>
          <w:p w14:paraId="253890BA"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数量(股)</w:t>
            </w:r>
          </w:p>
        </w:tc>
        <w:tc>
          <w:tcPr>
            <w:tcW w:type="dxa" w:w="1842"/>
            <w:vAlign w:val="center"/>
          </w:tcPr>
          <w:p w14:paraId="0614F269" w14:textId="77777777" w:rsidR="00D06738" w:rsidRDefault="00454D20">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公允价值</w:t>
            </w:r>
            <w:r>
              <w:rPr>
                <w:rFonts w:asciiTheme="minorEastAsia" w:cs="宋体" w:eastAsiaTheme="minorEastAsia" w:hAnsiTheme="minorEastAsia"/>
                <w:color w:themeColor="text1" w:val="000000"/>
                <w:kern w:val="0"/>
              </w:rPr>
              <w:t>(</w:t>
            </w:r>
            <w:r>
              <w:rPr>
                <w:rFonts w:asciiTheme="minorEastAsia" w:cs="宋体" w:eastAsiaTheme="minorEastAsia" w:hAnsiTheme="minorEastAsia" w:hint="eastAsia"/>
                <w:color w:themeColor="text1" w:val="000000"/>
                <w:kern w:val="0"/>
              </w:rPr>
              <w:t>元</w:t>
            </w:r>
            <w:r>
              <w:rPr>
                <w:rFonts w:asciiTheme="minorEastAsia" w:cs="宋体" w:eastAsiaTheme="minorEastAsia" w:hAnsiTheme="minorEastAsia"/>
                <w:color w:themeColor="text1" w:val="000000"/>
                <w:kern w:val="0"/>
              </w:rPr>
              <w:t>)</w:t>
            </w:r>
          </w:p>
        </w:tc>
        <w:tc>
          <w:tcPr>
            <w:tcW w:type="dxa" w:w="1616"/>
            <w:vAlign w:val="center"/>
          </w:tcPr>
          <w:p w14:paraId="6CA45A84"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占基金资产净</w:t>
            </w:r>
            <w:r>
              <w:rPr>
                <w:rFonts w:asciiTheme="minorEastAsia" w:cs="宋体" w:eastAsiaTheme="minorEastAsia" w:hAnsiTheme="minorEastAsia" w:hint="eastAsia"/>
                <w:color w:themeColor="text1" w:val="000000"/>
                <w:kern w:val="0"/>
              </w:rPr>
              <w:lastRenderedPageBreak/>
              <w:t>值比例(％)</w:t>
            </w:r>
          </w:p>
        </w:tc>
      </w:tr>
      <w:tr>
        <w:tc>
          <w:tcPr>
            <w:vAlign w:val="center"/>
          </w:tcPr>
          <w:p>
            <w:pPr>
              <w:jc w:val="center"/>
            </w:pPr>
            <w:r>
              <w:rPr>
                <w:rFonts w:asciiTheme="minorEastAsia" w:cs="宋体" w:eastAsiaTheme="minorEastAsia" w:hAnsiTheme="minorEastAsia"/>
                <w:color w:themeColor="text1" w:val="000000"/>
                <w:kern w:val="0"/>
              </w:rPr>
              <w:t>1</w:t>
            </w:r>
          </w:p>
        </w:tc>
        <w:tc>
          <w:tcPr>
            <w:vAlign w:val="center"/>
          </w:tcPr>
          <w:p>
            <w:pPr>
              <w:jc w:val="center"/>
            </w:pPr>
            <w:r>
              <w:rPr>
                <w:rFonts w:asciiTheme="minorEastAsia" w:cs="宋体" w:eastAsiaTheme="minorEastAsia" w:hAnsiTheme="minorEastAsia"/>
                <w:color w:themeColor="text1" w:val="000000"/>
                <w:kern w:val="0"/>
              </w:rPr>
              <w:t>000661</w:t>
            </w:r>
          </w:p>
        </w:tc>
        <w:tc>
          <w:tcPr>
            <w:vAlign w:val="center"/>
          </w:tcPr>
          <w:p>
            <w:pPr>
              <w:jc w:val="center"/>
            </w:pPr>
            <w:r>
              <w:rPr>
                <w:rFonts w:asciiTheme="minorEastAsia" w:cs="宋体" w:eastAsiaTheme="minorEastAsia" w:hAnsiTheme="minorEastAsia"/>
                <w:color w:themeColor="text1" w:val="000000"/>
                <w:kern w:val="0"/>
              </w:rPr>
              <w:t>长春高新</w:t>
            </w:r>
          </w:p>
        </w:tc>
        <w:tc>
          <w:tcPr>
            <w:vAlign w:val="center"/>
          </w:tcPr>
          <w:p>
            <w:pPr>
              <w:jc w:val="right"/>
            </w:pPr>
            <w:r>
              <w:rPr>
                <w:rFonts w:asciiTheme="minorEastAsia" w:cs="宋体" w:eastAsiaTheme="minorEastAsia" w:hAnsiTheme="minorEastAsia"/>
                <w:color w:themeColor="text1" w:val="000000"/>
                <w:kern w:val="0"/>
              </w:rPr>
              <w:t>130,480</w:t>
            </w:r>
          </w:p>
        </w:tc>
        <w:tc>
          <w:tcPr>
            <w:vAlign w:val="center"/>
          </w:tcPr>
          <w:p>
            <w:pPr>
              <w:jc w:val="right"/>
            </w:pPr>
            <w:r>
              <w:rPr>
                <w:rFonts w:asciiTheme="minorEastAsia" w:cs="宋体" w:eastAsiaTheme="minorEastAsia" w:hAnsiTheme="minorEastAsia"/>
                <w:color w:themeColor="text1" w:val="000000"/>
                <w:kern w:val="0"/>
              </w:rPr>
              <w:t>58,573,776.80</w:t>
            </w:r>
          </w:p>
        </w:tc>
        <w:tc>
          <w:tcPr>
            <w:vAlign w:val="center"/>
          </w:tcPr>
          <w:p>
            <w:pPr>
              <w:jc w:val="right"/>
            </w:pPr>
            <w:r>
              <w:rPr>
                <w:rFonts w:asciiTheme="minorEastAsia" w:cs="宋体" w:eastAsiaTheme="minorEastAsia" w:hAnsiTheme="minorEastAsia"/>
                <w:color w:themeColor="text1" w:val="000000"/>
                <w:kern w:val="0"/>
              </w:rPr>
              <w:t>7.03</w:t>
            </w:r>
          </w:p>
        </w:tc>
      </w:tr>
      <w:tr>
        <w:tc>
          <w:tcPr>
            <w:vAlign w:val="center"/>
          </w:tcPr>
          <w:p>
            <w:pPr>
              <w:jc w:val="center"/>
            </w:pPr>
            <w:r>
              <w:rPr>
                <w:rFonts w:asciiTheme="minorEastAsia" w:cs="宋体" w:eastAsiaTheme="minorEastAsia" w:hAnsiTheme="minorEastAsia"/>
                <w:color w:themeColor="text1" w:val="000000"/>
                <w:kern w:val="0"/>
              </w:rPr>
              <w:t>2</w:t>
            </w:r>
          </w:p>
        </w:tc>
        <w:tc>
          <w:tcPr>
            <w:vAlign w:val="center"/>
          </w:tcPr>
          <w:p>
            <w:pPr>
              <w:jc w:val="center"/>
            </w:pPr>
            <w:r>
              <w:rPr>
                <w:rFonts w:asciiTheme="minorEastAsia" w:cs="宋体" w:eastAsiaTheme="minorEastAsia" w:hAnsiTheme="minorEastAsia"/>
                <w:color w:themeColor="text1" w:val="000000"/>
                <w:kern w:val="0"/>
              </w:rPr>
              <w:t>603501</w:t>
            </w:r>
          </w:p>
        </w:tc>
        <w:tc>
          <w:tcPr>
            <w:vAlign w:val="center"/>
          </w:tcPr>
          <w:p>
            <w:pPr>
              <w:jc w:val="center"/>
            </w:pPr>
            <w:r>
              <w:rPr>
                <w:rFonts w:asciiTheme="minorEastAsia" w:cs="宋体" w:eastAsiaTheme="minorEastAsia" w:hAnsiTheme="minorEastAsia"/>
                <w:color w:themeColor="text1" w:val="000000"/>
                <w:kern w:val="0"/>
              </w:rPr>
              <w:t>韦尔股份</w:t>
            </w:r>
          </w:p>
        </w:tc>
        <w:tc>
          <w:tcPr>
            <w:vAlign w:val="center"/>
          </w:tcPr>
          <w:p>
            <w:pPr>
              <w:jc w:val="right"/>
            </w:pPr>
            <w:r>
              <w:rPr>
                <w:rFonts w:asciiTheme="minorEastAsia" w:cs="宋体" w:eastAsiaTheme="minorEastAsia" w:hAnsiTheme="minorEastAsia"/>
                <w:color w:themeColor="text1" w:val="000000"/>
                <w:kern w:val="0"/>
              </w:rPr>
              <w:t>189,198</w:t>
            </w:r>
          </w:p>
        </w:tc>
        <w:tc>
          <w:tcPr>
            <w:vAlign w:val="center"/>
          </w:tcPr>
          <w:p>
            <w:pPr>
              <w:jc w:val="right"/>
            </w:pPr>
            <w:r>
              <w:rPr>
                <w:rFonts w:asciiTheme="minorEastAsia" w:cs="宋体" w:eastAsiaTheme="minorEastAsia" w:hAnsiTheme="minorEastAsia"/>
                <w:color w:themeColor="text1" w:val="000000"/>
                <w:kern w:val="0"/>
              </w:rPr>
              <w:t>43,723,657.80</w:t>
            </w:r>
          </w:p>
        </w:tc>
        <w:tc>
          <w:tcPr>
            <w:vAlign w:val="center"/>
          </w:tcPr>
          <w:p>
            <w:pPr>
              <w:jc w:val="right"/>
            </w:pPr>
            <w:r>
              <w:rPr>
                <w:rFonts w:asciiTheme="minorEastAsia" w:cs="宋体" w:eastAsiaTheme="minorEastAsia" w:hAnsiTheme="minorEastAsia"/>
                <w:color w:themeColor="text1" w:val="000000"/>
                <w:kern w:val="0"/>
              </w:rPr>
              <w:t>5.25</w:t>
            </w:r>
          </w:p>
        </w:tc>
      </w:tr>
      <w:tr>
        <w:tc>
          <w:tcPr>
            <w:vAlign w:val="center"/>
          </w:tcPr>
          <w:p>
            <w:pPr>
              <w:jc w:val="center"/>
            </w:pPr>
            <w:r>
              <w:rPr>
                <w:rFonts w:asciiTheme="minorEastAsia" w:cs="宋体" w:eastAsiaTheme="minorEastAsia" w:hAnsiTheme="minorEastAsia"/>
                <w:color w:themeColor="text1" w:val="000000"/>
                <w:kern w:val="0"/>
              </w:rPr>
              <w:t>3</w:t>
            </w:r>
          </w:p>
        </w:tc>
        <w:tc>
          <w:tcPr>
            <w:vAlign w:val="center"/>
          </w:tcPr>
          <w:p>
            <w:pPr>
              <w:jc w:val="center"/>
            </w:pPr>
            <w:r>
              <w:rPr>
                <w:rFonts w:asciiTheme="minorEastAsia" w:cs="宋体" w:eastAsiaTheme="minorEastAsia" w:hAnsiTheme="minorEastAsia"/>
                <w:color w:themeColor="text1" w:val="000000"/>
                <w:kern w:val="0"/>
              </w:rPr>
              <w:t>601888</w:t>
            </w:r>
          </w:p>
        </w:tc>
        <w:tc>
          <w:tcPr>
            <w:vAlign w:val="center"/>
          </w:tcPr>
          <w:p>
            <w:pPr>
              <w:jc w:val="center"/>
            </w:pPr>
            <w:r>
              <w:rPr>
                <w:rFonts w:asciiTheme="minorEastAsia" w:cs="宋体" w:eastAsiaTheme="minorEastAsia" w:hAnsiTheme="minorEastAsia"/>
                <w:color w:themeColor="text1" w:val="000000"/>
                <w:kern w:val="0"/>
              </w:rPr>
              <w:t>中国中免</w:t>
            </w:r>
          </w:p>
        </w:tc>
        <w:tc>
          <w:tcPr>
            <w:vAlign w:val="center"/>
          </w:tcPr>
          <w:p>
            <w:pPr>
              <w:jc w:val="right"/>
            </w:pPr>
            <w:r>
              <w:rPr>
                <w:rFonts w:asciiTheme="minorEastAsia" w:cs="宋体" w:eastAsiaTheme="minorEastAsia" w:hAnsiTheme="minorEastAsia"/>
                <w:color w:themeColor="text1" w:val="000000"/>
                <w:kern w:val="0"/>
              </w:rPr>
              <w:t>139,028</w:t>
            </w:r>
          </w:p>
        </w:tc>
        <w:tc>
          <w:tcPr>
            <w:vAlign w:val="center"/>
          </w:tcPr>
          <w:p>
            <w:pPr>
              <w:jc w:val="right"/>
            </w:pPr>
            <w:r>
              <w:rPr>
                <w:rFonts w:asciiTheme="minorEastAsia" w:cs="宋体" w:eastAsiaTheme="minorEastAsia" w:hAnsiTheme="minorEastAsia"/>
                <w:color w:themeColor="text1" w:val="000000"/>
                <w:kern w:val="0"/>
              </w:rPr>
              <w:t>39,268,458.60</w:t>
            </w:r>
          </w:p>
        </w:tc>
        <w:tc>
          <w:tcPr>
            <w:vAlign w:val="center"/>
          </w:tcPr>
          <w:p>
            <w:pPr>
              <w:jc w:val="right"/>
            </w:pPr>
            <w:r>
              <w:rPr>
                <w:rFonts w:asciiTheme="minorEastAsia" w:cs="宋体" w:eastAsiaTheme="minorEastAsia" w:hAnsiTheme="minorEastAsia"/>
                <w:color w:themeColor="text1" w:val="000000"/>
                <w:kern w:val="0"/>
              </w:rPr>
              <w:t>4.71</w:t>
            </w:r>
          </w:p>
        </w:tc>
      </w:tr>
      <w:tr>
        <w:tc>
          <w:tcPr>
            <w:vAlign w:val="center"/>
          </w:tcPr>
          <w:p>
            <w:pPr>
              <w:jc w:val="center"/>
            </w:pPr>
            <w:r>
              <w:rPr>
                <w:rFonts w:asciiTheme="minorEastAsia" w:cs="宋体" w:eastAsiaTheme="minorEastAsia" w:hAnsiTheme="minorEastAsia"/>
                <w:color w:themeColor="text1" w:val="000000"/>
                <w:kern w:val="0"/>
              </w:rPr>
              <w:t>4</w:t>
            </w:r>
          </w:p>
        </w:tc>
        <w:tc>
          <w:tcPr>
            <w:vAlign w:val="center"/>
          </w:tcPr>
          <w:p>
            <w:pPr>
              <w:jc w:val="center"/>
            </w:pPr>
            <w:r>
              <w:rPr>
                <w:rFonts w:asciiTheme="minorEastAsia" w:cs="宋体" w:eastAsiaTheme="minorEastAsia" w:hAnsiTheme="minorEastAsia"/>
                <w:color w:themeColor="text1" w:val="000000"/>
                <w:kern w:val="0"/>
              </w:rPr>
              <w:t>603259</w:t>
            </w:r>
          </w:p>
        </w:tc>
        <w:tc>
          <w:tcPr>
            <w:vAlign w:val="center"/>
          </w:tcPr>
          <w:p>
            <w:pPr>
              <w:jc w:val="center"/>
            </w:pPr>
            <w:r>
              <w:rPr>
                <w:rFonts w:asciiTheme="minorEastAsia" w:cs="宋体" w:eastAsiaTheme="minorEastAsia" w:hAnsiTheme="minorEastAsia"/>
                <w:color w:themeColor="text1" w:val="000000"/>
                <w:kern w:val="0"/>
              </w:rPr>
              <w:t>药明康德</w:t>
            </w:r>
          </w:p>
        </w:tc>
        <w:tc>
          <w:tcPr>
            <w:vAlign w:val="center"/>
          </w:tcPr>
          <w:p>
            <w:pPr>
              <w:jc w:val="right"/>
            </w:pPr>
            <w:r>
              <w:rPr>
                <w:rFonts w:asciiTheme="minorEastAsia" w:cs="宋体" w:eastAsiaTheme="minorEastAsia" w:hAnsiTheme="minorEastAsia"/>
                <w:color w:themeColor="text1" w:val="000000"/>
                <w:kern w:val="0"/>
              </w:rPr>
              <w:t>273,814</w:t>
            </w:r>
          </w:p>
        </w:tc>
        <w:tc>
          <w:tcPr>
            <w:vAlign w:val="center"/>
          </w:tcPr>
          <w:p>
            <w:pPr>
              <w:jc w:val="right"/>
            </w:pPr>
            <w:r>
              <w:rPr>
                <w:rFonts w:asciiTheme="minorEastAsia" w:cs="宋体" w:eastAsiaTheme="minorEastAsia" w:hAnsiTheme="minorEastAsia"/>
                <w:color w:themeColor="text1" w:val="000000"/>
                <w:kern w:val="0"/>
              </w:rPr>
              <w:t>36,888,222.08</w:t>
            </w:r>
          </w:p>
        </w:tc>
        <w:tc>
          <w:tcPr>
            <w:vAlign w:val="center"/>
          </w:tcPr>
          <w:p>
            <w:pPr>
              <w:jc w:val="right"/>
            </w:pPr>
            <w:r>
              <w:rPr>
                <w:rFonts w:asciiTheme="minorEastAsia" w:cs="宋体" w:eastAsiaTheme="minorEastAsia" w:hAnsiTheme="minorEastAsia"/>
                <w:color w:themeColor="text1" w:val="000000"/>
                <w:kern w:val="0"/>
              </w:rPr>
              <w:t>4.43</w:t>
            </w:r>
          </w:p>
        </w:tc>
      </w:tr>
      <w:tr>
        <w:tc>
          <w:tcPr>
            <w:vAlign w:val="center"/>
          </w:tcPr>
          <w:p>
            <w:pPr>
              <w:jc w:val="center"/>
            </w:pPr>
            <w:r>
              <w:rPr>
                <w:rFonts w:asciiTheme="minorEastAsia" w:cs="宋体" w:eastAsiaTheme="minorEastAsia" w:hAnsiTheme="minorEastAsia"/>
                <w:color w:themeColor="text1" w:val="000000"/>
                <w:kern w:val="0"/>
              </w:rPr>
              <w:t>5</w:t>
            </w:r>
          </w:p>
        </w:tc>
        <w:tc>
          <w:tcPr>
            <w:vAlign w:val="center"/>
          </w:tcPr>
          <w:p>
            <w:pPr>
              <w:jc w:val="center"/>
            </w:pPr>
            <w:r>
              <w:rPr>
                <w:rFonts w:asciiTheme="minorEastAsia" w:cs="宋体" w:eastAsiaTheme="minorEastAsia" w:hAnsiTheme="minorEastAsia"/>
                <w:color w:themeColor="text1" w:val="000000"/>
                <w:kern w:val="0"/>
              </w:rPr>
              <w:t>000568</w:t>
            </w:r>
          </w:p>
        </w:tc>
        <w:tc>
          <w:tcPr>
            <w:vAlign w:val="center"/>
          </w:tcPr>
          <w:p>
            <w:pPr>
              <w:jc w:val="center"/>
            </w:pPr>
            <w:r>
              <w:rPr>
                <w:rFonts w:asciiTheme="minorEastAsia" w:cs="宋体" w:eastAsiaTheme="minorEastAsia" w:hAnsiTheme="minorEastAsia"/>
                <w:color w:themeColor="text1" w:val="000000"/>
                <w:kern w:val="0"/>
              </w:rPr>
              <w:t>泸州老窖</w:t>
            </w:r>
          </w:p>
        </w:tc>
        <w:tc>
          <w:tcPr>
            <w:vAlign w:val="center"/>
          </w:tcPr>
          <w:p>
            <w:pPr>
              <w:jc w:val="right"/>
            </w:pPr>
            <w:r>
              <w:rPr>
                <w:rFonts w:asciiTheme="minorEastAsia" w:cs="宋体" w:eastAsiaTheme="minorEastAsia" w:hAnsiTheme="minorEastAsia"/>
                <w:color w:themeColor="text1" w:val="000000"/>
                <w:kern w:val="0"/>
              </w:rPr>
              <w:t>142,988</w:t>
            </w:r>
          </w:p>
        </w:tc>
        <w:tc>
          <w:tcPr>
            <w:vAlign w:val="center"/>
          </w:tcPr>
          <w:p>
            <w:pPr>
              <w:jc w:val="right"/>
            </w:pPr>
            <w:r>
              <w:rPr>
                <w:rFonts w:asciiTheme="minorEastAsia" w:cs="宋体" w:eastAsiaTheme="minorEastAsia" w:hAnsiTheme="minorEastAsia"/>
                <w:color w:themeColor="text1" w:val="000000"/>
                <w:kern w:val="0"/>
              </w:rPr>
              <w:t>32,338,166.08</w:t>
            </w:r>
          </w:p>
        </w:tc>
        <w:tc>
          <w:tcPr>
            <w:vAlign w:val="center"/>
          </w:tcPr>
          <w:p>
            <w:pPr>
              <w:jc w:val="right"/>
            </w:pPr>
            <w:r>
              <w:rPr>
                <w:rFonts w:asciiTheme="minorEastAsia" w:cs="宋体" w:eastAsiaTheme="minorEastAsia" w:hAnsiTheme="minorEastAsia"/>
                <w:color w:themeColor="text1" w:val="000000"/>
                <w:kern w:val="0"/>
              </w:rPr>
              <w:t>3.88</w:t>
            </w:r>
          </w:p>
        </w:tc>
      </w:tr>
      <w:tr>
        <w:tc>
          <w:tcPr>
            <w:vAlign w:val="center"/>
          </w:tcPr>
          <w:p>
            <w:pPr>
              <w:jc w:val="center"/>
            </w:pPr>
            <w:r>
              <w:rPr>
                <w:rFonts w:asciiTheme="minorEastAsia" w:cs="宋体" w:eastAsiaTheme="minorEastAsia" w:hAnsiTheme="minorEastAsia"/>
                <w:color w:themeColor="text1" w:val="000000"/>
                <w:kern w:val="0"/>
              </w:rPr>
              <w:t>6</w:t>
            </w:r>
          </w:p>
        </w:tc>
        <w:tc>
          <w:tcPr>
            <w:vAlign w:val="center"/>
          </w:tcPr>
          <w:p>
            <w:pPr>
              <w:jc w:val="center"/>
            </w:pPr>
            <w:r>
              <w:rPr>
                <w:rFonts w:asciiTheme="minorEastAsia" w:cs="宋体" w:eastAsiaTheme="minorEastAsia" w:hAnsiTheme="minorEastAsia"/>
                <w:color w:themeColor="text1" w:val="000000"/>
                <w:kern w:val="0"/>
              </w:rPr>
              <w:t>000858</w:t>
            </w:r>
          </w:p>
        </w:tc>
        <w:tc>
          <w:tcPr>
            <w:vAlign w:val="center"/>
          </w:tcPr>
          <w:p>
            <w:pPr>
              <w:jc w:val="center"/>
            </w:pPr>
            <w:r>
              <w:rPr>
                <w:rFonts w:asciiTheme="minorEastAsia" w:cs="宋体" w:eastAsiaTheme="minorEastAsia" w:hAnsiTheme="minorEastAsia"/>
                <w:color w:themeColor="text1" w:val="000000"/>
                <w:kern w:val="0"/>
              </w:rPr>
              <w:t>五粮液</w:t>
            </w:r>
          </w:p>
        </w:tc>
        <w:tc>
          <w:tcPr>
            <w:vAlign w:val="center"/>
          </w:tcPr>
          <w:p>
            <w:pPr>
              <w:jc w:val="right"/>
            </w:pPr>
            <w:r>
              <w:rPr>
                <w:rFonts w:asciiTheme="minorEastAsia" w:cs="宋体" w:eastAsiaTheme="minorEastAsia" w:hAnsiTheme="minorEastAsia"/>
                <w:color w:themeColor="text1" w:val="000000"/>
                <w:kern w:val="0"/>
              </w:rPr>
              <w:t>105,776</w:t>
            </w:r>
          </w:p>
        </w:tc>
        <w:tc>
          <w:tcPr>
            <w:vAlign w:val="center"/>
          </w:tcPr>
          <w:p>
            <w:pPr>
              <w:jc w:val="right"/>
            </w:pPr>
            <w:r>
              <w:rPr>
                <w:rFonts w:asciiTheme="minorEastAsia" w:cs="宋体" w:eastAsiaTheme="minorEastAsia" w:hAnsiTheme="minorEastAsia"/>
                <w:color w:themeColor="text1" w:val="000000"/>
                <w:kern w:val="0"/>
              </w:rPr>
              <w:t>30,870,725.60</w:t>
            </w:r>
          </w:p>
        </w:tc>
        <w:tc>
          <w:tcPr>
            <w:vAlign w:val="center"/>
          </w:tcPr>
          <w:p>
            <w:pPr>
              <w:jc w:val="right"/>
            </w:pPr>
            <w:r>
              <w:rPr>
                <w:rFonts w:asciiTheme="minorEastAsia" w:cs="宋体" w:eastAsiaTheme="minorEastAsia" w:hAnsiTheme="minorEastAsia"/>
                <w:color w:themeColor="text1" w:val="000000"/>
                <w:kern w:val="0"/>
              </w:rPr>
              <w:t>3.70</w:t>
            </w:r>
          </w:p>
        </w:tc>
      </w:tr>
      <w:tr>
        <w:tc>
          <w:tcPr>
            <w:vAlign w:val="center"/>
          </w:tcPr>
          <w:p>
            <w:pPr>
              <w:jc w:val="center"/>
            </w:pPr>
            <w:r>
              <w:rPr>
                <w:rFonts w:asciiTheme="minorEastAsia" w:cs="宋体" w:eastAsiaTheme="minorEastAsia" w:hAnsiTheme="minorEastAsia"/>
                <w:color w:themeColor="text1" w:val="000000"/>
                <w:kern w:val="0"/>
              </w:rPr>
              <w:t>7</w:t>
            </w:r>
          </w:p>
        </w:tc>
        <w:tc>
          <w:tcPr>
            <w:vAlign w:val="center"/>
          </w:tcPr>
          <w:p>
            <w:pPr>
              <w:jc w:val="center"/>
            </w:pPr>
            <w:r>
              <w:rPr>
                <w:rFonts w:asciiTheme="minorEastAsia" w:cs="宋体" w:eastAsiaTheme="minorEastAsia" w:hAnsiTheme="minorEastAsia"/>
                <w:color w:themeColor="text1" w:val="000000"/>
                <w:kern w:val="0"/>
              </w:rPr>
              <w:t>300014</w:t>
            </w:r>
          </w:p>
        </w:tc>
        <w:tc>
          <w:tcPr>
            <w:vAlign w:val="center"/>
          </w:tcPr>
          <w:p>
            <w:pPr>
              <w:jc w:val="center"/>
            </w:pPr>
            <w:r>
              <w:rPr>
                <w:rFonts w:asciiTheme="minorEastAsia" w:cs="宋体" w:eastAsiaTheme="minorEastAsia" w:hAnsiTheme="minorEastAsia"/>
                <w:color w:themeColor="text1" w:val="000000"/>
                <w:kern w:val="0"/>
              </w:rPr>
              <w:t>亿纬锂能</w:t>
            </w:r>
          </w:p>
        </w:tc>
        <w:tc>
          <w:tcPr>
            <w:vAlign w:val="center"/>
          </w:tcPr>
          <w:p>
            <w:pPr>
              <w:jc w:val="right"/>
            </w:pPr>
            <w:r>
              <w:rPr>
                <w:rFonts w:asciiTheme="minorEastAsia" w:cs="宋体" w:eastAsiaTheme="minorEastAsia" w:hAnsiTheme="minorEastAsia"/>
                <w:color w:themeColor="text1" w:val="000000"/>
                <w:kern w:val="0"/>
              </w:rPr>
              <w:t>366,000</w:t>
            </w:r>
          </w:p>
        </w:tc>
        <w:tc>
          <w:tcPr>
            <w:vAlign w:val="center"/>
          </w:tcPr>
          <w:p>
            <w:pPr>
              <w:jc w:val="right"/>
            </w:pPr>
            <w:r>
              <w:rPr>
                <w:rFonts w:asciiTheme="minorEastAsia" w:cs="宋体" w:eastAsiaTheme="minorEastAsia" w:hAnsiTheme="minorEastAsia"/>
                <w:color w:themeColor="text1" w:val="000000"/>
                <w:kern w:val="0"/>
              </w:rPr>
              <w:t>29,829,000.00</w:t>
            </w:r>
          </w:p>
        </w:tc>
        <w:tc>
          <w:tcPr>
            <w:vAlign w:val="center"/>
          </w:tcPr>
          <w:p>
            <w:pPr>
              <w:jc w:val="right"/>
            </w:pPr>
            <w:r>
              <w:rPr>
                <w:rFonts w:asciiTheme="minorEastAsia" w:cs="宋体" w:eastAsiaTheme="minorEastAsia" w:hAnsiTheme="minorEastAsia"/>
                <w:color w:themeColor="text1" w:val="000000"/>
                <w:kern w:val="0"/>
              </w:rPr>
              <w:t>3.58</w:t>
            </w:r>
          </w:p>
        </w:tc>
      </w:tr>
      <w:tr>
        <w:tc>
          <w:tcPr>
            <w:vAlign w:val="center"/>
          </w:tcPr>
          <w:p>
            <w:pPr>
              <w:jc w:val="center"/>
            </w:pPr>
            <w:r>
              <w:rPr>
                <w:rFonts w:asciiTheme="minorEastAsia" w:cs="宋体" w:eastAsiaTheme="minorEastAsia" w:hAnsiTheme="minorEastAsia"/>
                <w:color w:themeColor="text1" w:val="000000"/>
                <w:kern w:val="0"/>
              </w:rPr>
              <w:t>8</w:t>
            </w:r>
          </w:p>
        </w:tc>
        <w:tc>
          <w:tcPr>
            <w:vAlign w:val="center"/>
          </w:tcPr>
          <w:p>
            <w:pPr>
              <w:jc w:val="center"/>
            </w:pPr>
            <w:r>
              <w:rPr>
                <w:rFonts w:asciiTheme="minorEastAsia" w:cs="宋体" w:eastAsiaTheme="minorEastAsia" w:hAnsiTheme="minorEastAsia"/>
                <w:color w:themeColor="text1" w:val="000000"/>
                <w:kern w:val="0"/>
              </w:rPr>
              <w:t>603799</w:t>
            </w:r>
          </w:p>
        </w:tc>
        <w:tc>
          <w:tcPr>
            <w:vAlign w:val="center"/>
          </w:tcPr>
          <w:p>
            <w:pPr>
              <w:jc w:val="center"/>
            </w:pPr>
            <w:r>
              <w:rPr>
                <w:rFonts w:asciiTheme="minorEastAsia" w:cs="宋体" w:eastAsiaTheme="minorEastAsia" w:hAnsiTheme="minorEastAsia"/>
                <w:color w:themeColor="text1" w:val="000000"/>
                <w:kern w:val="0"/>
              </w:rPr>
              <w:t>华友钴业</w:t>
            </w:r>
          </w:p>
        </w:tc>
        <w:tc>
          <w:tcPr>
            <w:vAlign w:val="center"/>
          </w:tcPr>
          <w:p>
            <w:pPr>
              <w:jc w:val="right"/>
            </w:pPr>
            <w:r>
              <w:rPr>
                <w:rFonts w:asciiTheme="minorEastAsia" w:cs="宋体" w:eastAsiaTheme="minorEastAsia" w:hAnsiTheme="minorEastAsia"/>
                <w:color w:themeColor="text1" w:val="000000"/>
                <w:kern w:val="0"/>
              </w:rPr>
              <w:t>367,874</w:t>
            </w:r>
          </w:p>
        </w:tc>
        <w:tc>
          <w:tcPr>
            <w:vAlign w:val="center"/>
          </w:tcPr>
          <w:p>
            <w:pPr>
              <w:jc w:val="right"/>
            </w:pPr>
            <w:r>
              <w:rPr>
                <w:rFonts w:asciiTheme="minorEastAsia" w:cs="宋体" w:eastAsiaTheme="minorEastAsia" w:hAnsiTheme="minorEastAsia"/>
                <w:color w:themeColor="text1" w:val="000000"/>
                <w:kern w:val="0"/>
              </w:rPr>
              <w:t>29,172,408.20</w:t>
            </w:r>
          </w:p>
        </w:tc>
        <w:tc>
          <w:tcPr>
            <w:vAlign w:val="center"/>
          </w:tcPr>
          <w:p>
            <w:pPr>
              <w:jc w:val="right"/>
            </w:pPr>
            <w:r>
              <w:rPr>
                <w:rFonts w:asciiTheme="minorEastAsia" w:cs="宋体" w:eastAsiaTheme="minorEastAsia" w:hAnsiTheme="minorEastAsia"/>
                <w:color w:themeColor="text1" w:val="000000"/>
                <w:kern w:val="0"/>
              </w:rPr>
              <w:t>3.50</w:t>
            </w:r>
          </w:p>
        </w:tc>
      </w:tr>
      <w:tr>
        <w:tc>
          <w:tcPr>
            <w:vAlign w:val="center"/>
          </w:tcPr>
          <w:p>
            <w:pPr>
              <w:jc w:val="center"/>
            </w:pPr>
            <w:r>
              <w:rPr>
                <w:rFonts w:asciiTheme="minorEastAsia" w:cs="宋体" w:eastAsiaTheme="minorEastAsia" w:hAnsiTheme="minorEastAsia"/>
                <w:color w:themeColor="text1" w:val="000000"/>
                <w:kern w:val="0"/>
              </w:rPr>
              <w:t>9</w:t>
            </w:r>
          </w:p>
        </w:tc>
        <w:tc>
          <w:tcPr>
            <w:vAlign w:val="center"/>
          </w:tcPr>
          <w:p>
            <w:pPr>
              <w:jc w:val="center"/>
            </w:pPr>
            <w:r>
              <w:rPr>
                <w:rFonts w:asciiTheme="minorEastAsia" w:cs="宋体" w:eastAsiaTheme="minorEastAsia" w:hAnsiTheme="minorEastAsia"/>
                <w:color w:themeColor="text1" w:val="000000"/>
                <w:kern w:val="0"/>
              </w:rPr>
              <w:t>002475</w:t>
            </w:r>
          </w:p>
        </w:tc>
        <w:tc>
          <w:tcPr>
            <w:vAlign w:val="center"/>
          </w:tcPr>
          <w:p>
            <w:pPr>
              <w:jc w:val="center"/>
            </w:pPr>
            <w:r>
              <w:rPr>
                <w:rFonts w:asciiTheme="minorEastAsia" w:cs="宋体" w:eastAsiaTheme="minorEastAsia" w:hAnsiTheme="minorEastAsia"/>
                <w:color w:themeColor="text1" w:val="000000"/>
                <w:kern w:val="0"/>
              </w:rPr>
              <w:t>立讯精密</w:t>
            </w:r>
          </w:p>
        </w:tc>
        <w:tc>
          <w:tcPr>
            <w:vAlign w:val="center"/>
          </w:tcPr>
          <w:p>
            <w:pPr>
              <w:jc w:val="right"/>
            </w:pPr>
            <w:r>
              <w:rPr>
                <w:rFonts w:asciiTheme="minorEastAsia" w:cs="宋体" w:eastAsiaTheme="minorEastAsia" w:hAnsiTheme="minorEastAsia"/>
                <w:color w:themeColor="text1" w:val="000000"/>
                <w:kern w:val="0"/>
              </w:rPr>
              <w:t>462,757</w:t>
            </w:r>
          </w:p>
        </w:tc>
        <w:tc>
          <w:tcPr>
            <w:vAlign w:val="center"/>
          </w:tcPr>
          <w:p>
            <w:pPr>
              <w:jc w:val="right"/>
            </w:pPr>
            <w:r>
              <w:rPr>
                <w:rFonts w:asciiTheme="minorEastAsia" w:cs="宋体" w:eastAsiaTheme="minorEastAsia" w:hAnsiTheme="minorEastAsia"/>
                <w:color w:themeColor="text1" w:val="000000"/>
                <w:kern w:val="0"/>
              </w:rPr>
              <w:t>25,969,922.84</w:t>
            </w:r>
          </w:p>
        </w:tc>
        <w:tc>
          <w:tcPr>
            <w:vAlign w:val="center"/>
          </w:tcPr>
          <w:p>
            <w:pPr>
              <w:jc w:val="right"/>
            </w:pPr>
            <w:r>
              <w:rPr>
                <w:rFonts w:asciiTheme="minorEastAsia" w:cs="宋体" w:eastAsiaTheme="minorEastAsia" w:hAnsiTheme="minorEastAsia"/>
                <w:color w:themeColor="text1" w:val="000000"/>
                <w:kern w:val="0"/>
              </w:rPr>
              <w:t>3.12</w:t>
            </w:r>
          </w:p>
        </w:tc>
      </w:tr>
      <w:tr>
        <w:tc>
          <w:tcPr>
            <w:vAlign w:val="center"/>
          </w:tcPr>
          <w:p>
            <w:pPr>
              <w:jc w:val="center"/>
            </w:pPr>
            <w:r>
              <w:rPr>
                <w:rFonts w:asciiTheme="minorEastAsia" w:cs="宋体" w:eastAsiaTheme="minorEastAsia" w:hAnsiTheme="minorEastAsia"/>
                <w:color w:themeColor="text1" w:val="000000"/>
                <w:kern w:val="0"/>
              </w:rPr>
              <w:t>10</w:t>
            </w:r>
          </w:p>
        </w:tc>
        <w:tc>
          <w:tcPr>
            <w:vAlign w:val="center"/>
          </w:tcPr>
          <w:p>
            <w:pPr>
              <w:jc w:val="center"/>
            </w:pPr>
            <w:r>
              <w:rPr>
                <w:rFonts w:asciiTheme="minorEastAsia" w:cs="宋体" w:eastAsiaTheme="minorEastAsia" w:hAnsiTheme="minorEastAsia"/>
                <w:color w:themeColor="text1" w:val="000000"/>
                <w:kern w:val="0"/>
              </w:rPr>
              <w:t>603486</w:t>
            </w:r>
          </w:p>
        </w:tc>
        <w:tc>
          <w:tcPr>
            <w:vAlign w:val="center"/>
          </w:tcPr>
          <w:p>
            <w:pPr>
              <w:jc w:val="center"/>
            </w:pPr>
            <w:r>
              <w:rPr>
                <w:rFonts w:asciiTheme="minorEastAsia" w:cs="宋体" w:eastAsiaTheme="minorEastAsia" w:hAnsiTheme="minorEastAsia"/>
                <w:color w:themeColor="text1" w:val="000000"/>
                <w:kern w:val="0"/>
              </w:rPr>
              <w:t>科沃斯</w:t>
            </w:r>
          </w:p>
        </w:tc>
        <w:tc>
          <w:tcPr>
            <w:vAlign w:val="center"/>
          </w:tcPr>
          <w:p>
            <w:pPr>
              <w:jc w:val="right"/>
            </w:pPr>
            <w:r>
              <w:rPr>
                <w:rFonts w:asciiTheme="minorEastAsia" w:cs="宋体" w:eastAsiaTheme="minorEastAsia" w:hAnsiTheme="minorEastAsia"/>
                <w:color w:themeColor="text1" w:val="000000"/>
                <w:kern w:val="0"/>
              </w:rPr>
              <w:t>284,933</w:t>
            </w:r>
          </w:p>
        </w:tc>
        <w:tc>
          <w:tcPr>
            <w:vAlign w:val="center"/>
          </w:tcPr>
          <w:p>
            <w:pPr>
              <w:jc w:val="right"/>
            </w:pPr>
            <w:r>
              <w:rPr>
                <w:rFonts w:asciiTheme="minorEastAsia" w:cs="宋体" w:eastAsiaTheme="minorEastAsia" w:hAnsiTheme="minorEastAsia"/>
                <w:color w:themeColor="text1" w:val="000000"/>
                <w:kern w:val="0"/>
              </w:rPr>
              <w:t>25,213,721.17</w:t>
            </w:r>
          </w:p>
        </w:tc>
        <w:tc>
          <w:tcPr>
            <w:vAlign w:val="center"/>
          </w:tcPr>
          <w:p>
            <w:pPr>
              <w:jc w:val="right"/>
            </w:pPr>
            <w:r>
              <w:rPr>
                <w:rFonts w:asciiTheme="minorEastAsia" w:cs="宋体" w:eastAsiaTheme="minorEastAsia" w:hAnsiTheme="minorEastAsia"/>
                <w:color w:themeColor="text1" w:val="000000"/>
                <w:kern w:val="0"/>
              </w:rPr>
              <w:t>3.02</w:t>
            </w:r>
          </w:p>
        </w:tc>
      </w:tr>
    </w:tbl>
    <w:p w14:paraId="5DBD10B5" w14:textId="77777777" w:rsidR="00D06738" w:rsidRDefault="00D06738">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14:paraId="3936D236"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5.4 </w:t>
      </w:r>
      <w:r>
        <w:rPr>
          <w:rFonts w:asciiTheme="minorEastAsia" w:eastAsiaTheme="minorEastAsia" w:hAnsiTheme="minorEastAsia" w:hint="eastAsia"/>
          <w:b/>
          <w:bCs/>
          <w:color w:themeColor="text1" w:val="000000"/>
          <w:kern w:val="0"/>
          <w:sz w:val="24"/>
          <w:szCs w:val="24"/>
        </w:rPr>
        <w:t>报告期末按债券品种分类的债券投资组合</w:t>
      </w:r>
    </w:p>
    <w:tbl>
      <w:tblPr>
        <w:tblStyle w:val="aff4"/>
        <w:tblW w:type="dxa" w:w="8755"/>
        <w:jc w:val="center"/>
        <w:tblLayout w:type="fixed"/>
        <w:tblLook w:firstColumn="1" w:firstRow="1" w:lastColumn="0" w:lastRow="0" w:noHBand="0" w:noVBand="1" w:val="04A0"/>
      </w:tblPr>
      <w:tblGrid>
        <w:gridCol w:w="817"/>
        <w:gridCol w:w="3260"/>
        <w:gridCol w:w="2949"/>
        <w:gridCol w:w="1729"/>
      </w:tblGrid>
      <w:tr w14:paraId="346044F7" w14:textId="77777777" w:rsidR="00D06738">
        <w:trPr>
          <w:jc w:val="center"/>
        </w:trPr>
        <w:tc>
          <w:tcPr>
            <w:tcW w:type="dxa" w:w="817"/>
            <w:vAlign w:val="center"/>
          </w:tcPr>
          <w:p w14:paraId="072B2F06"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序号</w:t>
            </w:r>
          </w:p>
        </w:tc>
        <w:tc>
          <w:tcPr>
            <w:tcW w:type="dxa" w:w="3260"/>
            <w:vAlign w:val="center"/>
          </w:tcPr>
          <w:p w14:paraId="1EB79EA5"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债券品种</w:t>
            </w:r>
            <w:r>
              <w:rPr>
                <w:rFonts w:asciiTheme="minorEastAsia" w:eastAsiaTheme="minorEastAsia" w:hAnsiTheme="minorEastAsia" w:hint="eastAsia"/>
                <w:color w:themeColor="text1" w:val="000000"/>
                <w:kern w:val="0"/>
              </w:rPr>
              <w:t/>
            </w:r>
            <w:proofErr w:type="spellStart"/>
            <w:r>
              <w:rPr>
                <w:rFonts w:asciiTheme="minorEastAsia" w:eastAsiaTheme="minorEastAsia" w:hAnsiTheme="minorEastAsia" w:hint="eastAsia"/>
                <w:color w:themeColor="text1" w:val="000000"/>
                <w:kern w:val="0"/>
              </w:rPr>
              <w:t/>
            </w:r>
            <w:proofErr w:type="spellEnd"/>
            <w:r>
              <w:rPr>
                <w:rFonts w:asciiTheme="minorEastAsia" w:eastAsiaTheme="minorEastAsia" w:hAnsiTheme="minorEastAsia" w:hint="eastAsia"/>
                <w:color w:themeColor="text1" w:val="000000"/>
                <w:kern w:val="0"/>
              </w:rPr>
              <w:t/>
            </w:r>
          </w:p>
        </w:tc>
        <w:tc>
          <w:tcPr>
            <w:tcW w:type="dxa" w:w="2949"/>
            <w:vAlign w:val="center"/>
          </w:tcPr>
          <w:p w14:paraId="054DF2E4"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公允价值(元)</w:t>
            </w:r>
          </w:p>
        </w:tc>
        <w:tc>
          <w:tcPr>
            <w:tcW w:type="dxa" w:w="1729"/>
            <w:vAlign w:val="center"/>
          </w:tcPr>
          <w:p w14:paraId="1A6BCB3B"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占基金资产净值比例(％)</w:t>
            </w:r>
          </w:p>
        </w:tc>
      </w:tr>
      <w:tr w14:paraId="3A0EA7C7" w14:textId="77777777" w:rsidR="00D06738">
        <w:trPr>
          <w:jc w:val="center"/>
        </w:trPr>
        <w:tc>
          <w:tcPr>
            <w:tcW w:type="dxa" w:w="817"/>
            <w:vAlign w:val="center"/>
          </w:tcPr>
          <w:p w14:paraId="6C4289D9"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1</w:t>
            </w:r>
          </w:p>
        </w:tc>
        <w:tc>
          <w:tcPr>
            <w:tcW w:type="dxa" w:w="3260"/>
            <w:vAlign w:val="center"/>
          </w:tcPr>
          <w:p w14:paraId="4FAF4D08"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国家债券</w:t>
            </w:r>
          </w:p>
        </w:tc>
        <w:tc>
          <w:tcPr>
            <w:tcW w:type="dxa" w:w="2949"/>
            <w:vAlign w:val="center"/>
          </w:tcPr>
          <w:p w14:paraId="132B07D9"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729"/>
            <w:vAlign w:val="center"/>
          </w:tcPr>
          <w:p w14:paraId="74D8BE6F"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14:paraId="66155870" w14:textId="77777777" w:rsidR="00D06738">
        <w:trPr>
          <w:jc w:val="center"/>
        </w:trPr>
        <w:tc>
          <w:tcPr>
            <w:tcW w:type="dxa" w:w="817"/>
            <w:vAlign w:val="center"/>
          </w:tcPr>
          <w:p w14:paraId="5F475615"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2</w:t>
            </w:r>
          </w:p>
        </w:tc>
        <w:tc>
          <w:tcPr>
            <w:tcW w:type="dxa" w:w="3260"/>
            <w:vAlign w:val="center"/>
          </w:tcPr>
          <w:p w14:paraId="4EBE46D5"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央行票据</w:t>
            </w:r>
          </w:p>
        </w:tc>
        <w:tc>
          <w:tcPr>
            <w:tcW w:type="dxa" w:w="2949"/>
            <w:vAlign w:val="center"/>
          </w:tcPr>
          <w:p w14:paraId="74B04619"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729"/>
            <w:vAlign w:val="center"/>
          </w:tcPr>
          <w:p w14:paraId="297E1C6D"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14:paraId="546D676F" w14:textId="77777777" w:rsidR="00D06738">
        <w:trPr>
          <w:jc w:val="center"/>
        </w:trPr>
        <w:tc>
          <w:tcPr>
            <w:tcW w:type="dxa" w:w="817"/>
            <w:vAlign w:val="center"/>
          </w:tcPr>
          <w:p w14:paraId="5BEEAE88"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3</w:t>
            </w:r>
          </w:p>
        </w:tc>
        <w:tc>
          <w:tcPr>
            <w:tcW w:type="dxa" w:w="3260"/>
            <w:vAlign w:val="center"/>
          </w:tcPr>
          <w:p w14:paraId="6EAA7C2F"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金融债券</w:t>
            </w:r>
          </w:p>
        </w:tc>
        <w:tc>
          <w:tcPr>
            <w:tcW w:type="dxa" w:w="2949"/>
            <w:vAlign w:val="center"/>
          </w:tcPr>
          <w:p w14:paraId="1D6AFCAE"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729"/>
            <w:vAlign w:val="center"/>
          </w:tcPr>
          <w:p w14:paraId="2C6C5E61"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14:paraId="3BAB3387" w14:textId="77777777" w:rsidR="00D06738">
        <w:trPr>
          <w:jc w:val="center"/>
        </w:trPr>
        <w:tc>
          <w:tcPr>
            <w:tcW w:type="dxa" w:w="817"/>
            <w:vAlign w:val="center"/>
          </w:tcPr>
          <w:p w14:paraId="0425F002" w14:textId="77777777" w:rsidR="00D06738" w:rsidRDefault="00D06738">
            <w:pPr>
              <w:spacing w:before="29" w:line="360" w:lineRule="auto"/>
              <w:ind w:left="17"/>
              <w:jc w:val="center"/>
              <w:rPr>
                <w:rFonts w:asciiTheme="minorEastAsia" w:cs="宋体" w:eastAsiaTheme="minorEastAsia" w:hAnsiTheme="minorEastAsia"/>
                <w:color w:themeColor="text1" w:val="000000"/>
                <w:kern w:val="0"/>
              </w:rPr>
            </w:pPr>
          </w:p>
        </w:tc>
        <w:tc>
          <w:tcPr>
            <w:tcW w:type="dxa" w:w="3260"/>
            <w:vAlign w:val="center"/>
          </w:tcPr>
          <w:p w14:paraId="3E7538AB"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其中：政策性金融债</w:t>
            </w:r>
          </w:p>
        </w:tc>
        <w:tc>
          <w:tcPr>
            <w:tcW w:type="dxa" w:w="2949"/>
            <w:vAlign w:val="center"/>
          </w:tcPr>
          <w:p w14:paraId="320BDDF3"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asciiTheme="minorEastAsia" w:cs="宋体" w:eastAsiaTheme="minorEastAsia" w:hAnsiTheme="minorEastAsia"/>
                <w:color w:themeColor="text1" w:val="000000"/>
                <w:kern w:val="0"/>
              </w:rPr>
              <w:lastRenderedPageBreak/>
              <w:t/>
            </w:r>
            <w:proofErr w:type="spellEnd"/>
            <w:r>
              <w:rPr>
                <w:rFonts w:asciiTheme="minorEastAsia" w:cs="宋体" w:eastAsiaTheme="minorEastAsia" w:hAnsiTheme="minorEastAsia"/>
                <w:color w:themeColor="text1" w:val="000000"/>
                <w:kern w:val="0"/>
              </w:rPr>
              <w:t>-</w:t>
            </w:r>
          </w:p>
        </w:tc>
        <w:tc>
          <w:tcPr>
            <w:tcW w:type="dxa" w:w="1729"/>
            <w:vAlign w:val="center"/>
          </w:tcPr>
          <w:p w14:paraId="0C4E875A"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lastRenderedPageBreak/>
              <w:t/>
            </w:r>
            <w:r>
              <w:rPr>
                <w:rFonts w:asciiTheme="minorEastAsia" w:cs="宋体" w:eastAsiaTheme="minorEastAsia" w:hAnsiTheme="minorEastAsia"/>
                <w:color w:themeColor="text1" w:val="000000"/>
                <w:kern w:val="0"/>
              </w:rPr>
              <w:lastRenderedPageBreak/>
              <w:t>-</w:t>
            </w:r>
          </w:p>
        </w:tc>
      </w:tr>
      <w:tr w14:paraId="657F6448" w14:textId="77777777" w:rsidR="00D06738">
        <w:trPr>
          <w:jc w:val="center"/>
        </w:trPr>
        <w:tc>
          <w:tcPr>
            <w:tcW w:type="dxa" w:w="817"/>
            <w:vAlign w:val="center"/>
          </w:tcPr>
          <w:p w14:paraId="31E4A5D9"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lastRenderedPageBreak/>
              <w:t>4</w:t>
            </w:r>
          </w:p>
        </w:tc>
        <w:tc>
          <w:tcPr>
            <w:tcW w:type="dxa" w:w="3260"/>
            <w:vAlign w:val="center"/>
          </w:tcPr>
          <w:p w14:paraId="2BBB4D93"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企业债券</w:t>
            </w:r>
          </w:p>
        </w:tc>
        <w:tc>
          <w:tcPr>
            <w:tcW w:type="dxa" w:w="2949"/>
            <w:vAlign w:val="center"/>
          </w:tcPr>
          <w:p w14:paraId="4B9BCEC7"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729"/>
            <w:vAlign w:val="center"/>
          </w:tcPr>
          <w:p w14:paraId="335881FC"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56B3DD42" w14:textId="77777777" w:rsidR="00D06738">
        <w:trPr>
          <w:jc w:val="center"/>
        </w:trPr>
        <w:tc>
          <w:tcPr>
            <w:tcW w:type="dxa" w:w="817"/>
            <w:vAlign w:val="center"/>
          </w:tcPr>
          <w:p w14:paraId="6336FFC9"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5</w:t>
            </w:r>
          </w:p>
        </w:tc>
        <w:tc>
          <w:tcPr>
            <w:tcW w:type="dxa" w:w="3260"/>
            <w:vAlign w:val="center"/>
          </w:tcPr>
          <w:p w14:paraId="4FFFB5DC"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企业短期融资</w:t>
            </w:r>
            <w:proofErr w:type="gramStart"/>
            <w:r>
              <w:rPr>
                <w:rFonts w:asciiTheme="minorEastAsia" w:cs="宋体" w:eastAsiaTheme="minorEastAsia" w:hAnsiTheme="minorEastAsia" w:hint="eastAsia"/>
                <w:color w:themeColor="text1" w:val="000000"/>
                <w:kern w:val="0"/>
              </w:rPr>
              <w:t>券</w:t>
            </w:r>
            <w:proofErr w:type="gramEnd"/>
          </w:p>
        </w:tc>
        <w:tc>
          <w:tcPr>
            <w:tcW w:type="dxa" w:w="2949"/>
            <w:vAlign w:val="center"/>
          </w:tcPr>
          <w:p w14:paraId="1FF08BB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729"/>
            <w:vAlign w:val="center"/>
          </w:tcPr>
          <w:p w14:paraId="6A2CE0A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14:paraId="42B4E5A1" w14:textId="77777777" w:rsidR="00D06738">
        <w:trPr>
          <w:jc w:val="center"/>
        </w:trPr>
        <w:tc>
          <w:tcPr>
            <w:tcW w:type="dxa" w:w="817"/>
            <w:vAlign w:val="center"/>
          </w:tcPr>
          <w:p w14:paraId="4D3BFE59"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6</w:t>
            </w:r>
          </w:p>
        </w:tc>
        <w:tc>
          <w:tcPr>
            <w:tcW w:type="dxa" w:w="3260"/>
            <w:vAlign w:val="center"/>
          </w:tcPr>
          <w:p w14:paraId="11998037"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中期票据</w:t>
            </w:r>
          </w:p>
        </w:tc>
        <w:tc>
          <w:tcPr>
            <w:tcW w:type="dxa" w:w="2949"/>
            <w:vAlign w:val="center"/>
          </w:tcPr>
          <w:p w14:paraId="48D87654"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729"/>
            <w:vAlign w:val="center"/>
          </w:tcPr>
          <w:p w14:paraId="33403EC5"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252F7F28" w14:textId="77777777" w:rsidR="00D06738">
        <w:trPr>
          <w:jc w:val="center"/>
        </w:trPr>
        <w:tc>
          <w:tcPr>
            <w:tcW w:type="dxa" w:w="817"/>
            <w:vAlign w:val="center"/>
          </w:tcPr>
          <w:p w14:paraId="30DA3811"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7</w:t>
            </w:r>
          </w:p>
        </w:tc>
        <w:tc>
          <w:tcPr>
            <w:tcW w:type="dxa" w:w="3260"/>
            <w:vAlign w:val="center"/>
          </w:tcPr>
          <w:p w14:paraId="3EA5B134"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可转债（可交换债）</w:t>
            </w:r>
          </w:p>
        </w:tc>
        <w:tc>
          <w:tcPr>
            <w:tcW w:type="dxa" w:w="2949"/>
            <w:vAlign w:val="center"/>
          </w:tcPr>
          <w:p w14:paraId="758BE73D"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617,000.00</w:t>
            </w:r>
          </w:p>
        </w:tc>
        <w:tc>
          <w:tcPr>
            <w:tcW w:type="dxa" w:w="1729"/>
            <w:vAlign w:val="center"/>
          </w:tcPr>
          <w:p w14:paraId="1332F6B7"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0.07</w:t>
            </w:r>
          </w:p>
        </w:tc>
      </w:tr>
      <w:tr w14:paraId="02BDAB54" w14:textId="77777777" w:rsidR="00D06738">
        <w:trPr>
          <w:jc w:val="center"/>
        </w:trPr>
        <w:tc>
          <w:tcPr>
            <w:tcW w:type="dxa" w:w="817"/>
            <w:vAlign w:val="center"/>
          </w:tcPr>
          <w:p w14:paraId="2A2DEF9C"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8</w:t>
            </w:r>
          </w:p>
        </w:tc>
        <w:tc>
          <w:tcPr>
            <w:tcW w:type="dxa" w:w="3260"/>
            <w:vAlign w:val="center"/>
          </w:tcPr>
          <w:p w14:paraId="3F4DF17D"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同业存单</w:t>
            </w:r>
          </w:p>
        </w:tc>
        <w:tc>
          <w:tcPr>
            <w:tcW w:type="dxa" w:w="2949"/>
            <w:vAlign w:val="center"/>
          </w:tcPr>
          <w:p w14:paraId="2C361CA2"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729"/>
            <w:vAlign w:val="center"/>
          </w:tcPr>
          <w:p w14:paraId="32F52C9F"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r>
              <w:rPr>
                <w:rFonts w:asciiTheme="minorEastAsia" w:cs="宋体" w:eastAsiaTheme="minorEastAsia" w:hAnsiTheme="minorEastAsia"/>
                <w:color w:themeColor="text1" w:val="000000"/>
                <w:kern w:val="0"/>
              </w:rPr>
              <w:lastRenderedPageBreak/>
              <w:t/>
            </w:r>
            <w:proofErr w:type="spellEnd"/>
            <w:r>
              <w:rPr>
                <w:rFonts w:asciiTheme="minorEastAsia" w:cs="宋体" w:eastAsiaTheme="minorEastAsia" w:hAnsiTheme="minorEastAsia" w:hint="eastAsia"/>
                <w:color w:themeColor="text1" w:val="000000"/>
                <w:kern w:val="0"/>
              </w:rPr>
              <w:t>-</w:t>
            </w:r>
          </w:p>
        </w:tc>
      </w:tr>
      <w:tr w14:paraId="4BF9E909" w14:textId="77777777" w:rsidR="00D06738">
        <w:trPr>
          <w:jc w:val="center"/>
        </w:trPr>
        <w:tc>
          <w:tcPr>
            <w:tcW w:type="dxa" w:w="817"/>
            <w:vAlign w:val="center"/>
          </w:tcPr>
          <w:p w14:paraId="4FD1CF99"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9</w:t>
            </w:r>
          </w:p>
        </w:tc>
        <w:tc>
          <w:tcPr>
            <w:tcW w:type="dxa" w:w="3260"/>
            <w:vAlign w:val="center"/>
          </w:tcPr>
          <w:p w14:paraId="3F15FDDE"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w:t>
            </w:r>
          </w:p>
        </w:tc>
        <w:tc>
          <w:tcPr>
            <w:tcW w:type="dxa" w:w="2949"/>
            <w:vAlign w:val="center"/>
          </w:tcPr>
          <w:p w14:paraId="49B90CF5"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729"/>
            <w:vAlign w:val="center"/>
          </w:tcPr>
          <w:p w14:paraId="5B32EEA4"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2A65AD33" w14:textId="77777777" w:rsidR="00D06738">
        <w:trPr>
          <w:jc w:val="center"/>
        </w:trPr>
        <w:tc>
          <w:tcPr>
            <w:tcW w:type="dxa" w:w="817"/>
            <w:vAlign w:val="center"/>
          </w:tcPr>
          <w:p w14:paraId="4D6DE7D8"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10</w:t>
            </w:r>
          </w:p>
        </w:tc>
        <w:tc>
          <w:tcPr>
            <w:tcW w:type="dxa" w:w="3260"/>
            <w:vAlign w:val="center"/>
          </w:tcPr>
          <w:p w14:paraId="0C6420B0"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合计</w:t>
            </w:r>
          </w:p>
        </w:tc>
        <w:tc>
          <w:tcPr>
            <w:tcW w:type="dxa" w:w="2949"/>
            <w:vAlign w:val="center"/>
          </w:tcPr>
          <w:p w14:paraId="7846C3E5"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617,000.00</w:t>
            </w:r>
          </w:p>
        </w:tc>
        <w:tc>
          <w:tcPr>
            <w:tcW w:type="dxa" w:w="1729"/>
            <w:vAlign w:val="center"/>
          </w:tcPr>
          <w:p w14:paraId="4DD61EBA"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0.07</w:t>
            </w:r>
          </w:p>
        </w:tc>
      </w:tr>
    </w:tbl>
    <w:p w14:paraId="65425732"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3D1805F6"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5.5 </w:t>
      </w:r>
      <w:r>
        <w:rPr>
          <w:rFonts w:asciiTheme="minorEastAsia" w:eastAsiaTheme="minorEastAsia" w:hAnsiTheme="minorEastAsia" w:hint="eastAsia"/>
          <w:b/>
          <w:bCs/>
          <w:color w:themeColor="text1" w:val="000000"/>
          <w:kern w:val="0"/>
          <w:sz w:val="24"/>
          <w:szCs w:val="24"/>
        </w:rPr>
        <w:t>报告期末按公允价值占基金资产净值比例大小排序的前五名债券投资明细</w:t>
      </w:r>
    </w:p>
    <w:tbl>
      <w:tblPr>
        <w:tblStyle w:val="aff4"/>
        <w:tblW w:type="dxa" w:w="8528"/>
        <w:tblLayout w:type="fixed"/>
        <w:tblLook w:firstColumn="1" w:firstRow="1" w:lastColumn="0" w:lastRow="0" w:noHBand="0" w:noVBand="1" w:val="04A0"/>
      </w:tblPr>
      <w:tblGrid>
        <w:gridCol w:w="1252"/>
        <w:gridCol w:w="1310"/>
        <w:gridCol w:w="1282"/>
        <w:gridCol w:w="1426"/>
        <w:gridCol w:w="1646"/>
        <w:gridCol w:w="1612"/>
      </w:tblGrid>
      <w:tr w14:paraId="18E25130" w14:textId="77777777" w:rsidR="00D06738">
        <w:tc>
          <w:tcPr>
            <w:tcW w:type="dxa" w:w="1252"/>
            <w:vAlign w:val="center"/>
          </w:tcPr>
          <w:p w14:paraId="5DA97E50"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序号</w:t>
            </w:r>
          </w:p>
        </w:tc>
        <w:tc>
          <w:tcPr>
            <w:tcW w:type="dxa" w:w="1310"/>
            <w:vAlign w:val="center"/>
          </w:tcPr>
          <w:p w14:paraId="4A5FBBFF"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债券代码</w:t>
            </w:r>
          </w:p>
        </w:tc>
        <w:tc>
          <w:tcPr>
            <w:tcW w:type="dxa" w:w="1282"/>
            <w:vAlign w:val="center"/>
          </w:tcPr>
          <w:p w14:paraId="55BC05EB"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债券名称</w:t>
            </w:r>
          </w:p>
        </w:tc>
        <w:tc>
          <w:tcPr>
            <w:tcW w:type="dxa" w:w="1426"/>
            <w:vAlign w:val="center"/>
          </w:tcPr>
          <w:p w14:paraId="293BF1DF"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数量(张)</w:t>
            </w:r>
          </w:p>
        </w:tc>
        <w:tc>
          <w:tcPr>
            <w:tcW w:type="dxa" w:w="1646"/>
            <w:vAlign w:val="center"/>
          </w:tcPr>
          <w:p w14:paraId="7BBAC842"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公允价值</w:t>
            </w:r>
            <w:r>
              <w:rPr>
                <w:rFonts w:asciiTheme="minorEastAsia" w:cs="宋体" w:eastAsiaTheme="minorEastAsia" w:hAnsiTheme="minorEastAsia"/>
                <w:color w:themeColor="text1" w:val="000000"/>
                <w:kern w:val="0"/>
              </w:rPr>
              <w:t>(</w:t>
            </w:r>
            <w:r>
              <w:rPr>
                <w:rFonts w:asciiTheme="minorEastAsia" w:cs="宋体" w:eastAsiaTheme="minorEastAsia" w:hAnsiTheme="minorEastAsia" w:hint="eastAsia"/>
                <w:color w:themeColor="text1" w:val="000000"/>
                <w:kern w:val="0"/>
              </w:rPr>
              <w:t>元</w:t>
            </w:r>
            <w:r>
              <w:rPr>
                <w:rFonts w:asciiTheme="minorEastAsia" w:cs="宋体" w:eastAsiaTheme="minorEastAsia" w:hAnsiTheme="minorEastAsia"/>
                <w:color w:themeColor="text1" w:val="000000"/>
                <w:kern w:val="0"/>
              </w:rPr>
              <w:t>)</w:t>
            </w:r>
          </w:p>
        </w:tc>
        <w:tc>
          <w:tcPr>
            <w:tcW w:type="dxa" w:w="1612"/>
            <w:vAlign w:val="center"/>
          </w:tcPr>
          <w:p w14:paraId="47A17A6C"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占基金资产净值比例(％)</w:t>
            </w:r>
          </w:p>
        </w:tc>
      </w:tr>
      <w:tr>
        <w:tc>
          <w:tcPr>
            <w:vAlign w:val="center"/>
          </w:tcPr>
          <w:p>
            <w:pPr>
              <w:jc w:val="center"/>
            </w:pPr>
            <w:r>
              <w:rPr>
                <w:rFonts w:asciiTheme="minorEastAsia" w:cs="宋体" w:eastAsiaTheme="minorEastAsia" w:hAnsiTheme="minorEastAsia"/>
                <w:color w:themeColor="text1" w:val="000000"/>
                <w:kern w:val="0"/>
              </w:rPr>
              <w:t>1</w:t>
            </w:r>
          </w:p>
        </w:tc>
        <w:tc>
          <w:tcPr>
            <w:vAlign w:val="center"/>
          </w:tcPr>
          <w:p>
            <w:pPr>
              <w:jc w:val="center"/>
            </w:pPr>
            <w:r>
              <w:rPr>
                <w:rFonts w:asciiTheme="minorEastAsia" w:cs="宋体" w:eastAsiaTheme="minorEastAsia" w:hAnsiTheme="minorEastAsia"/>
                <w:color w:themeColor="text1" w:val="000000"/>
                <w:kern w:val="0"/>
              </w:rPr>
              <w:t>113616</w:t>
            </w:r>
          </w:p>
        </w:tc>
        <w:tc>
          <w:tcPr>
            <w:vAlign w:val="center"/>
          </w:tcPr>
          <w:p>
            <w:pPr>
              <w:jc w:val="center"/>
            </w:pPr>
            <w:r>
              <w:rPr>
                <w:rFonts w:asciiTheme="minorEastAsia" w:cs="宋体" w:eastAsiaTheme="minorEastAsia" w:hAnsiTheme="minorEastAsia"/>
                <w:color w:themeColor="text1" w:val="000000"/>
                <w:kern w:val="0"/>
              </w:rPr>
              <w:t>韦尔转债</w:t>
            </w:r>
          </w:p>
        </w:tc>
        <w:tc>
          <w:tcPr>
            <w:vAlign w:val="center"/>
          </w:tcPr>
          <w:p>
            <w:pPr>
              <w:jc w:val="right"/>
            </w:pPr>
            <w:r>
              <w:rPr>
                <w:rFonts w:asciiTheme="minorEastAsia" w:cs="宋体" w:eastAsiaTheme="minorEastAsia" w:hAnsiTheme="minorEastAsia"/>
                <w:color w:themeColor="text1" w:val="000000"/>
                <w:kern w:val="0"/>
              </w:rPr>
              <w:t>5,320</w:t>
            </w:r>
          </w:p>
        </w:tc>
        <w:tc>
          <w:tcPr>
            <w:vAlign w:val="center"/>
          </w:tcPr>
          <w:p>
            <w:pPr>
              <w:jc w:val="right"/>
            </w:pPr>
            <w:r>
              <w:rPr>
                <w:rFonts w:asciiTheme="minorEastAsia" w:cs="宋体" w:eastAsiaTheme="minorEastAsia" w:hAnsiTheme="minorEastAsia"/>
                <w:color w:themeColor="text1" w:val="000000"/>
                <w:kern w:val="0"/>
              </w:rPr>
              <w:t>532,000.00</w:t>
            </w:r>
          </w:p>
        </w:tc>
        <w:tc>
          <w:tcPr>
            <w:vAlign w:val="center"/>
          </w:tcPr>
          <w:p>
            <w:pPr>
              <w:jc w:val="right"/>
            </w:pPr>
            <w:r>
              <w:rPr>
                <w:rFonts w:asciiTheme="minorEastAsia" w:cs="宋体" w:eastAsiaTheme="minorEastAsia" w:hAnsiTheme="minorEastAsia"/>
                <w:color w:themeColor="text1" w:val="000000"/>
                <w:kern w:val="0"/>
              </w:rPr>
              <w:t>0.06</w:t>
            </w:r>
          </w:p>
        </w:tc>
      </w:tr>
      <w:tr>
        <w:tc>
          <w:tcPr>
            <w:vAlign w:val="center"/>
          </w:tcPr>
          <w:p>
            <w:pPr>
              <w:jc w:val="center"/>
            </w:pPr>
            <w:r>
              <w:rPr>
                <w:rFonts w:asciiTheme="minorEastAsia" w:cs="宋体" w:eastAsiaTheme="minorEastAsia" w:hAnsiTheme="minorEastAsia"/>
                <w:color w:themeColor="text1" w:val="000000"/>
                <w:kern w:val="0"/>
              </w:rPr>
              <w:t>2</w:t>
            </w:r>
          </w:p>
        </w:tc>
        <w:tc>
          <w:tcPr>
            <w:vAlign w:val="center"/>
          </w:tcPr>
          <w:p>
            <w:pPr>
              <w:jc w:val="center"/>
            </w:pPr>
            <w:r>
              <w:rPr>
                <w:rFonts w:asciiTheme="minorEastAsia" w:cs="宋体" w:eastAsiaTheme="minorEastAsia" w:hAnsiTheme="minorEastAsia"/>
                <w:color w:themeColor="text1" w:val="000000"/>
                <w:kern w:val="0"/>
              </w:rPr>
              <w:t>113044</w:t>
            </w:r>
          </w:p>
        </w:tc>
        <w:tc>
          <w:tcPr>
            <w:vAlign w:val="center"/>
          </w:tcPr>
          <w:p>
            <w:pPr>
              <w:jc w:val="center"/>
            </w:pPr>
            <w:r>
              <w:rPr>
                <w:rFonts w:asciiTheme="minorEastAsia" w:cs="宋体" w:eastAsiaTheme="minorEastAsia" w:hAnsiTheme="minorEastAsia"/>
                <w:color w:themeColor="text1" w:val="000000"/>
                <w:kern w:val="0"/>
              </w:rPr>
              <w:t>大秦转债</w:t>
            </w:r>
          </w:p>
        </w:tc>
        <w:tc>
          <w:tcPr>
            <w:vAlign w:val="center"/>
          </w:tcPr>
          <w:p>
            <w:pPr>
              <w:jc w:val="right"/>
            </w:pPr>
            <w:r>
              <w:rPr>
                <w:rFonts w:asciiTheme="minorEastAsia" w:cs="宋体" w:eastAsiaTheme="minorEastAsia" w:hAnsiTheme="minorEastAsia"/>
                <w:color w:themeColor="text1" w:val="000000"/>
                <w:kern w:val="0"/>
              </w:rPr>
              <w:t>850</w:t>
            </w:r>
          </w:p>
        </w:tc>
        <w:tc>
          <w:tcPr>
            <w:vAlign w:val="center"/>
          </w:tcPr>
          <w:p>
            <w:pPr>
              <w:jc w:val="right"/>
            </w:pPr>
            <w:r>
              <w:rPr>
                <w:rFonts w:asciiTheme="minorEastAsia" w:cs="宋体" w:eastAsiaTheme="minorEastAsia" w:hAnsiTheme="minorEastAsia"/>
                <w:color w:themeColor="text1" w:val="000000"/>
                <w:kern w:val="0"/>
              </w:rPr>
              <w:t>85,000.00</w:t>
            </w:r>
          </w:p>
        </w:tc>
        <w:tc>
          <w:tcPr>
            <w:vAlign w:val="center"/>
          </w:tcPr>
          <w:p>
            <w:pPr>
              <w:jc w:val="right"/>
            </w:pPr>
            <w:r>
              <w:rPr>
                <w:rFonts w:asciiTheme="minorEastAsia" w:cs="宋体" w:eastAsiaTheme="minorEastAsia" w:hAnsiTheme="minorEastAsia"/>
                <w:color w:themeColor="text1" w:val="000000"/>
                <w:kern w:val="0"/>
              </w:rPr>
              <w:t>0.01</w:t>
            </w:r>
          </w:p>
        </w:tc>
      </w:tr>
    </w:tbl>
    <w:p w14:paraId="021C2896" w14:textId="77777777" w:rsidR="00D06738" w:rsidRDefault="00D06738">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14:paraId="0D4DC302"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lastRenderedPageBreak/>
        <w:t xml:space="preserve">5.6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报告期末按公允价值占基金资产净值比例大小排序的前十名资产支持证券投资明细</w:t>
      </w:r>
    </w:p>
    <w:p w14:paraId="5BA223BB"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本基金本报告期末未持有资产支持证券。</w:t>
      </w:r>
    </w:p>
    <w:p w14:paraId="7641962C"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sz w:val="24"/>
          <w:szCs w:val="24"/>
        </w:rPr>
      </w:pPr>
    </w:p>
    <w:p w14:paraId="4D2AFCA3"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proofErr w:type="gramEnd"/>
      <w:r>
        <w:rPr>
          <w:rFonts w:asciiTheme="minorEastAsia" w:eastAsiaTheme="minorEastAsia" w:hAnsiTheme="minorEastAsia" w:hint="eastAsia"/>
          <w:b/>
          <w:bCs/>
          <w:color w:themeColor="text1" w:val="000000"/>
          <w:kern w:val="0"/>
          <w:sz w:val="24"/>
          <w:szCs w:val="24"/>
        </w:rPr>
        <w:t>7 报告期末按公允价值占基金资产净值比例大小排序的前五名贵金属投资明细</w:t>
      </w:r>
    </w:p>
    <w:p w14:paraId="5072D892" w14:textId="77777777" w:rsidR="00D06738" w:rsidRDefault="00454D20">
      <w:pPr>
        <w:widowControl/>
        <w:spacing w:line="360" w:lineRule="auto"/>
        <w:jc w:val="left"/>
        <w:rPr>
          <w:rFonts w:ascii="宋体" w:hAnsi="宋体"/>
          <w:color w:themeColor="text1" w:val="000000"/>
        </w:rPr>
      </w:pPr>
      <w:r>
        <w:rPr>
          <w:rFonts w:ascii="宋体" w:hAnsi="宋体"/>
          <w:color w:themeColor="text1" w:val="000000"/>
        </w:rPr>
        <w:t/>
      </w:r>
      <w:proofErr w:type="spellStart"/>
      <w:r>
        <w:rPr>
          <w:rFonts w:ascii="宋体" w:hAnsi="宋体"/>
          <w:color w:themeColor="text1" w:val="000000"/>
        </w:rPr>
        <w:t/>
      </w:r>
      <w:proofErr w:type="gramStart"/>
      <w:r>
        <w:rPr>
          <w:rFonts w:ascii="宋体" w:hAnsi="宋体"/>
          <w:color w:themeColor="text1" w:val="000000"/>
        </w:rPr>
        <w:t/>
      </w:r>
      <w:proofErr w:type="spellEnd"/>
      <w:r>
        <w:rPr>
          <w:rFonts w:ascii="宋体" w:hAnsi="宋体"/>
          <w:color w:themeColor="text1" w:val="000000"/>
        </w:rPr>
        <w:t/>
      </w:r>
      <w:proofErr w:type="spellStart"/>
      <w:proofErr w:type="gramEnd"/>
      <w:r>
        <w:rPr>
          <w:rFonts w:ascii="宋体" w:hAnsi="宋体"/>
          <w:color w:themeColor="text1" w:val="000000"/>
        </w:rPr>
        <w:t/>
      </w:r>
      <w:proofErr w:type="spellEnd"/>
      <w:r>
        <w:rPr>
          <w:rFonts w:ascii="宋体" w:hAnsi="宋体"/>
          <w:color w:themeColor="text1" w:val="000000"/>
        </w:rPr>
        <w:t>本基金本报告期末未持有贵金属。</w:t>
      </w:r>
    </w:p>
    <w:p w14:paraId="60EB37E6"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3ACC4ABF"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proofErr w:type="gramEnd"/>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报告期末按公允价值占基金资产净值比例大小排序的前五名权证投资明细</w:t>
      </w:r>
    </w:p>
    <w:p w14:paraId="5CD73A7B"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本基金本报告期末未持有权证。</w:t>
      </w:r>
    </w:p>
    <w:p w14:paraId="47EB757F"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2F0769CC"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spellStart"/>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
      </w:r>
      <w:proofErr w:type="spellEnd"/>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5.9 报告期末本基金投资的股指期货交易情况说明</w:t>
      </w:r>
    </w:p>
    <w:p w14:paraId="73A71E08"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lastRenderedPageBreak/>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本基金本报告期末未持有股指期货。</w:t>
      </w:r>
    </w:p>
    <w:p w14:paraId="6D381369" w14:textId="77777777" w:rsidR="00D06738" w:rsidRDefault="00D06738">
      <w:pPr>
        <w:adjustRightInd w:val="0"/>
        <w:snapToGrid w:val="0"/>
        <w:spacing w:line="360" w:lineRule="exact"/>
        <w:rPr>
          <w:rFonts w:asciiTheme="minorEastAsia" w:eastAsiaTheme="minorEastAsia" w:hAnsiTheme="minorEastAsia"/>
          <w:color w:themeColor="text1" w:val="000000"/>
          <w:sz w:val="24"/>
          <w:szCs w:val="24"/>
        </w:rPr>
      </w:pPr>
    </w:p>
    <w:p w14:paraId="288DDC9C"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spellStart"/>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
      </w:r>
      <w:proofErr w:type="spellEnd"/>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5.10报告期末本基金投资的国债期货交易情况说明</w:t>
      </w:r>
    </w:p>
    <w:p w14:paraId="5490A7F4"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lastRenderedPageBreak/>
        <w:t/>
      </w:r>
      <w:proofErr w:type="spellStart"/>
      <w:r>
        <w:rPr>
          <w:rFonts w:asciiTheme="minorEastAsia" w:eastAsiaTheme="minorEastAsia" w:hAnsiTheme="minorEastAsia" w:hint="eastAsia"/>
          <w:color w:themeColor="text1" w:val="000000"/>
          <w:sz w:val="24"/>
          <w:szCs w:val="24"/>
        </w:rPr>
        <w:t/>
      </w:r>
      <w:proofErr w:type="gramStart"/>
      <w:r>
        <w:rPr>
          <w:rFonts w:asciiTheme="minorEastAsia" w:eastAsiaTheme="minorEastAsia" w:hAnsiTheme="minorEastAsia" w:hint="eastAsia"/>
          <w:color w:themeColor="text1" w:val="000000"/>
          <w:sz w:val="24"/>
          <w:szCs w:val="24"/>
        </w:rPr>
        <w:t/>
      </w:r>
      <w:proofErr w:type="spellEnd"/>
      <w:r>
        <w:rPr>
          <w:rFonts w:asciiTheme="minorEastAsia" w:eastAsiaTheme="minorEastAsia" w:hAnsiTheme="minorEastAsia" w:hint="eastAsia"/>
          <w:color w:themeColor="text1" w:val="000000"/>
          <w:sz w:val="24"/>
          <w:szCs w:val="24"/>
        </w:rPr>
        <w:t/>
      </w:r>
      <w:r>
        <w:rPr>
          <w:rFonts w:asciiTheme="minorEastAsia" w:eastAsiaTheme="minorEastAsia" w:hAnsiTheme="minorEastAsia"/>
          <w:color w:themeColor="text1" w:val="000000"/>
          <w:sz w:val="24"/>
          <w:szCs w:val="24"/>
        </w:rPr>
        <w:t/>
      </w:r>
      <w:proofErr w:type="spellStart"/>
      <w:proofErr w:type="gramEnd"/>
      <w:r>
        <w:rPr>
          <w:rFonts w:asciiTheme="minorEastAsia" w:eastAsiaTheme="minorEastAsia" w:hAnsiTheme="minorEastAsia"/>
          <w:color w:themeColor="text1" w:val="000000"/>
          <w:sz w:val="24"/>
          <w:szCs w:val="24"/>
        </w:rPr>
        <w:t/>
      </w:r>
      <w:proofErr w:type="spellEnd"/>
      <w:r>
        <w:rPr>
          <w:rFonts w:asciiTheme="minorEastAsia" w:eastAsiaTheme="minorEastAsia" w:hAnsiTheme="minorEastAsia"/>
          <w:color w:themeColor="text1" w:val="000000"/>
          <w:sz w:val="24"/>
          <w:szCs w:val="24"/>
        </w:rPr>
        <w:t>本基金本报告期末未持有国债期货。</w:t>
      </w:r>
    </w:p>
    <w:p w14:paraId="0AD515B3"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w: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b/>
          <w:bCs/>
          <w:color w:themeColor="text1" w:val="000000"/>
          <w:kern w:val="0"/>
          <w:sz w:val="24"/>
          <w:szCs w:val="24"/>
        </w:rPr>
        <w:t>5.</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投资组合报告附注</w:t>
      </w:r>
    </w:p>
    <w:p w14:paraId="2BAE184B"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
      </w:r>
      <w:proofErr w:type="gramStart"/>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
      </w:r>
      <w:proofErr w:type="gramEnd"/>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1</w:t>
      </w:r>
      <w:r>
        <w:rPr>
          <w:rFonts w:asciiTheme="minorEastAsia" w:eastAsiaTheme="minorEastAsia" w:hAnsiTheme="minorEastAsia"/>
          <w:color w:themeColor="text1" w:val="000000"/>
          <w:sz w:val="24"/>
          <w:szCs w:val="24"/>
        </w:rPr>
        <w:t>报告期内本基金投资的前十名证券的发行主体本期没有出现被监管部门立案调查，或在报告编制日前一年内受到公开谴责、处罚的情形。</w:t>
      </w:r>
    </w:p>
    <w:p w14:paraId="50E6CBCA"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
      </w:r>
      <w:proofErr w:type="gramStart"/>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
      </w:r>
      <w:proofErr w:type="gramEnd"/>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2</w:t>
      </w:r>
      <w:r>
        <w:rPr>
          <w:rFonts w:asciiTheme="minorEastAsia" w:eastAsiaTheme="minorEastAsia" w:hAnsiTheme="minorEastAsia"/>
          <w:color w:themeColor="text1" w:val="000000"/>
          <w:sz w:val="24"/>
          <w:szCs w:val="24"/>
        </w:rPr>
        <w:t>报告期内本基金投资的前十名股票中没有在基金合同规定备选股票库之外的股票。</w:t>
      </w:r>
    </w:p>
    <w:p w14:paraId="4124D65B"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其他资产构成</w:t>
      </w:r>
    </w:p>
    <w:tbl>
      <w:tblPr>
        <w:tblStyle w:val="aff4"/>
        <w:tblW w:type="dxa" w:w="8513"/>
        <w:tblInd w:type="dxa" w:w="15"/>
        <w:tblLayout w:type="fixed"/>
        <w:tblLook w:firstColumn="1" w:firstRow="1" w:lastColumn="0" w:lastRow="0" w:noHBand="0" w:noVBand="1" w:val="04A0"/>
      </w:tblPr>
      <w:tblGrid>
        <w:gridCol w:w="1235"/>
        <w:gridCol w:w="2470"/>
        <w:gridCol w:w="4808"/>
      </w:tblGrid>
      <w:tr w14:paraId="287E547D" w14:textId="77777777" w:rsidR="00D06738">
        <w:tc>
          <w:tcPr>
            <w:tcW w:type="dxa" w:w="1235"/>
            <w:vAlign w:val="center"/>
          </w:tcPr>
          <w:p w14:paraId="3D402FF5"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序号</w:t>
            </w:r>
          </w:p>
        </w:tc>
        <w:tc>
          <w:tcPr>
            <w:tcW w:type="dxa" w:w="2470"/>
            <w:vAlign w:val="center"/>
          </w:tcPr>
          <w:p w14:paraId="627CAE1B"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名称</w:t>
            </w:r>
          </w:p>
        </w:tc>
        <w:tc>
          <w:tcPr>
            <w:tcW w:type="dxa" w:w="4808"/>
            <w:vAlign w:val="center"/>
          </w:tcPr>
          <w:p w14:paraId="6430356C"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金额(元)</w:t>
            </w:r>
          </w:p>
        </w:tc>
      </w:tr>
      <w:tr w14:paraId="2C715D80" w14:textId="77777777" w:rsidR="00D06738">
        <w:tc>
          <w:tcPr>
            <w:tcW w:type="dxa" w:w="1235"/>
            <w:vAlign w:val="center"/>
          </w:tcPr>
          <w:p w14:paraId="117C1A9A"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1</w:t>
            </w:r>
          </w:p>
        </w:tc>
        <w:tc>
          <w:tcPr>
            <w:tcW w:type="dxa" w:w="2470"/>
            <w:vAlign w:val="center"/>
          </w:tcPr>
          <w:p w14:paraId="61153B98"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存出保证金</w:t>
            </w:r>
          </w:p>
        </w:tc>
        <w:tc>
          <w:tcPr>
            <w:tcW w:type="dxa" w:w="4808"/>
            <w:vAlign w:val="center"/>
          </w:tcPr>
          <w:p w14:paraId="069C1229"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247,127.65</w:t>
            </w:r>
          </w:p>
        </w:tc>
      </w:tr>
      <w:tr w14:paraId="3C032846" w14:textId="77777777" w:rsidR="00D06738">
        <w:tc>
          <w:tcPr>
            <w:tcW w:type="dxa" w:w="1235"/>
            <w:vAlign w:val="center"/>
          </w:tcPr>
          <w:p w14:paraId="141CD098"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2</w:t>
            </w:r>
          </w:p>
        </w:tc>
        <w:tc>
          <w:tcPr>
            <w:tcW w:type="dxa" w:w="2470"/>
            <w:vAlign w:val="center"/>
          </w:tcPr>
          <w:p w14:paraId="307B0992"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应收证券清算款</w:t>
            </w:r>
          </w:p>
        </w:tc>
        <w:tc>
          <w:tcPr>
            <w:tcW w:type="dxa" w:w="4808"/>
            <w:vAlign w:val="center"/>
          </w:tcPr>
          <w:p w14:paraId="7B2B0246"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176311B8" w14:textId="77777777" w:rsidR="00D06738">
        <w:tc>
          <w:tcPr>
            <w:tcW w:type="dxa" w:w="1235"/>
            <w:vAlign w:val="center"/>
          </w:tcPr>
          <w:p w14:paraId="602CCE2F"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lastRenderedPageBreak/>
              <w:t>3</w:t>
            </w:r>
          </w:p>
        </w:tc>
        <w:tc>
          <w:tcPr>
            <w:tcW w:type="dxa" w:w="2470"/>
            <w:vAlign w:val="center"/>
          </w:tcPr>
          <w:p w14:paraId="31EEC93A"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应收股利</w:t>
            </w:r>
          </w:p>
        </w:tc>
        <w:tc>
          <w:tcPr>
            <w:tcW w:type="dxa" w:w="4808"/>
            <w:vAlign w:val="center"/>
          </w:tcPr>
          <w:p w14:paraId="30AA7BFB"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6C0EC699" w14:textId="77777777" w:rsidR="00D06738">
        <w:tc>
          <w:tcPr>
            <w:tcW w:type="dxa" w:w="1235"/>
            <w:vAlign w:val="center"/>
          </w:tcPr>
          <w:p w14:paraId="4EAB88E6"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4</w:t>
            </w:r>
          </w:p>
        </w:tc>
        <w:tc>
          <w:tcPr>
            <w:tcW w:type="dxa" w:w="2470"/>
            <w:vAlign w:val="center"/>
          </w:tcPr>
          <w:p w14:paraId="25AFBD38"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应收利息</w:t>
            </w:r>
          </w:p>
        </w:tc>
        <w:tc>
          <w:tcPr>
            <w:tcW w:type="dxa" w:w="4808"/>
            <w:vAlign w:val="center"/>
          </w:tcPr>
          <w:p w14:paraId="61FAC2C4"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13,740.64</w:t>
            </w:r>
          </w:p>
        </w:tc>
      </w:tr>
      <w:tr w14:paraId="617FE4E0" w14:textId="77777777" w:rsidR="00D06738">
        <w:tc>
          <w:tcPr>
            <w:tcW w:type="dxa" w:w="1235"/>
            <w:vAlign w:val="center"/>
          </w:tcPr>
          <w:p w14:paraId="0DE5BCEB"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5</w:t>
            </w:r>
          </w:p>
        </w:tc>
        <w:tc>
          <w:tcPr>
            <w:tcW w:type="dxa" w:w="2470"/>
            <w:vAlign w:val="center"/>
          </w:tcPr>
          <w:p w14:paraId="418D350C"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应收申购款</w:t>
            </w:r>
          </w:p>
        </w:tc>
        <w:tc>
          <w:tcPr>
            <w:tcW w:type="dxa" w:w="4808"/>
            <w:vAlign w:val="center"/>
          </w:tcPr>
          <w:p w14:paraId="6138F79B"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224,651.63</w:t>
            </w:r>
          </w:p>
        </w:tc>
      </w:tr>
      <w:tr w14:paraId="2FF8C6CF" w14:textId="77777777" w:rsidR="00D06738">
        <w:tc>
          <w:tcPr>
            <w:tcW w:type="dxa" w:w="1235"/>
            <w:vAlign w:val="center"/>
          </w:tcPr>
          <w:p w14:paraId="027C50FA"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6</w:t>
            </w:r>
          </w:p>
        </w:tc>
        <w:tc>
          <w:tcPr>
            <w:tcW w:type="dxa" w:w="2470"/>
            <w:vAlign w:val="center"/>
          </w:tcPr>
          <w:p w14:paraId="763B3400"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其他应收款</w:t>
            </w:r>
          </w:p>
        </w:tc>
        <w:tc>
          <w:tcPr>
            <w:tcW w:type="dxa" w:w="4808"/>
            <w:vAlign w:val="center"/>
          </w:tcPr>
          <w:p w14:paraId="5846D225"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472C6A37" w14:textId="77777777" w:rsidR="00D06738">
        <w:tc>
          <w:tcPr>
            <w:tcW w:type="dxa" w:w="1235"/>
            <w:vAlign w:val="center"/>
          </w:tcPr>
          <w:p w14:paraId="75EFC638"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7</w:t>
            </w:r>
          </w:p>
        </w:tc>
        <w:tc>
          <w:tcPr>
            <w:tcW w:type="dxa" w:w="2470"/>
            <w:vAlign w:val="center"/>
          </w:tcPr>
          <w:p w14:paraId="0A943614" w14:textId="77777777" w:rsidR="00D06738" w:rsidRDefault="00454D20">
            <w:pPr>
              <w:autoSpaceDE w:val="0"/>
              <w:autoSpaceDN w:val="0"/>
              <w:adjustRightInd w:val="0"/>
              <w:spacing w:before="29" w:line="360" w:lineRule="auto"/>
              <w:ind w:left="15"/>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待摊费用</w:t>
            </w:r>
          </w:p>
        </w:tc>
        <w:tc>
          <w:tcPr>
            <w:tcW w:type="dxa" w:w="4808"/>
            <w:vAlign w:val="center"/>
          </w:tcPr>
          <w:p w14:paraId="72EB47BF"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hint="eastAsia"/>
                <w:color w:themeColor="text1" w:val="000000"/>
                <w:kern w:val="0"/>
              </w:rPr>
              <w:t>-</w:t>
            </w:r>
          </w:p>
        </w:tc>
      </w:tr>
      <w:tr w14:paraId="1EB71240" w14:textId="77777777" w:rsidR="00D06738">
        <w:tc>
          <w:tcPr>
            <w:tcW w:type="dxa" w:w="1235"/>
            <w:vAlign w:val="center"/>
          </w:tcPr>
          <w:p w14:paraId="4CA5E701"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8</w:t>
            </w:r>
          </w:p>
        </w:tc>
        <w:tc>
          <w:tcPr>
            <w:tcW w:type="dxa" w:w="2470"/>
            <w:vAlign w:val="center"/>
          </w:tcPr>
          <w:p w14:paraId="139BE609"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w:t>
            </w:r>
          </w:p>
        </w:tc>
        <w:tc>
          <w:tcPr>
            <w:tcW w:type="dxa" w:w="4808"/>
            <w:vAlign w:val="center"/>
          </w:tcPr>
          <w:p w14:paraId="5ED4A47C"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3A99357C" w14:textId="77777777" w:rsidR="00D06738">
        <w:tc>
          <w:tcPr>
            <w:tcW w:type="dxa" w:w="1235"/>
            <w:vAlign w:val="center"/>
          </w:tcPr>
          <w:p w14:paraId="7043D59F"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9</w:t>
            </w:r>
          </w:p>
        </w:tc>
        <w:tc>
          <w:tcPr>
            <w:tcW w:type="dxa" w:w="2470"/>
            <w:vAlign w:val="center"/>
          </w:tcPr>
          <w:p w14:paraId="756733B0"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合计</w:t>
            </w:r>
          </w:p>
        </w:tc>
        <w:tc>
          <w:tcPr>
            <w:tcW w:type="dxa" w:w="4808"/>
            <w:vAlign w:val="center"/>
          </w:tcPr>
          <w:p w14:paraId="1336DBC1"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485,519.92</w:t>
            </w:r>
          </w:p>
        </w:tc>
      </w:tr>
    </w:tbl>
    <w:p w14:paraId="4676AA60" w14:textId="77777777" w:rsidR="00D06738" w:rsidRDefault="00D06738">
      <w:pPr>
        <w:autoSpaceDE w:val="0"/>
        <w:autoSpaceDN w:val="0"/>
        <w:adjustRightInd w:val="0"/>
        <w:spacing w:line="360" w:lineRule="auto"/>
        <w:rPr>
          <w:rFonts w:asciiTheme="minorEastAsia" w:eastAsiaTheme="minorEastAsia" w:hAnsiTheme="minorEastAsia"/>
          <w:color w:themeColor="text1" w:val="000000"/>
          <w:sz w:val="24"/>
          <w:szCs w:val="24"/>
        </w:rPr>
      </w:pPr>
    </w:p>
    <w:p w14:paraId="5172EF34"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4报告期末持有的处于转股期的可转换债券明细</w:t>
      </w:r>
    </w:p>
    <w:p w14:paraId="0C2B4847"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本基金本报告期末未持有处于转股期的可转换债券。</w:t>
      </w:r>
    </w:p>
    <w:p w14:paraId="73809093" w14:textId="77777777" w:rsidR="00D06738" w:rsidRDefault="00D06738">
      <w:pPr>
        <w:autoSpaceDE w:val="0"/>
        <w:autoSpaceDN w:val="0"/>
        <w:adjustRightInd w:val="0"/>
        <w:spacing w:line="360" w:lineRule="auto"/>
        <w:rPr>
          <w:rFonts w:asciiTheme="minorEastAsia" w:eastAsiaTheme="minorEastAsia" w:hAnsiTheme="minorEastAsia"/>
          <w:color w:themeColor="text1" w:val="000000"/>
          <w:sz w:val="24"/>
          <w:szCs w:val="24"/>
        </w:rPr>
      </w:pPr>
    </w:p>
    <w:p w14:paraId="26374DDE"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5报告期末前十名股票中存在流通受限情况的说明</w:t>
      </w:r>
    </w:p>
    <w:p w14:paraId="7A502387"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lastRenderedPageBreak/>
        <w:t/>
      </w:r>
      <w:proofErr w:type="gramStart"/>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gramEnd"/>
      <w:r>
        <w:rPr>
          <w:rFonts w:asciiTheme="minorEastAsia" w:eastAsiaTheme="minorEastAsia" w:hAnsiTheme="minorEastAsia"/>
          <w:color w:themeColor="text1" w:val="000000"/>
        </w:rPr>
        <w:t>本基金本报告期末前十名股票中不存在流通受限情况。</w:t>
      </w:r>
    </w:p>
    <w:p w14:paraId="6F6FE44E" w14:textId="77777777" w:rsidR="00D06738" w:rsidRDefault="00D06738">
      <w:pPr>
        <w:autoSpaceDE w:val="0"/>
        <w:autoSpaceDN w:val="0"/>
        <w:adjustRightInd w:val="0"/>
        <w:spacing w:line="360" w:lineRule="auto"/>
        <w:rPr>
          <w:rFonts w:asciiTheme="minorEastAsia" w:eastAsiaTheme="minorEastAsia" w:hAnsiTheme="minorEastAsia"/>
          <w:color w:themeColor="text1" w:val="000000"/>
          <w:sz w:val="24"/>
          <w:szCs w:val="24"/>
        </w:rPr>
      </w:pPr>
    </w:p>
    <w:p w14:paraId="329684B0"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spellStart"/>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
      </w:r>
      <w:proofErr w:type="spellEnd"/>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6投资组合报告附注的其他文字描述部分</w:t>
      </w:r>
    </w:p>
    <w:p w14:paraId="536D339F"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因四舍五入的原因，投资组合报告中分项之和与合计数可能存在尾差。</w:t>
      </w:r>
    </w:p>
    <w:p w14:paraId="1F6232E1"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6  </w:t>
      </w:r>
      <w:r>
        <w:rPr>
          <w:rFonts w:asciiTheme="minorEastAsia" w:eastAsiaTheme="minorEastAsia" w:hAnsiTheme="minorEastAsia" w:hint="eastAsia"/>
          <w:color w:themeColor="text1" w:val="000000"/>
          <w:kern w:val="0"/>
          <w:sz w:val="24"/>
          <w:szCs w:val="24"/>
        </w:rPr>
        <w:t>开放式基金份额变动</w:t>
      </w:r>
    </w:p>
    <w:p w14:paraId="1546AC98"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4"/>
          <w:szCs w:val="24"/>
        </w:rPr>
      </w:pPr>
      <w:r>
        <w:rPr>
          <w:rFonts w:asciiTheme="minorEastAsia" w:cs="宋体" w:eastAsiaTheme="minorEastAsia" w:hAnsiTheme="minorEastAsia" w:hint="eastAsia"/>
          <w:color w:themeColor="text1" w:val="000000"/>
          <w:kern w:val="0"/>
          <w:sz w:val="24"/>
          <w:szCs w:val="24"/>
        </w:rPr>
        <w:t>单位：份</w:t>
      </w:r>
    </w:p>
    <w:tbl>
      <w:tblPr>
        <w:tblW w:type="dxa" w:w="8634"/>
        <w:tblInd w:type="dxa" w:w="-106"/>
        <w:tblLayout w:type="fixed"/>
        <w:tblLook w:firstColumn="1" w:firstRow="1" w:lastColumn="0" w:lastRow="0" w:noHBand="0" w:noVBand="1" w:val="04A0"/>
      </w:tblPr>
      <w:tblGrid>
        <w:gridCol w:w="4609"/>
        <w:gridCol w:w="4025"/>
      </w:tblGrid>
      <w:tr w14:paraId="73D45AAD"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6363BCBA"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w:t>
            </w:r>
            <w:proofErr w:type="gramStart"/>
            <w:r>
              <w:rPr>
                <w:rFonts w:asciiTheme="minorEastAsia" w:cs="宋体" w:eastAsiaTheme="minorEastAsia" w:hAnsiTheme="minorEastAsia" w:hint="eastAsia"/>
                <w:color w:themeColor="text1" w:val="000000"/>
                <w:kern w:val="0"/>
              </w:rPr>
              <w:t>初基金</w:t>
            </w:r>
            <w:proofErr w:type="gramEnd"/>
            <w:r>
              <w:rPr>
                <w:rFonts w:asciiTheme="minorEastAsia" w:cs="宋体" w:eastAsiaTheme="minorEastAsia" w:hAnsiTheme="minorEastAsia" w:hint="eastAsia"/>
                <w:color w:themeColor="text1" w:val="000000"/>
                <w:kern w:val="0"/>
              </w:rPr>
              <w:t>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044C07D0"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gram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gramEnd"/>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248,315,259.67</w:t>
            </w:r>
          </w:p>
        </w:tc>
      </w:tr>
      <w:tr w14:paraId="464FC419"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34A78DD1"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proofErr w:type="spellEnd"/>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1AF86538"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6,526,425.43</w:t>
            </w:r>
          </w:p>
        </w:tc>
      </w:tr>
      <w:tr w14:paraId="17EE7B14"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7D22DA1B"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减：</w:t>
            </w: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proofErr w:type="spellEnd"/>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3D1634A5"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35,909,622.35</w:t>
            </w:r>
          </w:p>
        </w:tc>
      </w:tr>
      <w:tr w14:paraId="465F9B6E"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32F47FA4"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proofErr w:type="spellEnd"/>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基金拆分变动份额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68D17418"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w:t>
            </w:r>
          </w:p>
        </w:tc>
      </w:tr>
      <w:tr w14:paraId="05E84194"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5CDA9537"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489B390B"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hint="eastAsia"/>
                <w:color w:themeColor="text1" w:val="000000"/>
              </w:rPr>
              <w:t>218,932,062.75</w:t>
            </w:r>
          </w:p>
        </w:tc>
      </w:tr>
    </w:tbl>
    <w:p w14:paraId="3C94584F" w14:textId="77777777" w:rsidR="00D06738" w:rsidRDefault="00454D20">
      <w:pPr>
        <w:pStyle w:val="1"/>
        <w:tabs>
          <w:tab w:pos="4156" w:val="center"/>
          <w:tab w:pos="8312" w:val="right"/>
        </w:tabs>
        <w:spacing w:after="312" w:afterLines="100" w:before="312" w:beforeLines="100" w:line="360" w:lineRule="auto"/>
        <w:jc w:val="center"/>
        <w:rPr>
          <w:rFonts w:ascii="方正仿宋简体"/>
          <w:color w:themeColor="text1" w:val="000000"/>
          <w:sz w:val="24"/>
          <w:szCs w:val="24"/>
        </w:rPr>
      </w:pPr>
      <w:r>
        <w:rPr>
          <w:rFonts w:asciiTheme="minorEastAsia" w:eastAsiaTheme="minorEastAsia" w:hAnsiTheme="minorEastAsia" w:hint="eastAsia"/>
          <w:color w:themeColor="text1" w:val="000000"/>
          <w:kern w:val="0"/>
          <w:sz w:val="24"/>
          <w:szCs w:val="24"/>
        </w:rPr>
        <w:t/>
      </w:r>
      <w:proofErr w:type="spellStart"/>
      <w:r>
        <w:rPr>
          <w:rFonts w:asciiTheme="minorEastAsia" w:eastAsiaTheme="minorEastAsia" w:hAnsiTheme="minorEastAsia" w:hint="eastAsia"/>
          <w:color w:themeColor="text1" w:val="000000"/>
          <w:kern w:val="0"/>
          <w:sz w:val="24"/>
          <w:szCs w:val="24"/>
        </w:rPr>
        <w:t/>
      </w:r>
      <w:proofErr w:type="spellEnd"/>
      <w:r>
        <w:rPr>
          <w:rFonts w:asciiTheme="minorEastAsia" w:eastAsiaTheme="minorEastAsia" w:hAnsiTheme="minorEastAsia" w:hint="eastAsia"/>
          <w:color w:themeColor="text1" w:val="000000"/>
          <w:kern w:val="0"/>
          <w:sz w:val="24"/>
          <w:szCs w:val="24"/>
        </w:rPr>
        <w:t/>
      </w:r>
      <w:r>
        <w:rPr>
          <w:rFonts w:asciiTheme="minorEastAsia" w:cs="Arial" w:eastAsiaTheme="minorEastAsia" w:hAnsiTheme="minorEastAsia" w:hint="eastAsia"/>
          <w:color w:themeColor="text1" w:val="000000"/>
          <w:kern w:val="0"/>
          <w:sz w:val="24"/>
          <w:szCs w:val="24"/>
        </w:rPr>
        <w:t xml:space="preserve">§7  </w:t>
      </w:r>
      <w:r>
        <w:rPr>
          <w:rFonts w:ascii="方正仿宋简体" w:hint="eastAsia"/>
          <w:color w:themeColor="text1" w:val="000000"/>
          <w:sz w:val="24"/>
          <w:szCs w:val="24"/>
        </w:rPr>
        <w:t>基金管理人运用</w:t>
      </w:r>
      <w:proofErr w:type="gramStart"/>
      <w:r>
        <w:rPr>
          <w:rFonts w:ascii="方正仿宋简体" w:hint="eastAsia"/>
          <w:color w:themeColor="text1" w:val="000000"/>
          <w:sz w:val="24"/>
          <w:szCs w:val="24"/>
        </w:rPr>
        <w:t>固有资金</w:t>
      </w:r>
      <w:proofErr w:type="gramEnd"/>
      <w:r>
        <w:rPr>
          <w:rFonts w:ascii="方正仿宋简体" w:hint="eastAsia"/>
          <w:color w:themeColor="text1" w:val="000000"/>
          <w:sz w:val="24"/>
          <w:szCs w:val="24"/>
        </w:rPr>
        <w:t>投资本基金情况</w:t>
      </w:r>
    </w:p>
    <w:p w14:paraId="220CB641" w14:textId="77777777" w:rsidR="00D06738" w:rsidRDefault="00454D20">
      <w:pPr>
        <w:spacing w:line="360" w:lineRule="auto"/>
        <w:jc w:val="left"/>
        <w:rPr>
          <w:color w:themeColor="text1" w:val="000000"/>
          <w:sz w:val="24"/>
          <w:szCs w:val="24"/>
        </w:rPr>
      </w:pPr>
      <w:r>
        <w:rPr>
          <w:b/>
          <w:color w:themeColor="text1" w:val="000000"/>
          <w:sz w:val="24"/>
        </w:rPr>
        <w:t/>
      </w:r>
      <w:proofErr w:type="spellStart"/>
      <w:r>
        <w:rPr>
          <w:b/>
          <w:color w:themeColor="text1" w:val="000000"/>
          <w:sz w:val="24"/>
        </w:rPr>
        <w:t/>
      </w:r>
      <w:proofErr w:type="gramStart"/>
      <w:r>
        <w:rPr>
          <w:b/>
          <w:color w:themeColor="text1" w:val="000000"/>
          <w:sz w:val="24"/>
        </w:rPr>
        <w:t/>
      </w:r>
      <w:proofErr w:type="spellEnd"/>
      <w:r>
        <w:rPr>
          <w:b/>
          <w:color w:themeColor="text1" w:val="000000"/>
          <w:sz w:val="24"/>
        </w:rPr>
        <w:t/>
      </w:r>
      <w:proofErr w:type="gramEnd"/>
      <w:r>
        <w:rPr>
          <w:b/>
          <w:color w:themeColor="text1" w:val="000000"/>
          <w:sz w:val="24"/>
        </w:rPr>
        <w:t xml:space="preserve">7.1 </w:t>
      </w:r>
      <w:r>
        <w:rPr>
          <w:rFonts w:hint="eastAsia"/>
          <w:b/>
          <w:color w:themeColor="text1" w:val="000000"/>
          <w:sz w:val="24"/>
        </w:rPr>
        <w:t>基金管理人持有本基金份额变动情况</w:t>
      </w:r>
    </w:p>
    <w:p w14:paraId="3105CFED"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cs="宋体" w:eastAsiaTheme="minorEastAsia" w:hAnsiTheme="minorEastAsia"/>
          <w:color w:themeColor="text1" w:val="000000"/>
          <w:kern w:val="0"/>
        </w:rPr>
        <w:t/>
      </w:r>
      <w:proofErr w:type="gramStart"/>
      <w:r>
        <w:rPr>
          <w:rFonts w:asciiTheme="minorEastAsia" w:cs="宋体" w:eastAsiaTheme="minorEastAsia" w:hAnsiTheme="minorEastAsia"/>
          <w:color w:themeColor="text1" w:val="000000"/>
          <w:kern w:val="0"/>
        </w:rPr>
        <w:t/>
      </w:r>
      <w:proofErr w:type="spellStart"/>
      <w:proofErr w:type="gramEnd"/>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无。</w:t>
      </w:r>
    </w:p>
    <w:p w14:paraId="470676A3" w14:textId="77777777" w:rsidR="00D06738" w:rsidRDefault="00D06738">
      <w:pPr>
        <w:autoSpaceDE w:val="0"/>
        <w:autoSpaceDN w:val="0"/>
        <w:adjustRightInd w:val="0"/>
        <w:spacing w:line="360" w:lineRule="auto"/>
        <w:jc w:val="left"/>
        <w:rPr>
          <w:rFonts w:asciiTheme="minorEastAsia" w:cs="宋体" w:eastAsiaTheme="minorEastAsia" w:hAnsiTheme="minorEastAsia"/>
          <w:color w:themeColor="text1" w:val="000000"/>
          <w:kern w:val="0"/>
          <w:sz w:val="24"/>
        </w:rPr>
      </w:pPr>
    </w:p>
    <w:p w14:paraId="6765BFDC"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§8</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备查文件目录</w:t>
      </w:r>
    </w:p>
    <w:p w14:paraId="457E531B"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备查文件目录</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xml:space="preserve">1. 中国证监会批准上投摩根中小盘混合型证券投资基金设立的文件；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xml:space="preserve">2. 《上投摩根中小盘混合型证券投资基金基金合同》；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xml:space="preserve">3. 《上投摩根中小盘混合型证券投资基金基金托管协议》；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xml:space="preserve">4. 《上投摩根基金管理有限公司开放式基金业务规则》；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xml:space="preserve">5. 基金管理人业务资格批件、营业执照； </w:t>
      </w:r>
    </w:p>
    <w:p w14:paraId="1A471A23"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6. 基金托管人业务资格批件和营业执照。</w:t>
      </w:r>
    </w:p>
    <w:p w14:paraId="34C276B3"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23507D88"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2</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存放地点</w:t>
      </w:r>
    </w:p>
    <w:p w14:paraId="61EC8F57"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基金管理人或基金托管人处。</w:t>
      </w:r>
    </w:p>
    <w:p w14:paraId="4B43DAA4"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05279DD9"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查阅方式</w:t>
      </w:r>
    </w:p>
    <w:p w14:paraId="5BDF4042"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投资者可在营业时间免费查阅，也可按工本费购买复印件。</w:t>
      </w:r>
    </w:p>
    <w:p w14:paraId="1EB1072F"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086D5C70"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667FD74D"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5173A207"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5C1BC673"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309916CD"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7C0C74F6"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04EFEDF1"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0387F1AC" w14:textId="77777777" w:rsidR="00D06738" w:rsidRDefault="00454D20">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t/>
      </w:r>
      <w:proofErr w:type="spellStart"/>
      <w:r>
        <w:rPr>
          <w:rFonts w:asciiTheme="minorEastAsia" w:eastAsiaTheme="minorEastAsia" w:hAnsiTheme="minorEastAsia"/>
          <w:b/>
          <w:bCs/>
          <w:color w:themeColor="text1" w:val="000000"/>
          <w:sz w:val="24"/>
          <w:szCs w:val="24"/>
        </w:rPr>
        <w:t/>
      </w:r>
      <w:proofErr w:type="spellEnd"/>
      <w:r>
        <w:rPr>
          <w:rFonts w:asciiTheme="minorEastAsia" w:eastAsiaTheme="minorEastAsia" w:hAnsiTheme="minorEastAsia"/>
          <w:b/>
          <w:bCs/>
          <w:color w:themeColor="text1" w:val="000000"/>
          <w:sz w:val="24"/>
          <w:szCs w:val="24"/>
        </w:rPr>
        <w:t>上投摩根基金管理有限公司</w:t>
      </w:r>
    </w:p>
    <w:p w14:paraId="114F1307" w14:textId="77777777" w:rsidR="00D06738" w:rsidRDefault="00454D20">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lastRenderedPageBreak/>
        <w:t/>
      </w:r>
      <w:proofErr w:type="spellStart"/>
      <w:r>
        <w:rPr>
          <w:rFonts w:asciiTheme="minorEastAsia" w:eastAsiaTheme="minorEastAsia" w:hAnsiTheme="minorEastAsia"/>
          <w:b/>
          <w:bCs/>
          <w:color w:themeColor="text1" w:val="000000"/>
          <w:sz w:val="24"/>
          <w:szCs w:val="24"/>
        </w:rPr>
        <w:t/>
      </w:r>
      <w:proofErr w:type="spellEnd"/>
      <w:r>
        <w:rPr>
          <w:rFonts w:asciiTheme="minorEastAsia" w:eastAsiaTheme="minorEastAsia" w:hAnsiTheme="minorEastAsia"/>
          <w:b/>
          <w:bCs/>
          <w:color w:themeColor="text1" w:val="000000"/>
          <w:sz w:val="24"/>
          <w:szCs w:val="24"/>
        </w:rPr>
        <w:t>二〇二一年一月二十二日</w:t>
      </w:r>
    </w:p>
    <w:p w14:paraId="2199A838" w14:textId="77777777" w:rsidR="00D06738" w:rsidRDefault="00D06738">
      <w:pPr>
        <w:spacing w:line="360" w:lineRule="auto"/>
        <w:ind w:left="840"/>
        <w:jc w:val="right"/>
        <w:rPr>
          <w:rFonts w:asciiTheme="minorEastAsia" w:eastAsiaTheme="minorEastAsia" w:hAnsiTheme="minorEastAsia"/>
          <w:b/>
          <w:bCs/>
          <w:color w:themeColor="text1" w:val="000000"/>
          <w:sz w:val="24"/>
          <w:szCs w:val="24"/>
        </w:rPr>
      </w:pPr>
    </w:p>
    <w:p w14:paraId="1ED73A6C" w14:textId="77777777" w:rsidR="00D06738" w:rsidRDefault="00D06738">
      <w:pPr>
        <w:rPr>
          <w:rFonts w:asciiTheme="minorEastAsia" w:eastAsiaTheme="minorEastAsia" w:hAnsiTheme="minorEastAsia"/>
          <w:color w:themeColor="text1" w:val="000000"/>
          <w:sz w:val="24"/>
          <w:szCs w:val="24"/>
        </w:rPr>
      </w:pPr>
    </w:p>
    <w:sectPr w:rsidR="00D06738">
      <w:footerReference r:id="rId11" w:type="default"/>
      <w:pgSz w:h="16838" w:w="11906"/>
      <w:pgMar w:bottom="1440" w:footer="992" w:gutter="0" w:header="851" w:left="1797" w:right="1797" w:top="1440"/>
      <w:cols w:space="425"/>
      <w:docGrid w:linePitch="312"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7A2A4" w14:textId="77777777" w:rsidR="003A7FDA" w:rsidRDefault="003A7FDA">
      <w:r>
        <w:separator/>
      </w:r>
    </w:p>
  </w:endnote>
  <w:endnote w:type="continuationSeparator" w:id="0">
    <w:p w14:paraId="1019A9A1" w14:textId="77777777" w:rsidR="003A7FDA" w:rsidRDefault="003A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6371105E" w14:textId="77777777" w:rsidR="00454D20" w:rsidRDefault="00454D20">
    <w:pPr>
      <w:pStyle w:val="af4"/>
      <w:tabs>
        <w:tab w:pos="4215" w:val="left"/>
        <w:tab w:pos="4545" w:val="center"/>
      </w:tabs>
    </w:pPr>
    <w:r>
      <w:ptab w:alignment="center" w:leader="none" w:relativeTo="margin"/>
    </w:r>
    <w:r>
      <w:ptab w:alignment="center" w:leader="none" w:relativeTo="margin"/>
    </w:r>
    <w:r>
      <w:fldChar w:fldCharType="begin"/>
    </w:r>
    <w:r>
      <w:instrText xml:space="preserve"> PAGE   \* MERGEFORMAT </w:instrText>
    </w:r>
    <w:r>
      <w:fldChar w:fldCharType="separate"/>
    </w:r>
    <w:r>
      <w:rPr>
        <w:lang w:val="zh-CN"/>
      </w:rPr>
      <w:t>1</w:t>
    </w:r>
    <w:r>
      <w:rPr>
        <w:lang w:val="zh-CN"/>
      </w:rPr>
      <w:fldChar w:fldCharType="end"/>
    </w: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7152CFD6" w14:textId="77777777" w:rsidR="00454D20" w:rsidRDefault="00454D20">
    <w:pPr>
      <w:pStyle w:val="af4"/>
      <w:framePr w:hAnchor="margin" w:vAnchor="text" w:wrap="around" w:xAlign="center" w:y="1"/>
      <w:rPr>
        <w:rStyle w:val="aff"/>
      </w:rPr>
    </w:pPr>
    <w:r>
      <w:rPr>
        <w:rStyle w:val="aff"/>
      </w:rPr>
      <w:fldChar w:fldCharType="begin"/>
    </w:r>
    <w:r>
      <w:rPr>
        <w:rStyle w:val="aff"/>
      </w:rPr>
      <w:instrText xml:space="preserve">PAGE  </w:instrText>
    </w:r>
    <w:r>
      <w:rPr>
        <w:rStyle w:val="aff"/>
      </w:rPr>
      <w:fldChar w:fldCharType="separate"/>
    </w:r>
    <w:r>
      <w:rPr>
        <w:rStyle w:val="aff"/>
      </w:rPr>
      <w:t>24</w:t>
    </w:r>
    <w:r>
      <w:rPr>
        <w:rStyle w:val="aff"/>
      </w:rPr>
      <w:fldChar w:fldCharType="end"/>
    </w:r>
  </w:p>
  <w:p w14:paraId="10FC3B0F" w14:textId="77777777" w:rsidR="00454D20" w:rsidRDefault="00454D20">
    <w:pPr>
      <w:pStyle w:val="af4"/>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footnote w:id="-1" w:type="separator">
    <w:p w14:paraId="34B446B8" w14:textId="77777777" w:rsidR="003A7FDA" w:rsidRDefault="003A7FDA">
      <w:r>
        <w:separator/>
      </w:r>
    </w:p>
  </w:footnote>
  <w:footnote w:id="0" w:type="continuationSeparator">
    <w:p w14:paraId="2B5985C8" w14:textId="77777777" w:rsidR="003A7FDA" w:rsidRDefault="003A7FDA">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0D366656" w14:textId="77777777" w:rsidR="00454D20" w:rsidRDefault="00454D20">
    <w:pPr>
      <w:pStyle w:val="af6"/>
      <w:pBdr>
        <w:bottom w:color="auto" w:space="0" w:sz="6" w:val="single"/>
      </w:pBdr>
      <w:jc w:val="right"/>
    </w:pPr>
    <w:r>
      <w:rPr>
        <w:rFonts w:hint="eastAsia"/>
      </w:rPr>
      <w:t/>
    </w:r>
    <w:proofErr w:type="spellStart"/>
    <w:r>
      <w:t/>
    </w:r>
    <w:r>
      <w:rPr>
        <w:rFonts w:hint="eastAsia"/>
      </w:rPr>
      <w:t/>
    </w:r>
    <w:proofErr w:type="gramStart"/>
    <w:r>
      <w:t/>
    </w:r>
    <w:proofErr w:type="spellEnd"/>
    <w:r>
      <w:rPr>
        <w:rFonts w:hint="eastAsia"/>
      </w:rPr>
      <w:t>上投摩根中小盘混合型证券投资基金</w:t>
    </w:r>
    <w:proofErr w:type="spellStart"/>
    <w:proofErr w:type="gramEnd"/>
    <w:r>
      <w:rPr>
        <w:rFonts w:hint="eastAsia"/>
      </w:rPr>
      <w:t/>
    </w:r>
    <w:proofErr w:type="spellEnd"/>
    <w:r>
      <w:rPr>
        <w:rFonts w:hint="eastAsia"/>
      </w:rPr>
      <w:t>2020年第4季度报告</w: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zoom w:percent="90"/>
  <w:bordersDoNotSurroundHeader/>
  <w:bordersDoNotSurroundFooter/>
  <w:proofState w:grammar="clean"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5DA339C3"/>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docDefaults>
    <w:rPrDefault>
      <w:rPr>
        <w:rFonts w:asciiTheme="minorHAnsi" w:cstheme="minorBidi" w:eastAsiaTheme="minorEastAsia" w:hAnsiTheme="minorHAnsi"/>
        <w:lang w:bidi="ar-SA" w:eastAsia="zh-CN" w:val="en-US"/>
      </w:rPr>
    </w:rPrDefault>
    <w:pPrDefault/>
  </w:docDefaults>
  <w:latentStyles w:count="376" w:defLockedState="0" w:defQFormat="0" w:defSemiHidden="0" w:defUIPriority="99" w:defUnhideWhenUsed="0">
    <w:lsdException w:name="Normal" w:qFormat="1" w:uiPriority="0"/>
    <w:lsdException w:name="heading 1" w:qFormat="1"/>
    <w:lsdException w:name="heading 2" w:qFormat="1"/>
    <w:lsdException w:name="heading 3" w:qFormat="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qFormat="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qFormat="1" w:semiHidden="1"/>
    <w:lsdException w:name="footer" w:qFormat="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qFormat="1"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qFormat="1" w:semiHidden="1" w:uiPriority="1" w:unhideWhenUsed="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qFormat="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qFormat="1" w:uiPriority="22"/>
    <w:lsdException w:name="Emphasis" w:qFormat="1" w:uiPriority="20"/>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semiHidden="1" w:unhideWhenUsed="1"/>
    <w:lsdException w:name="annotation subject" w:qFormat="1"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semiHidden="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a" w:type="paragraph">
    <w:name w:val="Normal"/>
    <w:qFormat/>
    <w:pPr>
      <w:widowControl w:val="0"/>
      <w:jc w:val="both"/>
    </w:pPr>
    <w:rPr>
      <w:rFonts w:ascii="Times New Roman" w:cs="Times New Roman" w:eastAsia="宋体" w:hAnsi="Times New Roman"/>
      <w:kern w:val="2"/>
      <w:sz w:val="21"/>
      <w:szCs w:val="21"/>
    </w:rPr>
  </w:style>
  <w:style w:styleId="1" w:type="paragraph">
    <w:name w:val="heading 1"/>
    <w:basedOn w:val="a"/>
    <w:next w:val="a"/>
    <w:link w:val="10"/>
    <w:uiPriority w:val="99"/>
    <w:qFormat/>
    <w:pPr>
      <w:keepNext/>
      <w:keepLines/>
      <w:spacing w:after="330" w:before="340" w:line="578" w:lineRule="auto"/>
      <w:outlineLvl w:val="0"/>
    </w:pPr>
    <w:rPr>
      <w:b/>
      <w:bCs/>
      <w:kern w:val="44"/>
      <w:sz w:val="44"/>
      <w:szCs w:val="44"/>
    </w:rPr>
  </w:style>
  <w:style w:styleId="2" w:type="paragraph">
    <w:name w:val="heading 2"/>
    <w:basedOn w:val="a"/>
    <w:next w:val="a0"/>
    <w:link w:val="20"/>
    <w:uiPriority w:val="99"/>
    <w:qFormat/>
    <w:pPr>
      <w:keepNext/>
      <w:keepLines/>
      <w:spacing w:after="260" w:before="260" w:line="360" w:lineRule="auto"/>
      <w:outlineLvl w:val="1"/>
    </w:pPr>
    <w:rPr>
      <w:rFonts w:ascii="Arial" w:cs="Arial" w:hAnsi="Arial"/>
      <w:b/>
      <w:bCs/>
      <w:sz w:val="24"/>
      <w:szCs w:val="24"/>
    </w:rPr>
  </w:style>
  <w:style w:styleId="3" w:type="paragraph">
    <w:name w:val="heading 3"/>
    <w:basedOn w:val="a"/>
    <w:next w:val="a"/>
    <w:link w:val="30"/>
    <w:uiPriority w:val="99"/>
    <w:qFormat/>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pPr>
      <w:ind w:firstLine="420" w:firstLineChars="200"/>
    </w:pPr>
  </w:style>
  <w:style w:styleId="a4" w:type="paragraph">
    <w:name w:val="annotation subject"/>
    <w:basedOn w:val="a5"/>
    <w:next w:val="a5"/>
    <w:link w:val="a6"/>
    <w:uiPriority w:val="99"/>
    <w:semiHidden/>
    <w:qFormat/>
    <w:rPr>
      <w:b/>
      <w:bCs/>
    </w:rPr>
  </w:style>
  <w:style w:styleId="a5" w:type="paragraph">
    <w:name w:val="annotation text"/>
    <w:basedOn w:val="a"/>
    <w:link w:val="a7"/>
    <w:uiPriority w:val="99"/>
    <w:semiHidden/>
    <w:qFormat/>
    <w:pPr>
      <w:jc w:val="left"/>
    </w:pPr>
  </w:style>
  <w:style w:styleId="a8" w:type="paragraph">
    <w:name w:val="Document Map"/>
    <w:basedOn w:val="a"/>
    <w:link w:val="a9"/>
    <w:uiPriority w:val="99"/>
    <w:semiHidden/>
    <w:pPr>
      <w:shd w:color="auto" w:fill="000080" w:val="clear"/>
    </w:pPr>
  </w:style>
  <w:style w:styleId="aa" w:type="paragraph">
    <w:name w:val="Body Text"/>
    <w:basedOn w:val="a"/>
    <w:link w:val="ab"/>
    <w:uiPriority w:val="99"/>
    <w:qFormat/>
    <w:pPr>
      <w:spacing w:after="120"/>
    </w:pPr>
  </w:style>
  <w:style w:styleId="ac" w:type="paragraph">
    <w:name w:val="Body Text Indent"/>
    <w:basedOn w:val="a"/>
    <w:link w:val="ad"/>
    <w:uiPriority w:val="99"/>
    <w:pPr>
      <w:widowControl/>
      <w:spacing w:after="100" w:afterAutospacing="1" w:before="100" w:beforeAutospacing="1"/>
      <w:jc w:val="left"/>
    </w:pPr>
    <w:rPr>
      <w:rFonts w:ascii="Arial Unicode MS" w:cs="Arial Unicode MS" w:eastAsia="Arial Unicode MS" w:hAnsi="Arial Unicode MS"/>
      <w:kern w:val="0"/>
      <w:sz w:val="24"/>
      <w:szCs w:val="24"/>
    </w:rPr>
  </w:style>
  <w:style w:styleId="ae" w:type="paragraph">
    <w:name w:val="Plain Text"/>
    <w:basedOn w:val="a"/>
    <w:link w:val="af"/>
    <w:uiPriority w:val="99"/>
    <w:rPr>
      <w:rFonts w:ascii="宋体" w:cs="宋体" w:hAnsi="Courier New"/>
    </w:rPr>
  </w:style>
  <w:style w:styleId="af0" w:type="paragraph">
    <w:name w:val="Date"/>
    <w:basedOn w:val="a"/>
    <w:next w:val="a"/>
    <w:link w:val="af1"/>
    <w:qFormat/>
    <w:rPr>
      <w:sz w:val="24"/>
      <w:szCs w:val="24"/>
    </w:rPr>
  </w:style>
  <w:style w:styleId="21" w:type="paragraph">
    <w:name w:val="Body Text Indent 2"/>
    <w:basedOn w:val="a"/>
    <w:link w:val="22"/>
    <w:uiPriority w:val="99"/>
    <w:qFormat/>
    <w:pPr>
      <w:spacing w:line="560" w:lineRule="exact"/>
      <w:ind w:firstLine="480" w:firstLineChars="200"/>
    </w:pPr>
    <w:rPr>
      <w:rFonts w:ascii="宋体" w:cs="宋体" w:hAnsi="宋体"/>
      <w:color w:val="FF0000"/>
      <w:sz w:val="24"/>
      <w:szCs w:val="24"/>
    </w:rPr>
  </w:style>
  <w:style w:styleId="af2" w:type="paragraph">
    <w:name w:val="Balloon Text"/>
    <w:basedOn w:val="a"/>
    <w:link w:val="af3"/>
    <w:uiPriority w:val="99"/>
    <w:semiHidden/>
    <w:qFormat/>
    <w:rPr>
      <w:sz w:val="18"/>
      <w:szCs w:val="18"/>
    </w:rPr>
  </w:style>
  <w:style w:styleId="af4" w:type="paragraph">
    <w:name w:val="footer"/>
    <w:basedOn w:val="a"/>
    <w:link w:val="af5"/>
    <w:uiPriority w:val="99"/>
    <w:qFormat/>
    <w:pPr>
      <w:tabs>
        <w:tab w:pos="4153" w:val="center"/>
        <w:tab w:pos="8306" w:val="right"/>
      </w:tabs>
      <w:snapToGrid w:val="0"/>
      <w:jc w:val="left"/>
    </w:pPr>
    <w:rPr>
      <w:sz w:val="18"/>
      <w:szCs w:val="18"/>
    </w:rPr>
  </w:style>
  <w:style w:styleId="af6" w:type="paragraph">
    <w:name w:val="header"/>
    <w:basedOn w:val="a"/>
    <w:link w:val="af7"/>
    <w:uiPriority w:val="99"/>
    <w:pPr>
      <w:pBdr>
        <w:bottom w:color="auto" w:space="1" w:sz="6" w:val="single"/>
      </w:pBdr>
      <w:tabs>
        <w:tab w:pos="4153" w:val="center"/>
        <w:tab w:pos="8306" w:val="right"/>
      </w:tabs>
      <w:snapToGrid w:val="0"/>
      <w:jc w:val="center"/>
    </w:pPr>
    <w:rPr>
      <w:sz w:val="18"/>
      <w:szCs w:val="18"/>
    </w:rPr>
  </w:style>
  <w:style w:styleId="af8" w:type="paragraph">
    <w:name w:val="List"/>
    <w:basedOn w:val="aa"/>
    <w:uiPriority w:val="99"/>
    <w:pPr>
      <w:spacing w:after="220" w:line="220" w:lineRule="atLeast"/>
      <w:ind w:hanging="360" w:left="1440"/>
    </w:pPr>
  </w:style>
  <w:style w:styleId="af9" w:type="paragraph">
    <w:name w:val="footnote text"/>
    <w:basedOn w:val="a"/>
    <w:link w:val="afa"/>
    <w:pPr>
      <w:snapToGrid w:val="0"/>
      <w:jc w:val="left"/>
    </w:pPr>
    <w:rPr>
      <w:sz w:val="18"/>
      <w:szCs w:val="18"/>
    </w:rPr>
  </w:style>
  <w:style w:styleId="31" w:type="paragraph">
    <w:name w:val="Body Text Indent 3"/>
    <w:basedOn w:val="a"/>
    <w:link w:val="32"/>
    <w:uiPriority w:val="99"/>
    <w:pPr>
      <w:spacing w:line="560" w:lineRule="exact"/>
      <w:ind w:firstLine="420" w:firstLineChars="200"/>
    </w:pPr>
    <w:rPr>
      <w:rFonts w:ascii="Arial" w:cs="Arial" w:hAnsi="Arial"/>
      <w:color w:val="FF0000"/>
    </w:rPr>
  </w:style>
  <w:style w:styleId="afb" w:type="paragraph">
    <w:name w:val="Normal (Web)"/>
    <w:basedOn w:val="a"/>
    <w:uiPriority w:val="99"/>
    <w:pPr>
      <w:widowControl/>
      <w:spacing w:after="100" w:afterAutospacing="1" w:before="100" w:beforeAutospacing="1"/>
      <w:jc w:val="left"/>
    </w:pPr>
    <w:rPr>
      <w:rFonts w:ascii="宋体" w:cs="宋体" w:hAnsi="宋体"/>
      <w:kern w:val="0"/>
      <w:sz w:val="24"/>
      <w:szCs w:val="24"/>
    </w:rPr>
  </w:style>
  <w:style w:styleId="11" w:type="paragraph">
    <w:name w:val="index 1"/>
    <w:basedOn w:val="a"/>
    <w:next w:val="a"/>
    <w:uiPriority w:val="99"/>
    <w:semiHidden/>
    <w:qFormat/>
    <w:pPr>
      <w:jc w:val="right"/>
    </w:pPr>
    <w:rPr>
      <w:color w:val="008000"/>
    </w:rPr>
  </w:style>
  <w:style w:styleId="afc" w:type="paragraph">
    <w:name w:val="Title"/>
    <w:basedOn w:val="a"/>
    <w:next w:val="a"/>
    <w:link w:val="afd"/>
    <w:uiPriority w:val="99"/>
    <w:qFormat/>
    <w:pPr>
      <w:spacing w:after="60" w:before="240"/>
      <w:jc w:val="center"/>
      <w:outlineLvl w:val="0"/>
    </w:pPr>
    <w:rPr>
      <w:rFonts w:ascii="Cambria" w:cs="Cambria" w:hAnsi="Cambria"/>
      <w:b/>
      <w:bCs/>
      <w:sz w:val="32"/>
      <w:szCs w:val="32"/>
    </w:rPr>
  </w:style>
  <w:style w:styleId="afe" w:type="character">
    <w:name w:val="Strong"/>
    <w:basedOn w:val="a1"/>
    <w:uiPriority w:val="22"/>
    <w:qFormat/>
    <w:rPr>
      <w:b/>
      <w:bCs/>
    </w:rPr>
  </w:style>
  <w:style w:styleId="aff" w:type="character">
    <w:name w:val="page number"/>
    <w:basedOn w:val="a1"/>
    <w:uiPriority w:val="99"/>
  </w:style>
  <w:style w:styleId="aff0" w:type="character">
    <w:name w:val="FollowedHyperlink"/>
    <w:basedOn w:val="a1"/>
    <w:uiPriority w:val="99"/>
    <w:qFormat/>
    <w:rPr>
      <w:color w:val="800080"/>
      <w:u w:val="single"/>
    </w:rPr>
  </w:style>
  <w:style w:styleId="aff1" w:type="character">
    <w:name w:val="Hyperlink"/>
    <w:basedOn w:val="a1"/>
    <w:uiPriority w:val="99"/>
    <w:rPr>
      <w:color w:val="0000FF"/>
      <w:u w:val="single"/>
    </w:rPr>
  </w:style>
  <w:style w:styleId="aff2" w:type="character">
    <w:name w:val="annotation reference"/>
    <w:basedOn w:val="a1"/>
    <w:uiPriority w:val="99"/>
    <w:semiHidden/>
    <w:qFormat/>
    <w:rPr>
      <w:sz w:val="21"/>
      <w:szCs w:val="21"/>
    </w:rPr>
  </w:style>
  <w:style w:styleId="aff3" w:type="character">
    <w:name w:val="footnote reference"/>
    <w:basedOn w:val="a1"/>
    <w:rPr>
      <w:vertAlign w:val="superscript"/>
    </w:rPr>
  </w:style>
  <w:style w:styleId="aff4" w:type="table">
    <w:name w:val="Table Grid"/>
    <w:basedOn w:val="a2"/>
    <w:uiPriority w:val="99"/>
    <w:pPr>
      <w:widowControl w:val="0"/>
      <w:jc w:val="both"/>
    </w:pPr>
    <w:rPr>
      <w:rFonts w:ascii="Times New Roman" w:cs="Times New Roman" w:eastAsia="宋体"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10" w:type="character">
    <w:name w:val="标题 1 字符"/>
    <w:basedOn w:val="a1"/>
    <w:link w:val="1"/>
    <w:uiPriority w:val="99"/>
    <w:rPr>
      <w:rFonts w:ascii="Times New Roman" w:cs="Times New Roman" w:eastAsia="宋体" w:hAnsi="Times New Roman"/>
      <w:b/>
      <w:bCs/>
      <w:kern w:val="44"/>
      <w:sz w:val="44"/>
      <w:szCs w:val="44"/>
    </w:rPr>
  </w:style>
  <w:style w:customStyle="1" w:styleId="20" w:type="character">
    <w:name w:val="标题 2 字符"/>
    <w:basedOn w:val="a1"/>
    <w:link w:val="2"/>
    <w:uiPriority w:val="99"/>
    <w:rPr>
      <w:rFonts w:ascii="Arial" w:cs="Arial" w:eastAsia="宋体" w:hAnsi="Arial"/>
      <w:b/>
      <w:bCs/>
      <w:sz w:val="24"/>
      <w:szCs w:val="24"/>
    </w:rPr>
  </w:style>
  <w:style w:customStyle="1" w:styleId="30" w:type="character">
    <w:name w:val="标题 3 字符"/>
    <w:basedOn w:val="a1"/>
    <w:link w:val="3"/>
    <w:uiPriority w:val="99"/>
    <w:rPr>
      <w:rFonts w:ascii="Times New Roman" w:cs="Times New Roman" w:eastAsia="宋体" w:hAnsi="Times New Roman"/>
      <w:b/>
      <w:bCs/>
      <w:sz w:val="32"/>
      <w:szCs w:val="32"/>
    </w:rPr>
  </w:style>
  <w:style w:customStyle="1" w:styleId="ad" w:type="character">
    <w:name w:val="正文文本缩进 字符"/>
    <w:basedOn w:val="a1"/>
    <w:link w:val="ac"/>
    <w:uiPriority w:val="99"/>
    <w:rPr>
      <w:rFonts w:ascii="Arial Unicode MS" w:cs="Arial Unicode MS" w:eastAsia="Arial Unicode MS" w:hAnsi="Arial Unicode MS"/>
      <w:kern w:val="0"/>
      <w:sz w:val="24"/>
      <w:szCs w:val="24"/>
    </w:rPr>
  </w:style>
  <w:style w:customStyle="1" w:styleId="af" w:type="character">
    <w:name w:val="纯文本 字符"/>
    <w:basedOn w:val="a1"/>
    <w:link w:val="ae"/>
    <w:uiPriority w:val="99"/>
    <w:rPr>
      <w:rFonts w:ascii="宋体" w:cs="宋体" w:eastAsia="宋体" w:hAnsi="Courier New"/>
      <w:szCs w:val="21"/>
    </w:rPr>
  </w:style>
  <w:style w:customStyle="1" w:styleId="22" w:type="character">
    <w:name w:val="正文文本缩进 2 字符"/>
    <w:basedOn w:val="a1"/>
    <w:link w:val="21"/>
    <w:uiPriority w:val="99"/>
    <w:rPr>
      <w:rFonts w:ascii="宋体" w:cs="宋体" w:eastAsia="宋体" w:hAnsi="宋体"/>
      <w:color w:val="FF0000"/>
      <w:sz w:val="24"/>
      <w:szCs w:val="24"/>
    </w:rPr>
  </w:style>
  <w:style w:customStyle="1" w:styleId="af5" w:type="character">
    <w:name w:val="页脚 字符"/>
    <w:basedOn w:val="a1"/>
    <w:link w:val="af4"/>
    <w:uiPriority w:val="99"/>
    <w:rPr>
      <w:rFonts w:ascii="Times New Roman" w:cs="Times New Roman" w:eastAsia="宋体" w:hAnsi="Times New Roman"/>
      <w:sz w:val="18"/>
      <w:szCs w:val="18"/>
    </w:rPr>
  </w:style>
  <w:style w:customStyle="1" w:styleId="32" w:type="character">
    <w:name w:val="正文文本缩进 3 字符"/>
    <w:basedOn w:val="a1"/>
    <w:link w:val="31"/>
    <w:uiPriority w:val="99"/>
    <w:rPr>
      <w:rFonts w:ascii="Arial" w:cs="Arial" w:eastAsia="宋体" w:hAnsi="Arial"/>
      <w:color w:val="FF0000"/>
      <w:szCs w:val="21"/>
    </w:rPr>
  </w:style>
  <w:style w:customStyle="1" w:styleId="af7" w:type="character">
    <w:name w:val="页眉 字符"/>
    <w:basedOn w:val="a1"/>
    <w:link w:val="af6"/>
    <w:uiPriority w:val="99"/>
    <w:rPr>
      <w:rFonts w:ascii="Times New Roman" w:cs="Times New Roman" w:eastAsia="宋体" w:hAnsi="Times New Roman"/>
      <w:sz w:val="18"/>
      <w:szCs w:val="18"/>
    </w:rPr>
  </w:style>
  <w:style w:customStyle="1" w:styleId="ab" w:type="character">
    <w:name w:val="正文文本 字符"/>
    <w:basedOn w:val="a1"/>
    <w:link w:val="aa"/>
    <w:uiPriority w:val="99"/>
    <w:qFormat/>
    <w:rPr>
      <w:rFonts w:ascii="Times New Roman" w:cs="Times New Roman" w:eastAsia="宋体" w:hAnsi="Times New Roman"/>
      <w:szCs w:val="21"/>
    </w:rPr>
  </w:style>
  <w:style w:customStyle="1" w:styleId="af1" w:type="character">
    <w:name w:val="日期 字符"/>
    <w:basedOn w:val="a1"/>
    <w:link w:val="af0"/>
    <w:qFormat/>
    <w:rPr>
      <w:rFonts w:ascii="Times New Roman" w:cs="Times New Roman" w:eastAsia="宋体" w:hAnsi="Times New Roman"/>
      <w:sz w:val="24"/>
      <w:szCs w:val="24"/>
    </w:rPr>
  </w:style>
  <w:style w:customStyle="1" w:styleId="c1" w:type="character">
    <w:name w:val="c1"/>
    <w:basedOn w:val="a1"/>
    <w:uiPriority w:val="99"/>
    <w:qFormat/>
    <w:rPr>
      <w:color w:val="000000"/>
      <w:sz w:val="18"/>
      <w:szCs w:val="18"/>
    </w:rPr>
  </w:style>
  <w:style w:customStyle="1" w:styleId="font5" w:type="paragraph">
    <w:name w:val="font5"/>
    <w:basedOn w:val="a"/>
    <w:uiPriority w:val="99"/>
    <w:qFormat/>
    <w:pPr>
      <w:widowControl/>
      <w:spacing w:after="100" w:afterAutospacing="1" w:before="100" w:beforeAutospacing="1"/>
      <w:jc w:val="left"/>
    </w:pPr>
    <w:rPr>
      <w:rFonts w:ascii="宋体" w:cs="宋体" w:hAnsi="宋体"/>
      <w:kern w:val="0"/>
      <w:sz w:val="18"/>
      <w:szCs w:val="18"/>
    </w:rPr>
  </w:style>
  <w:style w:customStyle="1" w:styleId="xl24" w:type="paragraph">
    <w:name w:val="xl24"/>
    <w:basedOn w:val="a"/>
    <w:uiPriority w:val="99"/>
    <w:qFormat/>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xl26" w:type="paragraph">
    <w:name w:val="xl26"/>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7" w:type="paragraph">
    <w:name w:val="xl27"/>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9" w:type="paragraph">
    <w:name w:val="xl29"/>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0" w:type="paragraph">
    <w:name w:val="xl30"/>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1" w:type="paragraph">
    <w:name w:val="xl31"/>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af3" w:type="character">
    <w:name w:val="批注框文本 字符"/>
    <w:basedOn w:val="a1"/>
    <w:link w:val="af2"/>
    <w:uiPriority w:val="99"/>
    <w:semiHidden/>
    <w:qFormat/>
    <w:rPr>
      <w:rFonts w:ascii="Times New Roman" w:cs="Times New Roman" w:eastAsia="宋体" w:hAnsi="Times New Roman"/>
      <w:sz w:val="18"/>
      <w:szCs w:val="18"/>
    </w:rPr>
  </w:style>
  <w:style w:customStyle="1" w:styleId="a7" w:type="character">
    <w:name w:val="批注文字 字符"/>
    <w:basedOn w:val="a1"/>
    <w:link w:val="a5"/>
    <w:uiPriority w:val="99"/>
    <w:semiHidden/>
    <w:qFormat/>
    <w:rPr>
      <w:rFonts w:ascii="Times New Roman" w:cs="Times New Roman" w:eastAsia="宋体" w:hAnsi="Times New Roman"/>
      <w:szCs w:val="21"/>
    </w:rPr>
  </w:style>
  <w:style w:customStyle="1" w:styleId="a6" w:type="character">
    <w:name w:val="批注主题 字符"/>
    <w:basedOn w:val="a7"/>
    <w:link w:val="a4"/>
    <w:uiPriority w:val="99"/>
    <w:semiHidden/>
    <w:qFormat/>
    <w:rPr>
      <w:rFonts w:ascii="Times New Roman" w:cs="Times New Roman" w:eastAsia="宋体" w:hAnsi="Times New Roman"/>
      <w:b/>
      <w:bCs/>
      <w:szCs w:val="21"/>
    </w:rPr>
  </w:style>
  <w:style w:customStyle="1" w:styleId="Char" w:type="paragraph">
    <w:name w:val="Char"/>
    <w:basedOn w:val="a"/>
    <w:uiPriority w:val="99"/>
    <w:qFormat/>
  </w:style>
  <w:style w:customStyle="1" w:styleId="a9" w:type="character">
    <w:name w:val="文档结构图 字符"/>
    <w:basedOn w:val="a1"/>
    <w:link w:val="a8"/>
    <w:uiPriority w:val="99"/>
    <w:semiHidden/>
    <w:rPr>
      <w:rFonts w:ascii="Times New Roman" w:cs="Times New Roman" w:eastAsia="宋体" w:hAnsi="Times New Roman"/>
      <w:szCs w:val="21"/>
      <w:shd w:color="auto" w:fill="000080" w:val="clear"/>
    </w:rPr>
  </w:style>
  <w:style w:customStyle="1" w:styleId="aff5" w:type="paragraph">
    <w:name w:val="正文 + (符号) 宋体"/>
    <w:basedOn w:val="a"/>
    <w:uiPriority w:val="99"/>
    <w:pPr>
      <w:autoSpaceDE w:val="0"/>
      <w:autoSpaceDN w:val="0"/>
      <w:adjustRightInd w:val="0"/>
      <w:ind w:firstLine="1229" w:firstLineChars="512" w:right="1409" w:rightChars="671"/>
      <w:jc w:val="distribute"/>
    </w:pPr>
    <w:rPr>
      <w:sz w:val="24"/>
      <w:szCs w:val="24"/>
    </w:rPr>
  </w:style>
  <w:style w:customStyle="1" w:styleId="afa" w:type="character">
    <w:name w:val="脚注文本 字符"/>
    <w:basedOn w:val="a1"/>
    <w:link w:val="af9"/>
    <w:rPr>
      <w:rFonts w:ascii="Times New Roman" w:cs="Times New Roman" w:eastAsia="宋体" w:hAnsi="Times New Roman"/>
      <w:sz w:val="18"/>
      <w:szCs w:val="18"/>
    </w:rPr>
  </w:style>
  <w:style w:customStyle="1" w:styleId="Char1" w:type="paragraph">
    <w:name w:val="Char1"/>
    <w:basedOn w:val="a"/>
    <w:uiPriority w:val="99"/>
  </w:style>
  <w:style w:customStyle="1" w:styleId="CharCharCharCharCharChar1CharCharChar" w:type="paragraph">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customStyle="1" w:styleId="CharCharCharCharCharChar1CharCharChar2" w:type="paragraph">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customStyle="1" w:styleId="afd" w:type="character">
    <w:name w:val="标题 字符"/>
    <w:basedOn w:val="a1"/>
    <w:link w:val="afc"/>
    <w:uiPriority w:val="99"/>
    <w:rPr>
      <w:rFonts w:ascii="Cambria" w:cs="Cambria" w:eastAsia="宋体" w:hAnsi="Cambria"/>
      <w:b/>
      <w:bCs/>
      <w:sz w:val="32"/>
      <w:szCs w:val="32"/>
    </w:rPr>
  </w:style>
  <w:style w:customStyle="1" w:styleId="CharCharCharCharCharChar1CharCharChar1" w:type="paragraph">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customStyle="1" w:styleId="12" w:type="paragraph">
    <w:name w:val="无间隔1"/>
    <w:link w:val="Char0"/>
    <w:uiPriority w:val="1"/>
    <w:qFormat/>
    <w:rPr>
      <w:rFonts w:ascii="Calibri" w:cs="Calibri" w:eastAsia="宋体" w:hAnsi="Calibri"/>
      <w:sz w:val="22"/>
      <w:szCs w:val="22"/>
    </w:rPr>
  </w:style>
  <w:style w:customStyle="1" w:styleId="Char0" w:type="character">
    <w:name w:val="无间隔 Char"/>
    <w:basedOn w:val="a1"/>
    <w:link w:val="12"/>
    <w:uiPriority w:val="1"/>
    <w:locked/>
    <w:rPr>
      <w:rFonts w:ascii="Calibri" w:cs="Calibri" w:eastAsia="宋体" w:hAnsi="Calibri"/>
      <w:kern w:val="0"/>
      <w:sz w:val="22"/>
    </w:rPr>
  </w:style>
  <w:style w:customStyle="1" w:styleId="t1" w:type="character">
    <w:name w:val="t1"/>
    <w:basedOn w:val="a1"/>
    <w:uiPriority w:val="99"/>
    <w:rPr>
      <w:color w:val="auto"/>
    </w:rPr>
  </w:style>
  <w:style w:customStyle="1" w:styleId="13" w:type="paragraph">
    <w:name w:val="列表段落1"/>
    <w:basedOn w:val="a"/>
    <w:uiPriority w:val="34"/>
    <w:qFormat/>
    <w:pPr>
      <w:ind w:firstLine="420" w:firstLineChars="200"/>
    </w:pPr>
  </w:style>
  <w:style w:customStyle="1" w:styleId="Default" w:type="paragraph">
    <w:name w:val="Default"/>
    <w:pPr>
      <w:widowControl w:val="0"/>
      <w:autoSpaceDE w:val="0"/>
      <w:autoSpaceDN w:val="0"/>
      <w:adjustRightInd w:val="0"/>
    </w:pPr>
    <w:rPr>
      <w:rFonts w:ascii="仿宋" w:cs="仿宋" w:eastAsia="宋体" w:hAnsi="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media/image1.jpeg" Type="http://schemas.openxmlformats.org/officeDocument/2006/relationships/image"/>
<Relationship Id="rId11" Target="footer2.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customXml/item2.xml" Type="http://schemas.openxmlformats.org/officeDocument/2006/relationships/customXml"/>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D9206E-1E05-4DAA-8257-D968F183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4055</Words>
  <Characters>23117</Characters>
  <Application>Microsoft Office Word</Application>
  <DocSecurity>0</DocSecurity>
  <Lines>192</Lines>
  <Paragraphs>54</Paragraphs>
  <ScaleCrop>false</ScaleCrop>
  <Company/>
  <LinksUpToDate>false</LinksUpToDate>
  <CharactersWithSpaces>27118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dc:creator>Administrator</dc:creator>
  <cp:lastModifiedBy>ZHANG ERIC</cp:lastModifiedBy>
  <dcterms:modified xsi:type="dcterms:W3CDTF">2020-09-30T11:10:00Z</dcterms:modified>
  <cp:revision>266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2052-10.1.0.6235</vt:lpwstr>
  </property>
</Properties>
</file>