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上投摩根中小盘混合型证券投资基金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2020年第4季度报告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2020年12月31日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中国建设银行股份有限公司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二〇二一年一月二十二日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基金托管人中国建设银行股份有限公司根据本基金合同规定，于2021年1月21日复核了本报告中的财务指标、净值表现和投资组合报告等内容，保证复核内容不存在虚假记载、误导性陈述或者重大遗漏。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本报告期自2020年10月1日起至12月31日止。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上投摩根中小盘混合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379010</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379010</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2009年1月21日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218,932,062.75</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重点投资于中国A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本基金充分借鉴摩根资产管理集团全球行之有效的投资理念和技术，运用 “自下而上”精选个股与“自上而下”资产配置相结合的投资策略，重点投资于具有行业优势、公司优势和估值优势的中小市值上市公司股票。同时结合市场研判，对相关资产类别的预期收益进行监控，动态调整股票、债券等大类资产配置。</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40%×天相中盘指数收益率+40%×天相小盘指数收益率+ 20%×上证国债指数收益率</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本基金是混合型基金，预期收益及预期风险水平低于股票型基金，高于债券型基金和货币市场基金，属于较高预期收益和预期风险水平的投资品种。</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中国建设银行股份有限公司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2020年10月1日-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2020年12月31日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75,581,754.35</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123,918,155.14</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0.5408</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833,522,719.58</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3.8072</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16.71%</w:t>
            </w:r>
          </w:p>
        </w:tc>
        <w:tc>
          <w:tcPr>
            <w:vAlign w:val="center"/>
          </w:tcPr>
          <w:p>
            <w:pPr>
              <w:jc w:val="center"/>
            </w:pPr>
            <w:r>
              <w:rPr>
                <w:rFonts w:asciiTheme="minorEastAsia" w:eastAsiaTheme="minorEastAsia" w:hAnsiTheme="minorEastAsia"/>
                <w:color w:themeColor="text1" w:val="000000"/>
                <w:kern w:val="0"/>
              </w:rPr>
              <w:t>1.29%</w:t>
            </w:r>
          </w:p>
        </w:tc>
        <w:tc>
          <w:tcPr>
            <w:vAlign w:val="center"/>
          </w:tcPr>
          <w:p>
            <w:pPr>
              <w:jc w:val="center"/>
            </w:pPr>
            <w:r>
              <w:rPr>
                <w:rFonts w:asciiTheme="minorEastAsia" w:eastAsiaTheme="minorEastAsia" w:hAnsiTheme="minorEastAsia"/>
                <w:color w:themeColor="text1" w:val="000000"/>
                <w:kern w:val="0"/>
              </w:rPr>
              <w:t>5.49%</w:t>
            </w:r>
          </w:p>
        </w:tc>
        <w:tc>
          <w:tcPr>
            <w:vAlign w:val="center"/>
          </w:tcPr>
          <w:p>
            <w:pPr>
              <w:jc w:val="center"/>
            </w:pPr>
            <w:r>
              <w:rPr>
                <w:rFonts w:asciiTheme="minorEastAsia" w:eastAsiaTheme="minorEastAsia" w:hAnsiTheme="minorEastAsia"/>
                <w:color w:themeColor="text1" w:val="000000"/>
                <w:kern w:val="0"/>
              </w:rPr>
              <w:t>0.90%</w:t>
            </w:r>
          </w:p>
        </w:tc>
        <w:tc>
          <w:tcPr>
            <w:vAlign w:val="center"/>
          </w:tcPr>
          <w:p>
            <w:pPr>
              <w:jc w:val="center"/>
            </w:pPr>
            <w:r>
              <w:rPr>
                <w:rFonts w:asciiTheme="minorEastAsia" w:eastAsiaTheme="minorEastAsia" w:hAnsiTheme="minorEastAsia"/>
                <w:color w:themeColor="text1" w:val="000000"/>
                <w:kern w:val="0"/>
              </w:rPr>
              <w:t>11.22%</w:t>
            </w:r>
          </w:p>
        </w:tc>
        <w:tc>
          <w:tcPr>
            <w:vAlign w:val="center"/>
          </w:tcPr>
          <w:p>
            <w:pPr>
              <w:jc w:val="center"/>
            </w:pPr>
            <w:r>
              <w:rPr>
                <w:rFonts w:asciiTheme="minorEastAsia" w:eastAsiaTheme="minorEastAsia" w:hAnsiTheme="minorEastAsia"/>
                <w:color w:themeColor="text1" w:val="000000"/>
                <w:kern w:val="0"/>
              </w:rPr>
              <w:t>0.39%</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20.48%</w:t>
            </w:r>
          </w:p>
        </w:tc>
        <w:tc>
          <w:tcPr>
            <w:vAlign w:val="center"/>
          </w:tcPr>
          <w:p>
            <w:pPr>
              <w:jc w:val="center"/>
            </w:pPr>
            <w:r>
              <w:rPr>
                <w:rFonts w:asciiTheme="minorEastAsia" w:eastAsiaTheme="minorEastAsia" w:hAnsiTheme="minorEastAsia"/>
                <w:color w:themeColor="text1" w:val="000000"/>
                <w:kern w:val="0"/>
              </w:rPr>
              <w:t>1.69%</w:t>
            </w:r>
          </w:p>
        </w:tc>
        <w:tc>
          <w:tcPr>
            <w:vAlign w:val="center"/>
          </w:tcPr>
          <w:p>
            <w:pPr>
              <w:jc w:val="center"/>
            </w:pPr>
            <w:r>
              <w:rPr>
                <w:rFonts w:asciiTheme="minorEastAsia" w:eastAsiaTheme="minorEastAsia" w:hAnsiTheme="minorEastAsia"/>
                <w:color w:themeColor="text1" w:val="000000"/>
                <w:kern w:val="0"/>
              </w:rPr>
              <w:t>12.75%</w:t>
            </w:r>
          </w:p>
        </w:tc>
        <w:tc>
          <w:tcPr>
            <w:vAlign w:val="center"/>
          </w:tcPr>
          <w:p>
            <w:pPr>
              <w:jc w:val="center"/>
            </w:pPr>
            <w:r>
              <w:rPr>
                <w:rFonts w:asciiTheme="minorEastAsia" w:eastAsiaTheme="minorEastAsia" w:hAnsiTheme="minorEastAsia"/>
                <w:color w:themeColor="text1" w:val="000000"/>
                <w:kern w:val="0"/>
              </w:rPr>
              <w:t>1.17%</w:t>
            </w:r>
          </w:p>
        </w:tc>
        <w:tc>
          <w:tcPr>
            <w:vAlign w:val="center"/>
          </w:tcPr>
          <w:p>
            <w:pPr>
              <w:jc w:val="center"/>
            </w:pPr>
            <w:r>
              <w:rPr>
                <w:rFonts w:asciiTheme="minorEastAsia" w:eastAsiaTheme="minorEastAsia" w:hAnsiTheme="minorEastAsia"/>
                <w:color w:themeColor="text1" w:val="000000"/>
                <w:kern w:val="0"/>
              </w:rPr>
              <w:t>7.73%</w:t>
            </w:r>
          </w:p>
        </w:tc>
        <w:tc>
          <w:tcPr>
            <w:vAlign w:val="center"/>
          </w:tcPr>
          <w:p>
            <w:pPr>
              <w:jc w:val="center"/>
            </w:pPr>
            <w:r>
              <w:rPr>
                <w:rFonts w:asciiTheme="minorEastAsia" w:eastAsiaTheme="minorEastAsia" w:hAnsiTheme="minorEastAsia"/>
                <w:color w:themeColor="text1" w:val="000000"/>
                <w:kern w:val="0"/>
              </w:rPr>
              <w:t>0.52%</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66.47%</w:t>
            </w:r>
          </w:p>
        </w:tc>
        <w:tc>
          <w:tcPr>
            <w:vAlign w:val="center"/>
          </w:tcPr>
          <w:p>
            <w:pPr>
              <w:jc w:val="center"/>
            </w:pPr>
            <w:r>
              <w:rPr>
                <w:rFonts w:asciiTheme="minorEastAsia" w:eastAsiaTheme="minorEastAsia" w:hAnsiTheme="minorEastAsia"/>
                <w:color w:themeColor="text1" w:val="000000"/>
                <w:kern w:val="0"/>
              </w:rPr>
              <w:t>1.95%</w:t>
            </w:r>
          </w:p>
        </w:tc>
        <w:tc>
          <w:tcPr>
            <w:vAlign w:val="center"/>
          </w:tcPr>
          <w:p>
            <w:pPr>
              <w:jc w:val="center"/>
            </w:pPr>
            <w:r>
              <w:rPr>
                <w:rFonts w:asciiTheme="minorEastAsia" w:eastAsiaTheme="minorEastAsia" w:hAnsiTheme="minorEastAsia"/>
                <w:color w:themeColor="text1" w:val="000000"/>
                <w:kern w:val="0"/>
              </w:rPr>
              <w:t>21.57%</w:t>
            </w:r>
          </w:p>
        </w:tc>
        <w:tc>
          <w:tcPr>
            <w:vAlign w:val="center"/>
          </w:tcPr>
          <w:p>
            <w:pPr>
              <w:jc w:val="center"/>
            </w:pPr>
            <w:r>
              <w:rPr>
                <w:rFonts w:asciiTheme="minorEastAsia" w:eastAsiaTheme="minorEastAsia" w:hAnsiTheme="minorEastAsia"/>
                <w:color w:themeColor="text1" w:val="000000"/>
                <w:kern w:val="0"/>
              </w:rPr>
              <w:t>1.26%</w:t>
            </w:r>
          </w:p>
        </w:tc>
        <w:tc>
          <w:tcPr>
            <w:vAlign w:val="center"/>
          </w:tcPr>
          <w:p>
            <w:pPr>
              <w:jc w:val="center"/>
            </w:pPr>
            <w:r>
              <w:rPr>
                <w:rFonts w:asciiTheme="minorEastAsia" w:eastAsiaTheme="minorEastAsia" w:hAnsiTheme="minorEastAsia"/>
                <w:color w:themeColor="text1" w:val="000000"/>
                <w:kern w:val="0"/>
              </w:rPr>
              <w:t>44.90%</w:t>
            </w:r>
          </w:p>
        </w:tc>
        <w:tc>
          <w:tcPr>
            <w:vAlign w:val="center"/>
          </w:tcPr>
          <w:p>
            <w:pPr>
              <w:jc w:val="center"/>
            </w:pPr>
            <w:r>
              <w:rPr>
                <w:rFonts w:asciiTheme="minorEastAsia" w:eastAsiaTheme="minorEastAsia" w:hAnsiTheme="minorEastAsia"/>
                <w:color w:themeColor="text1" w:val="000000"/>
                <w:kern w:val="0"/>
              </w:rPr>
              <w:t>0.69%</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92.41%</w:t>
            </w:r>
          </w:p>
        </w:tc>
        <w:tc>
          <w:tcPr>
            <w:vAlign w:val="center"/>
          </w:tcPr>
          <w:p>
            <w:pPr>
              <w:jc w:val="center"/>
            </w:pPr>
            <w:r>
              <w:rPr>
                <w:rFonts w:asciiTheme="minorEastAsia" w:eastAsiaTheme="minorEastAsia" w:hAnsiTheme="minorEastAsia"/>
                <w:color w:themeColor="text1" w:val="000000"/>
                <w:kern w:val="0"/>
              </w:rPr>
              <w:t>1.83%</w:t>
            </w:r>
          </w:p>
        </w:tc>
        <w:tc>
          <w:tcPr>
            <w:vAlign w:val="center"/>
          </w:tcPr>
          <w:p>
            <w:pPr>
              <w:jc w:val="center"/>
            </w:pPr>
            <w:r>
              <w:rPr>
                <w:rFonts w:asciiTheme="minorEastAsia" w:eastAsiaTheme="minorEastAsia" w:hAnsiTheme="minorEastAsia"/>
                <w:color w:themeColor="text1" w:val="000000"/>
                <w:kern w:val="0"/>
              </w:rPr>
              <w:t>11.79%</w:t>
            </w:r>
          </w:p>
        </w:tc>
        <w:tc>
          <w:tcPr>
            <w:vAlign w:val="center"/>
          </w:tcPr>
          <w:p>
            <w:pPr>
              <w:jc w:val="center"/>
            </w:pPr>
            <w:r>
              <w:rPr>
                <w:rFonts w:asciiTheme="minorEastAsia" w:eastAsiaTheme="minorEastAsia" w:hAnsiTheme="minorEastAsia"/>
                <w:color w:themeColor="text1" w:val="000000"/>
                <w:kern w:val="0"/>
              </w:rPr>
              <w:t>1.17%</w:t>
            </w:r>
          </w:p>
        </w:tc>
        <w:tc>
          <w:tcPr>
            <w:vAlign w:val="center"/>
          </w:tcPr>
          <w:p>
            <w:pPr>
              <w:jc w:val="center"/>
            </w:pPr>
            <w:r>
              <w:rPr>
                <w:rFonts w:asciiTheme="minorEastAsia" w:eastAsiaTheme="minorEastAsia" w:hAnsiTheme="minorEastAsia"/>
                <w:color w:themeColor="text1" w:val="000000"/>
                <w:kern w:val="0"/>
              </w:rPr>
              <w:t>80.62%</w:t>
            </w:r>
          </w:p>
        </w:tc>
        <w:tc>
          <w:tcPr>
            <w:vAlign w:val="center"/>
          </w:tcPr>
          <w:p>
            <w:pPr>
              <w:jc w:val="center"/>
            </w:pPr>
            <w:r>
              <w:rPr>
                <w:rFonts w:asciiTheme="minorEastAsia" w:eastAsiaTheme="minorEastAsia" w:hAnsiTheme="minorEastAsia"/>
                <w:color w:themeColor="text1" w:val="000000"/>
                <w:kern w:val="0"/>
              </w:rPr>
              <w:t>0.66%</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66.85%</w:t>
            </w:r>
          </w:p>
        </w:tc>
        <w:tc>
          <w:tcPr>
            <w:vAlign w:val="center"/>
          </w:tcPr>
          <w:p>
            <w:pPr>
              <w:jc w:val="center"/>
            </w:pPr>
            <w:r>
              <w:rPr>
                <w:rFonts w:asciiTheme="minorEastAsia" w:eastAsiaTheme="minorEastAsia" w:hAnsiTheme="minorEastAsia"/>
                <w:color w:themeColor="text1" w:val="000000"/>
                <w:kern w:val="0"/>
              </w:rPr>
              <w:t>1.79%</w:t>
            </w:r>
          </w:p>
        </w:tc>
        <w:tc>
          <w:tcPr>
            <w:vAlign w:val="center"/>
          </w:tcPr>
          <w:p>
            <w:pPr>
              <w:jc w:val="center"/>
            </w:pPr>
            <w:r>
              <w:rPr>
                <w:rFonts w:asciiTheme="minorEastAsia" w:eastAsiaTheme="minorEastAsia" w:hAnsiTheme="minorEastAsia"/>
                <w:color w:themeColor="text1" w:val="000000"/>
                <w:kern w:val="0"/>
              </w:rPr>
              <w:t>0.96%</w:t>
            </w:r>
          </w:p>
        </w:tc>
        <w:tc>
          <w:tcPr>
            <w:vAlign w:val="center"/>
          </w:tcPr>
          <w:p>
            <w:pPr>
              <w:jc w:val="center"/>
            </w:pPr>
            <w:r>
              <w:rPr>
                <w:rFonts w:asciiTheme="minorEastAsia" w:eastAsiaTheme="minorEastAsia" w:hAnsiTheme="minorEastAsia"/>
                <w:color w:themeColor="text1" w:val="000000"/>
                <w:kern w:val="0"/>
              </w:rPr>
              <w:t>1.14%</w:t>
            </w:r>
          </w:p>
        </w:tc>
        <w:tc>
          <w:tcPr>
            <w:vAlign w:val="center"/>
          </w:tcPr>
          <w:p>
            <w:pPr>
              <w:jc w:val="center"/>
            </w:pPr>
            <w:r>
              <w:rPr>
                <w:rFonts w:asciiTheme="minorEastAsia" w:eastAsiaTheme="minorEastAsia" w:hAnsiTheme="minorEastAsia"/>
                <w:color w:themeColor="text1" w:val="000000"/>
                <w:kern w:val="0"/>
              </w:rPr>
              <w:t>65.89%</w:t>
            </w:r>
          </w:p>
        </w:tc>
        <w:tc>
          <w:tcPr>
            <w:vAlign w:val="center"/>
          </w:tcPr>
          <w:p>
            <w:pPr>
              <w:jc w:val="center"/>
            </w:pPr>
            <w:r>
              <w:rPr>
                <w:rFonts w:asciiTheme="minorEastAsia" w:eastAsiaTheme="minorEastAsia" w:hAnsiTheme="minorEastAsia"/>
                <w:color w:themeColor="text1" w:val="000000"/>
                <w:kern w:val="0"/>
              </w:rPr>
              <w:t>0.65%</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311.46%</w:t>
            </w:r>
          </w:p>
        </w:tc>
        <w:tc>
          <w:tcPr>
            <w:vAlign w:val="center"/>
          </w:tcPr>
          <w:p>
            <w:pPr>
              <w:jc w:val="center"/>
            </w:pPr>
            <w:r>
              <w:rPr>
                <w:rFonts w:asciiTheme="minorEastAsia" w:eastAsiaTheme="minorEastAsia" w:hAnsiTheme="minorEastAsia"/>
                <w:color w:themeColor="text1" w:val="000000"/>
                <w:kern w:val="0"/>
              </w:rPr>
              <w:t>1.80%</w:t>
            </w:r>
          </w:p>
        </w:tc>
        <w:tc>
          <w:tcPr>
            <w:vAlign w:val="center"/>
          </w:tcPr>
          <w:p>
            <w:pPr>
              <w:jc w:val="center"/>
            </w:pPr>
            <w:r>
              <w:rPr>
                <w:rFonts w:asciiTheme="minorEastAsia" w:eastAsiaTheme="minorEastAsia" w:hAnsiTheme="minorEastAsia"/>
                <w:color w:themeColor="text1" w:val="000000"/>
                <w:kern w:val="0"/>
              </w:rPr>
              <w:t>142.91%</w:t>
            </w:r>
          </w:p>
        </w:tc>
        <w:tc>
          <w:tcPr>
            <w:vAlign w:val="center"/>
          </w:tcPr>
          <w:p>
            <w:pPr>
              <w:jc w:val="center"/>
            </w:pPr>
            <w:r>
              <w:rPr>
                <w:rFonts w:asciiTheme="minorEastAsia" w:eastAsiaTheme="minorEastAsia" w:hAnsiTheme="minorEastAsia"/>
                <w:color w:themeColor="text1" w:val="000000"/>
                <w:kern w:val="0"/>
              </w:rPr>
              <w:t>1.30%</w:t>
            </w:r>
          </w:p>
        </w:tc>
        <w:tc>
          <w:tcPr>
            <w:vAlign w:val="center"/>
          </w:tcPr>
          <w:p>
            <w:pPr>
              <w:jc w:val="center"/>
            </w:pPr>
            <w:r>
              <w:rPr>
                <w:rFonts w:asciiTheme="minorEastAsia" w:eastAsiaTheme="minorEastAsia" w:hAnsiTheme="minorEastAsia"/>
                <w:color w:themeColor="text1" w:val="000000"/>
                <w:kern w:val="0"/>
              </w:rPr>
              <w:t>168.55%</w:t>
            </w:r>
          </w:p>
        </w:tc>
        <w:tc>
          <w:tcPr>
            <w:vAlign w:val="center"/>
          </w:tcPr>
          <w:p>
            <w:pPr>
              <w:jc w:val="center"/>
            </w:pPr>
            <w:r>
              <w:rPr>
                <w:rFonts w:asciiTheme="minorEastAsia" w:eastAsiaTheme="minorEastAsia" w:hAnsiTheme="minorEastAsia"/>
                <w:color w:themeColor="text1" w:val="000000"/>
                <w:kern w:val="0"/>
              </w:rPr>
              <w:t>0.50%</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上投摩根中小盘混合型证券投资基金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2009年1月21日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2020年12月31日)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注：本基金合同生效日为2009年1月21日，图示时间段为2009年1月21日至2020年12月31日。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本基金建仓期自2009年1月21日至2009年7月20日。建仓期结束时资产配置比例符合本基金基金合同规定。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郭晨</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2015-01-30</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14年</w:t>
            </w:r>
          </w:p>
        </w:tc>
        <w:tc>
          <w:tcPr>
            <w:vAlign w:val="center"/>
          </w:tcPr>
          <w:p>
            <w:pPr>
              <w:jc w:val="both"/>
            </w:pPr>
            <w:r>
              <w:rPr>
                <w:rFonts w:asciiTheme="minorEastAsia" w:eastAsiaTheme="minorEastAsia" w:hAnsiTheme="minorEastAsia"/>
                <w:color w:themeColor="text1" w:val="000000"/>
              </w:rPr>
              <w:t>郭晨先生，自2007年7月至2008年4月在平安资产管理有限公司担任分析师；2008年4月至2009年11月在东吴基金管理有限公司担任研究员；2009年11月至2014年10月在华富基金管理有限公司先后担任基金经理助理、基金经理，自2014年10月起加入上投摩根基金管理有限公司担任基金经理、国内权益投资部动力组组长兼资深基金经理，自2015年1月起担任上投摩根中小盘混合型证券投资基金基金经理，自2015年6月起同时担任上投摩根智慧互联股票型证券投资基金基金经理，自2015年8月起同时担任上投摩根新兴服务股票型证券投资基金基金经理，自2019年3月起同时担任上投摩根创新商业模式灵活配置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中小盘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季度市场整体表现不错，沪深300指数涨幅达到13.60%，创业板指数上涨15.21%，市场整体比较活跃，两市成交额温和放大，呈现出慢牛的走势。表现比较好的行业依然是前期强势板块，比如新能源汽车、光伏、食品饮料等。今年新基金发行火爆，机构话语权增强，资金通过机构入市的趋势逐渐形成，市场结构分化越来越明显。四季度美国大选结束，海外疫情依然严峻，但是疫苗的研发出现曙光，全球资本市场开始预期未来经济的恢复，风险偏好提升，加上流动性非常充裕，全球大宗商品和股市都表现不错。国内疫情控制良好，经济平稳，出口超预期，对市场整体都是利好。</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四季度本基金考虑到年底市场的不确定性，仓位比较灵活，行业和个股配置上更加均衡，继续超配长期看好的科技、光伏、医药、新能源汽车、消费等行业，也是本基金一直长期持有的一些行业和公司。本基金始终坚持价值投资思路，坚持配置高景气度行业，选择高景气行业中优秀的龙头公司长期投资。</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2021年一季度我们继续乐观，随着疫苗逐渐开始应用，疫情有望得到控制。考虑到低基数原因，2021年一季度全球经济增速预计都比较亮眼，上市公司业绩也有望加速。另外一季度受益于流动性的改善和全年各种经济政策的出台，股市也会有一定的表现。整体来看A股市场的估值不贵，三千点附近处于长期底部，A股市场没有大的系统性风险，也很难出现快牛、疯牛。未来有望走出长期慢牛行情，类似于海外成熟市场的走势。一季度结构性行情大概率将持续。</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我们会始终坚持价值投资，坚持超配高景气度行业，选择朝阳行业中优秀的龙头公司长期投资。我们依然战略看好高科技、先进制造等成长板块和与百姓生活相关的消费、医药行业，致力长期投资高景气度、高成长，低估值的优秀龙头公司。行业上，半导体、消费电子、新能源汽车、消费、医药、光伏等行业的景气度依然长期看好。合理的估值，业绩增速，成长的确定性是本基金最看重的。</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本报告期上投摩根中小盘混合份额净值增长率为:16.71%，同期业绩比较基准收益率为:5.49%。</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726,022,959.92</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84.66</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726,022,959.92</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84.66</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617,000.00</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0.07</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617,000.00</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0.07</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130,499,983.41</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15.22</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485,519.92</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0.06</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857,625,463.25</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697,138.20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0.08</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1,730,625.00</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0.21</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552,740,629.08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66.31</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16,322.72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20,117,234.07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2.41</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1,221,345.63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0.15</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43,298,392.67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5.19</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8,975.14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39,268,458.60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4.71</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39,884,997.83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4.79</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98,331.10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0.01</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1,068,478.95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0.13</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25,026,401.54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3.00</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845,629.39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0.10</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726,022,959.92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87.10</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000661</w:t>
            </w:r>
          </w:p>
        </w:tc>
        <w:tc>
          <w:tcPr>
            <w:vAlign w:val="center"/>
          </w:tcPr>
          <w:p>
            <w:pPr>
              <w:jc w:val="center"/>
            </w:pPr>
            <w:r>
              <w:rPr>
                <w:rFonts w:asciiTheme="minorEastAsia" w:cs="宋体" w:eastAsiaTheme="minorEastAsia" w:hAnsiTheme="minorEastAsia"/>
                <w:color w:themeColor="text1" w:val="000000"/>
                <w:kern w:val="0"/>
              </w:rPr>
              <w:t>长春高新</w:t>
            </w:r>
          </w:p>
        </w:tc>
        <w:tc>
          <w:tcPr>
            <w:vAlign w:val="center"/>
          </w:tcPr>
          <w:p>
            <w:pPr>
              <w:jc w:val="right"/>
            </w:pPr>
            <w:r>
              <w:rPr>
                <w:rFonts w:asciiTheme="minorEastAsia" w:cs="宋体" w:eastAsiaTheme="minorEastAsia" w:hAnsiTheme="minorEastAsia"/>
                <w:color w:themeColor="text1" w:val="000000"/>
                <w:kern w:val="0"/>
              </w:rPr>
              <w:t>130,480</w:t>
            </w:r>
          </w:p>
        </w:tc>
        <w:tc>
          <w:tcPr>
            <w:vAlign w:val="center"/>
          </w:tcPr>
          <w:p>
            <w:pPr>
              <w:jc w:val="right"/>
            </w:pPr>
            <w:r>
              <w:rPr>
                <w:rFonts w:asciiTheme="minorEastAsia" w:cs="宋体" w:eastAsiaTheme="minorEastAsia" w:hAnsiTheme="minorEastAsia"/>
                <w:color w:themeColor="text1" w:val="000000"/>
                <w:kern w:val="0"/>
              </w:rPr>
              <w:t>58,573,776.80</w:t>
            </w:r>
          </w:p>
        </w:tc>
        <w:tc>
          <w:tcPr>
            <w:vAlign w:val="center"/>
          </w:tcPr>
          <w:p>
            <w:pPr>
              <w:jc w:val="right"/>
            </w:pPr>
            <w:r>
              <w:rPr>
                <w:rFonts w:asciiTheme="minorEastAsia" w:cs="宋体" w:eastAsiaTheme="minorEastAsia" w:hAnsiTheme="minorEastAsia"/>
                <w:color w:themeColor="text1" w:val="000000"/>
                <w:kern w:val="0"/>
              </w:rPr>
              <w:t>7.03</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603501</w:t>
            </w:r>
          </w:p>
        </w:tc>
        <w:tc>
          <w:tcPr>
            <w:vAlign w:val="center"/>
          </w:tcPr>
          <w:p>
            <w:pPr>
              <w:jc w:val="center"/>
            </w:pPr>
            <w:r>
              <w:rPr>
                <w:rFonts w:asciiTheme="minorEastAsia" w:cs="宋体" w:eastAsiaTheme="minorEastAsia" w:hAnsiTheme="minorEastAsia"/>
                <w:color w:themeColor="text1" w:val="000000"/>
                <w:kern w:val="0"/>
              </w:rPr>
              <w:t>韦尔股份</w:t>
            </w:r>
          </w:p>
        </w:tc>
        <w:tc>
          <w:tcPr>
            <w:vAlign w:val="center"/>
          </w:tcPr>
          <w:p>
            <w:pPr>
              <w:jc w:val="right"/>
            </w:pPr>
            <w:r>
              <w:rPr>
                <w:rFonts w:asciiTheme="minorEastAsia" w:cs="宋体" w:eastAsiaTheme="minorEastAsia" w:hAnsiTheme="minorEastAsia"/>
                <w:color w:themeColor="text1" w:val="000000"/>
                <w:kern w:val="0"/>
              </w:rPr>
              <w:t>189,198</w:t>
            </w:r>
          </w:p>
        </w:tc>
        <w:tc>
          <w:tcPr>
            <w:vAlign w:val="center"/>
          </w:tcPr>
          <w:p>
            <w:pPr>
              <w:jc w:val="right"/>
            </w:pPr>
            <w:r>
              <w:rPr>
                <w:rFonts w:asciiTheme="minorEastAsia" w:cs="宋体" w:eastAsiaTheme="minorEastAsia" w:hAnsiTheme="minorEastAsia"/>
                <w:color w:themeColor="text1" w:val="000000"/>
                <w:kern w:val="0"/>
              </w:rPr>
              <w:t>43,723,657.80</w:t>
            </w:r>
          </w:p>
        </w:tc>
        <w:tc>
          <w:tcPr>
            <w:vAlign w:val="center"/>
          </w:tcPr>
          <w:p>
            <w:pPr>
              <w:jc w:val="right"/>
            </w:pPr>
            <w:r>
              <w:rPr>
                <w:rFonts w:asciiTheme="minorEastAsia" w:cs="宋体" w:eastAsiaTheme="minorEastAsia" w:hAnsiTheme="minorEastAsia"/>
                <w:color w:themeColor="text1" w:val="000000"/>
                <w:kern w:val="0"/>
              </w:rPr>
              <w:t>5.25</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139,028</w:t>
            </w:r>
          </w:p>
        </w:tc>
        <w:tc>
          <w:tcPr>
            <w:vAlign w:val="center"/>
          </w:tcPr>
          <w:p>
            <w:pPr>
              <w:jc w:val="right"/>
            </w:pPr>
            <w:r>
              <w:rPr>
                <w:rFonts w:asciiTheme="minorEastAsia" w:cs="宋体" w:eastAsiaTheme="minorEastAsia" w:hAnsiTheme="minorEastAsia"/>
                <w:color w:themeColor="text1" w:val="000000"/>
                <w:kern w:val="0"/>
              </w:rPr>
              <w:t>39,268,458.60</w:t>
            </w:r>
          </w:p>
        </w:tc>
        <w:tc>
          <w:tcPr>
            <w:vAlign w:val="center"/>
          </w:tcPr>
          <w:p>
            <w:pPr>
              <w:jc w:val="right"/>
            </w:pPr>
            <w:r>
              <w:rPr>
                <w:rFonts w:asciiTheme="minorEastAsia" w:cs="宋体" w:eastAsiaTheme="minorEastAsia" w:hAnsiTheme="minorEastAsia"/>
                <w:color w:themeColor="text1" w:val="000000"/>
                <w:kern w:val="0"/>
              </w:rPr>
              <w:t>4.71</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603259</w:t>
            </w:r>
          </w:p>
        </w:tc>
        <w:tc>
          <w:tcPr>
            <w:vAlign w:val="center"/>
          </w:tcPr>
          <w:p>
            <w:pPr>
              <w:jc w:val="center"/>
            </w:pPr>
            <w:r>
              <w:rPr>
                <w:rFonts w:asciiTheme="minorEastAsia" w:cs="宋体" w:eastAsiaTheme="minorEastAsia" w:hAnsiTheme="minorEastAsia"/>
                <w:color w:themeColor="text1" w:val="000000"/>
                <w:kern w:val="0"/>
              </w:rPr>
              <w:t>药明康德</w:t>
            </w:r>
          </w:p>
        </w:tc>
        <w:tc>
          <w:tcPr>
            <w:vAlign w:val="center"/>
          </w:tcPr>
          <w:p>
            <w:pPr>
              <w:jc w:val="right"/>
            </w:pPr>
            <w:r>
              <w:rPr>
                <w:rFonts w:asciiTheme="minorEastAsia" w:cs="宋体" w:eastAsiaTheme="minorEastAsia" w:hAnsiTheme="minorEastAsia"/>
                <w:color w:themeColor="text1" w:val="000000"/>
                <w:kern w:val="0"/>
              </w:rPr>
              <w:t>273,814</w:t>
            </w:r>
          </w:p>
        </w:tc>
        <w:tc>
          <w:tcPr>
            <w:vAlign w:val="center"/>
          </w:tcPr>
          <w:p>
            <w:pPr>
              <w:jc w:val="right"/>
            </w:pPr>
            <w:r>
              <w:rPr>
                <w:rFonts w:asciiTheme="minorEastAsia" w:cs="宋体" w:eastAsiaTheme="minorEastAsia" w:hAnsiTheme="minorEastAsia"/>
                <w:color w:themeColor="text1" w:val="000000"/>
                <w:kern w:val="0"/>
              </w:rPr>
              <w:t>36,888,222.08</w:t>
            </w:r>
          </w:p>
        </w:tc>
        <w:tc>
          <w:tcPr>
            <w:vAlign w:val="center"/>
          </w:tcPr>
          <w:p>
            <w:pPr>
              <w:jc w:val="right"/>
            </w:pPr>
            <w:r>
              <w:rPr>
                <w:rFonts w:asciiTheme="minorEastAsia" w:cs="宋体" w:eastAsiaTheme="minorEastAsia" w:hAnsiTheme="minorEastAsia"/>
                <w:color w:themeColor="text1" w:val="000000"/>
                <w:kern w:val="0"/>
              </w:rPr>
              <w:t>4.43</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000568</w:t>
            </w:r>
          </w:p>
        </w:tc>
        <w:tc>
          <w:tcPr>
            <w:vAlign w:val="center"/>
          </w:tcPr>
          <w:p>
            <w:pPr>
              <w:jc w:val="center"/>
            </w:pPr>
            <w:r>
              <w:rPr>
                <w:rFonts w:asciiTheme="minorEastAsia" w:cs="宋体" w:eastAsiaTheme="minorEastAsia" w:hAnsiTheme="minorEastAsia"/>
                <w:color w:themeColor="text1" w:val="000000"/>
                <w:kern w:val="0"/>
              </w:rPr>
              <w:t>泸州老窖</w:t>
            </w:r>
          </w:p>
        </w:tc>
        <w:tc>
          <w:tcPr>
            <w:vAlign w:val="center"/>
          </w:tcPr>
          <w:p>
            <w:pPr>
              <w:jc w:val="right"/>
            </w:pPr>
            <w:r>
              <w:rPr>
                <w:rFonts w:asciiTheme="minorEastAsia" w:cs="宋体" w:eastAsiaTheme="minorEastAsia" w:hAnsiTheme="minorEastAsia"/>
                <w:color w:themeColor="text1" w:val="000000"/>
                <w:kern w:val="0"/>
              </w:rPr>
              <w:t>142,988</w:t>
            </w:r>
          </w:p>
        </w:tc>
        <w:tc>
          <w:tcPr>
            <w:vAlign w:val="center"/>
          </w:tcPr>
          <w:p>
            <w:pPr>
              <w:jc w:val="right"/>
            </w:pPr>
            <w:r>
              <w:rPr>
                <w:rFonts w:asciiTheme="minorEastAsia" w:cs="宋体" w:eastAsiaTheme="minorEastAsia" w:hAnsiTheme="minorEastAsia"/>
                <w:color w:themeColor="text1" w:val="000000"/>
                <w:kern w:val="0"/>
              </w:rPr>
              <w:t>32,338,166.08</w:t>
            </w:r>
          </w:p>
        </w:tc>
        <w:tc>
          <w:tcPr>
            <w:vAlign w:val="center"/>
          </w:tcPr>
          <w:p>
            <w:pPr>
              <w:jc w:val="right"/>
            </w:pPr>
            <w:r>
              <w:rPr>
                <w:rFonts w:asciiTheme="minorEastAsia" w:cs="宋体" w:eastAsiaTheme="minorEastAsia" w:hAnsiTheme="minorEastAsia"/>
                <w:color w:themeColor="text1" w:val="000000"/>
                <w:kern w:val="0"/>
              </w:rPr>
              <w:t>3.88</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五粮液</w:t>
            </w:r>
          </w:p>
        </w:tc>
        <w:tc>
          <w:tcPr>
            <w:vAlign w:val="center"/>
          </w:tcPr>
          <w:p>
            <w:pPr>
              <w:jc w:val="right"/>
            </w:pPr>
            <w:r>
              <w:rPr>
                <w:rFonts w:asciiTheme="minorEastAsia" w:cs="宋体" w:eastAsiaTheme="minorEastAsia" w:hAnsiTheme="minorEastAsia"/>
                <w:color w:themeColor="text1" w:val="000000"/>
                <w:kern w:val="0"/>
              </w:rPr>
              <w:t>105,776</w:t>
            </w:r>
          </w:p>
        </w:tc>
        <w:tc>
          <w:tcPr>
            <w:vAlign w:val="center"/>
          </w:tcPr>
          <w:p>
            <w:pPr>
              <w:jc w:val="right"/>
            </w:pPr>
            <w:r>
              <w:rPr>
                <w:rFonts w:asciiTheme="minorEastAsia" w:cs="宋体" w:eastAsiaTheme="minorEastAsia" w:hAnsiTheme="minorEastAsia"/>
                <w:color w:themeColor="text1" w:val="000000"/>
                <w:kern w:val="0"/>
              </w:rPr>
              <w:t>30,870,725.60</w:t>
            </w:r>
          </w:p>
        </w:tc>
        <w:tc>
          <w:tcPr>
            <w:vAlign w:val="center"/>
          </w:tcPr>
          <w:p>
            <w:pPr>
              <w:jc w:val="right"/>
            </w:pPr>
            <w:r>
              <w:rPr>
                <w:rFonts w:asciiTheme="minorEastAsia" w:cs="宋体" w:eastAsiaTheme="minorEastAsia" w:hAnsiTheme="minorEastAsia"/>
                <w:color w:themeColor="text1" w:val="000000"/>
                <w:kern w:val="0"/>
              </w:rPr>
              <w:t>3.70</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300014</w:t>
            </w:r>
          </w:p>
        </w:tc>
        <w:tc>
          <w:tcPr>
            <w:vAlign w:val="center"/>
          </w:tcPr>
          <w:p>
            <w:pPr>
              <w:jc w:val="center"/>
            </w:pPr>
            <w:r>
              <w:rPr>
                <w:rFonts w:asciiTheme="minorEastAsia" w:cs="宋体" w:eastAsiaTheme="minorEastAsia" w:hAnsiTheme="minorEastAsia"/>
                <w:color w:themeColor="text1" w:val="000000"/>
                <w:kern w:val="0"/>
              </w:rPr>
              <w:t>亿纬锂能</w:t>
            </w:r>
          </w:p>
        </w:tc>
        <w:tc>
          <w:tcPr>
            <w:vAlign w:val="center"/>
          </w:tcPr>
          <w:p>
            <w:pPr>
              <w:jc w:val="right"/>
            </w:pPr>
            <w:r>
              <w:rPr>
                <w:rFonts w:asciiTheme="minorEastAsia" w:cs="宋体" w:eastAsiaTheme="minorEastAsia" w:hAnsiTheme="minorEastAsia"/>
                <w:color w:themeColor="text1" w:val="000000"/>
                <w:kern w:val="0"/>
              </w:rPr>
              <w:t>366,000</w:t>
            </w:r>
          </w:p>
        </w:tc>
        <w:tc>
          <w:tcPr>
            <w:vAlign w:val="center"/>
          </w:tcPr>
          <w:p>
            <w:pPr>
              <w:jc w:val="right"/>
            </w:pPr>
            <w:r>
              <w:rPr>
                <w:rFonts w:asciiTheme="minorEastAsia" w:cs="宋体" w:eastAsiaTheme="minorEastAsia" w:hAnsiTheme="minorEastAsia"/>
                <w:color w:themeColor="text1" w:val="000000"/>
                <w:kern w:val="0"/>
              </w:rPr>
              <w:t>29,829,000.00</w:t>
            </w:r>
          </w:p>
        </w:tc>
        <w:tc>
          <w:tcPr>
            <w:vAlign w:val="center"/>
          </w:tcPr>
          <w:p>
            <w:pPr>
              <w:jc w:val="right"/>
            </w:pPr>
            <w:r>
              <w:rPr>
                <w:rFonts w:asciiTheme="minorEastAsia" w:cs="宋体" w:eastAsiaTheme="minorEastAsia" w:hAnsiTheme="minorEastAsia"/>
                <w:color w:themeColor="text1" w:val="000000"/>
                <w:kern w:val="0"/>
              </w:rPr>
              <w:t>3.58</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603799</w:t>
            </w:r>
          </w:p>
        </w:tc>
        <w:tc>
          <w:tcPr>
            <w:vAlign w:val="center"/>
          </w:tcPr>
          <w:p>
            <w:pPr>
              <w:jc w:val="center"/>
            </w:pPr>
            <w:r>
              <w:rPr>
                <w:rFonts w:asciiTheme="minorEastAsia" w:cs="宋体" w:eastAsiaTheme="minorEastAsia" w:hAnsiTheme="minorEastAsia"/>
                <w:color w:themeColor="text1" w:val="000000"/>
                <w:kern w:val="0"/>
              </w:rPr>
              <w:t>华友钴业</w:t>
            </w:r>
          </w:p>
        </w:tc>
        <w:tc>
          <w:tcPr>
            <w:vAlign w:val="center"/>
          </w:tcPr>
          <w:p>
            <w:pPr>
              <w:jc w:val="right"/>
            </w:pPr>
            <w:r>
              <w:rPr>
                <w:rFonts w:asciiTheme="minorEastAsia" w:cs="宋体" w:eastAsiaTheme="minorEastAsia" w:hAnsiTheme="minorEastAsia"/>
                <w:color w:themeColor="text1" w:val="000000"/>
                <w:kern w:val="0"/>
              </w:rPr>
              <w:t>367,874</w:t>
            </w:r>
          </w:p>
        </w:tc>
        <w:tc>
          <w:tcPr>
            <w:vAlign w:val="center"/>
          </w:tcPr>
          <w:p>
            <w:pPr>
              <w:jc w:val="right"/>
            </w:pPr>
            <w:r>
              <w:rPr>
                <w:rFonts w:asciiTheme="minorEastAsia" w:cs="宋体" w:eastAsiaTheme="minorEastAsia" w:hAnsiTheme="minorEastAsia"/>
                <w:color w:themeColor="text1" w:val="000000"/>
                <w:kern w:val="0"/>
              </w:rPr>
              <w:t>29,172,408.20</w:t>
            </w:r>
          </w:p>
        </w:tc>
        <w:tc>
          <w:tcPr>
            <w:vAlign w:val="center"/>
          </w:tcPr>
          <w:p>
            <w:pPr>
              <w:jc w:val="right"/>
            </w:pPr>
            <w:r>
              <w:rPr>
                <w:rFonts w:asciiTheme="minorEastAsia" w:cs="宋体" w:eastAsiaTheme="minorEastAsia" w:hAnsiTheme="minorEastAsia"/>
                <w:color w:themeColor="text1" w:val="000000"/>
                <w:kern w:val="0"/>
              </w:rPr>
              <w:t>3.50</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002475</w:t>
            </w:r>
          </w:p>
        </w:tc>
        <w:tc>
          <w:tcPr>
            <w:vAlign w:val="center"/>
          </w:tcPr>
          <w:p>
            <w:pPr>
              <w:jc w:val="center"/>
            </w:pPr>
            <w:r>
              <w:rPr>
                <w:rFonts w:asciiTheme="minorEastAsia" w:cs="宋体" w:eastAsiaTheme="minorEastAsia" w:hAnsiTheme="minorEastAsia"/>
                <w:color w:themeColor="text1" w:val="000000"/>
                <w:kern w:val="0"/>
              </w:rPr>
              <w:t>立讯精密</w:t>
            </w:r>
          </w:p>
        </w:tc>
        <w:tc>
          <w:tcPr>
            <w:vAlign w:val="center"/>
          </w:tcPr>
          <w:p>
            <w:pPr>
              <w:jc w:val="right"/>
            </w:pPr>
            <w:r>
              <w:rPr>
                <w:rFonts w:asciiTheme="minorEastAsia" w:cs="宋体" w:eastAsiaTheme="minorEastAsia" w:hAnsiTheme="minorEastAsia"/>
                <w:color w:themeColor="text1" w:val="000000"/>
                <w:kern w:val="0"/>
              </w:rPr>
              <w:t>462,757</w:t>
            </w:r>
          </w:p>
        </w:tc>
        <w:tc>
          <w:tcPr>
            <w:vAlign w:val="center"/>
          </w:tcPr>
          <w:p>
            <w:pPr>
              <w:jc w:val="right"/>
            </w:pPr>
            <w:r>
              <w:rPr>
                <w:rFonts w:asciiTheme="minorEastAsia" w:cs="宋体" w:eastAsiaTheme="minorEastAsia" w:hAnsiTheme="minorEastAsia"/>
                <w:color w:themeColor="text1" w:val="000000"/>
                <w:kern w:val="0"/>
              </w:rPr>
              <w:t>25,969,922.84</w:t>
            </w:r>
          </w:p>
        </w:tc>
        <w:tc>
          <w:tcPr>
            <w:vAlign w:val="center"/>
          </w:tcPr>
          <w:p>
            <w:pPr>
              <w:jc w:val="right"/>
            </w:pPr>
            <w:r>
              <w:rPr>
                <w:rFonts w:asciiTheme="minorEastAsia" w:cs="宋体" w:eastAsiaTheme="minorEastAsia" w:hAnsiTheme="minorEastAsia"/>
                <w:color w:themeColor="text1" w:val="000000"/>
                <w:kern w:val="0"/>
              </w:rPr>
              <w:t>3.12</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603486</w:t>
            </w:r>
          </w:p>
        </w:tc>
        <w:tc>
          <w:tcPr>
            <w:vAlign w:val="center"/>
          </w:tcPr>
          <w:p>
            <w:pPr>
              <w:jc w:val="center"/>
            </w:pPr>
            <w:r>
              <w:rPr>
                <w:rFonts w:asciiTheme="minorEastAsia" w:cs="宋体" w:eastAsiaTheme="minorEastAsia" w:hAnsiTheme="minorEastAsia"/>
                <w:color w:themeColor="text1" w:val="000000"/>
                <w:kern w:val="0"/>
              </w:rPr>
              <w:t>科沃斯</w:t>
            </w:r>
          </w:p>
        </w:tc>
        <w:tc>
          <w:tcPr>
            <w:vAlign w:val="center"/>
          </w:tcPr>
          <w:p>
            <w:pPr>
              <w:jc w:val="right"/>
            </w:pPr>
            <w:r>
              <w:rPr>
                <w:rFonts w:asciiTheme="minorEastAsia" w:cs="宋体" w:eastAsiaTheme="minorEastAsia" w:hAnsiTheme="minorEastAsia"/>
                <w:color w:themeColor="text1" w:val="000000"/>
                <w:kern w:val="0"/>
              </w:rPr>
              <w:t>284,933</w:t>
            </w:r>
          </w:p>
        </w:tc>
        <w:tc>
          <w:tcPr>
            <w:vAlign w:val="center"/>
          </w:tcPr>
          <w:p>
            <w:pPr>
              <w:jc w:val="right"/>
            </w:pPr>
            <w:r>
              <w:rPr>
                <w:rFonts w:asciiTheme="minorEastAsia" w:cs="宋体" w:eastAsiaTheme="minorEastAsia" w:hAnsiTheme="minorEastAsia"/>
                <w:color w:themeColor="text1" w:val="000000"/>
                <w:kern w:val="0"/>
              </w:rPr>
              <w:t>25,213,721.17</w:t>
            </w:r>
          </w:p>
        </w:tc>
        <w:tc>
          <w:tcPr>
            <w:vAlign w:val="center"/>
          </w:tcPr>
          <w:p>
            <w:pPr>
              <w:jc w:val="right"/>
            </w:pPr>
            <w:r>
              <w:rPr>
                <w:rFonts w:asciiTheme="minorEastAsia" w:cs="宋体" w:eastAsiaTheme="minorEastAsia" w:hAnsiTheme="minorEastAsia"/>
                <w:color w:themeColor="text1" w:val="000000"/>
                <w:kern w:val="0"/>
              </w:rPr>
              <w:t>3.02</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aff4"/>
        <w:tblW w:type="dxa" w:w="8755"/>
        <w:jc w:val="center"/>
        <w:tblLayout w:type="fixed"/>
        <w:tblLook w:firstColumn="1" w:firstRow="1" w:lastColumn="0" w:lastRow="0" w:noHBand="0" w:noVBand="1" w:val="04A0"/>
      </w:tblPr>
      <w:tblGrid>
        <w:gridCol w:w="817"/>
        <w:gridCol w:w="3260"/>
        <w:gridCol w:w="2949"/>
        <w:gridCol w:w="1729"/>
      </w:tblGrid>
      <w:tr w14:paraId="346044F7" w14:textId="77777777" w:rsidR="00D06738">
        <w:trPr>
          <w:jc w:val="center"/>
        </w:trPr>
        <w:tc>
          <w:tcPr>
            <w:tcW w:type="dxa" w:w="817"/>
            <w:vAlign w:val="center"/>
          </w:tcPr>
          <w:p w14:paraId="072B2F0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3260"/>
            <w:vAlign w:val="center"/>
          </w:tcPr>
          <w:p w14:paraId="1EB79EA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债券品种</w:t>
            </w: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
            </w:r>
          </w:p>
        </w:tc>
        <w:tc>
          <w:tcPr>
            <w:tcW w:type="dxa" w:w="2949"/>
            <w:vAlign w:val="center"/>
          </w:tcPr>
          <w:p w14:paraId="054DF2E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公允价值(元)</w:t>
            </w:r>
          </w:p>
        </w:tc>
        <w:tc>
          <w:tcPr>
            <w:tcW w:type="dxa" w:w="1729"/>
            <w:vAlign w:val="center"/>
          </w:tcPr>
          <w:p w14:paraId="1A6BCB3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14:paraId="3A0EA7C7" w14:textId="77777777" w:rsidR="00D06738">
        <w:trPr>
          <w:jc w:val="center"/>
        </w:trPr>
        <w:tc>
          <w:tcPr>
            <w:tcW w:type="dxa" w:w="817"/>
            <w:vAlign w:val="center"/>
          </w:tcPr>
          <w:p w14:paraId="6C4289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1</w:t>
            </w:r>
          </w:p>
        </w:tc>
        <w:tc>
          <w:tcPr>
            <w:tcW w:type="dxa" w:w="3260"/>
            <w:vAlign w:val="center"/>
          </w:tcPr>
          <w:p w14:paraId="4FAF4D08"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国家债券</w:t>
            </w:r>
          </w:p>
        </w:tc>
        <w:tc>
          <w:tcPr>
            <w:tcW w:type="dxa" w:w="2949"/>
            <w:vAlign w:val="center"/>
          </w:tcPr>
          <w:p w14:paraId="132B07D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74D8BE6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66155870" w14:textId="77777777" w:rsidR="00D06738">
        <w:trPr>
          <w:jc w:val="center"/>
        </w:trPr>
        <w:tc>
          <w:tcPr>
            <w:tcW w:type="dxa" w:w="817"/>
            <w:vAlign w:val="center"/>
          </w:tcPr>
          <w:p w14:paraId="5F47561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2</w:t>
            </w:r>
          </w:p>
        </w:tc>
        <w:tc>
          <w:tcPr>
            <w:tcW w:type="dxa" w:w="3260"/>
            <w:vAlign w:val="center"/>
          </w:tcPr>
          <w:p w14:paraId="4EBE46D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央行票据</w:t>
            </w:r>
          </w:p>
        </w:tc>
        <w:tc>
          <w:tcPr>
            <w:tcW w:type="dxa" w:w="2949"/>
            <w:vAlign w:val="center"/>
          </w:tcPr>
          <w:p w14:paraId="74B0461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97E1C6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6D676F" w14:textId="77777777" w:rsidR="00D06738">
        <w:trPr>
          <w:jc w:val="center"/>
        </w:trPr>
        <w:tc>
          <w:tcPr>
            <w:tcW w:type="dxa" w:w="817"/>
            <w:vAlign w:val="center"/>
          </w:tcPr>
          <w:p w14:paraId="5BEEAE8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3</w:t>
            </w:r>
          </w:p>
        </w:tc>
        <w:tc>
          <w:tcPr>
            <w:tcW w:type="dxa" w:w="3260"/>
            <w:vAlign w:val="center"/>
          </w:tcPr>
          <w:p w14:paraId="6EAA7C2F"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金融债券</w:t>
            </w:r>
          </w:p>
        </w:tc>
        <w:tc>
          <w:tcPr>
            <w:tcW w:type="dxa" w:w="2949"/>
            <w:vAlign w:val="center"/>
          </w:tcPr>
          <w:p w14:paraId="1D6AFCA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2C6C5E6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3BAB3387" w14:textId="77777777" w:rsidR="00D06738">
        <w:trPr>
          <w:jc w:val="center"/>
        </w:trPr>
        <w:tc>
          <w:tcPr>
            <w:tcW w:type="dxa" w:w="817"/>
            <w:vAlign w:val="center"/>
          </w:tcPr>
          <w:p w14:paraId="0425F002" w14:textId="77777777" w:rsidR="00D06738" w:rsidRDefault="00D06738">
            <w:pPr>
              <w:spacing w:before="29" w:line="360" w:lineRule="auto"/>
              <w:ind w:left="17"/>
              <w:jc w:val="center"/>
              <w:rPr>
                <w:rFonts w:asciiTheme="minorEastAsia" w:cs="宋体" w:eastAsiaTheme="minorEastAsia" w:hAnsiTheme="minorEastAsia"/>
                <w:color w:themeColor="text1" w:val="000000"/>
                <w:kern w:val="0"/>
              </w:rPr>
            </w:pPr>
          </w:p>
        </w:tc>
        <w:tc>
          <w:tcPr>
            <w:tcW w:type="dxa" w:w="3260"/>
            <w:vAlign w:val="center"/>
          </w:tcPr>
          <w:p w14:paraId="3E7538AB"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其中：政策性金融债</w:t>
            </w:r>
          </w:p>
        </w:tc>
        <w:tc>
          <w:tcPr>
            <w:tcW w:type="dxa" w:w="2949"/>
            <w:vAlign w:val="center"/>
          </w:tcPr>
          <w:p w14:paraId="320BDDF3"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c>
          <w:tcPr>
            <w:tcW w:type="dxa" w:w="1729"/>
            <w:vAlign w:val="center"/>
          </w:tcPr>
          <w:p w14:paraId="0C4E875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color w:themeColor="text1" w:val="000000"/>
                <w:kern w:val="0"/>
              </w:rPr>
              <w:lastRenderedPageBreak/>
              <w:t>-</w:t>
            </w:r>
          </w:p>
        </w:tc>
      </w:tr>
      <w:tr w14:paraId="657F6448" w14:textId="77777777" w:rsidR="00D06738">
        <w:trPr>
          <w:jc w:val="center"/>
        </w:trPr>
        <w:tc>
          <w:tcPr>
            <w:tcW w:type="dxa" w:w="817"/>
            <w:vAlign w:val="center"/>
          </w:tcPr>
          <w:p w14:paraId="31E4A5D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4</w:t>
            </w:r>
          </w:p>
        </w:tc>
        <w:tc>
          <w:tcPr>
            <w:tcW w:type="dxa" w:w="3260"/>
            <w:vAlign w:val="center"/>
          </w:tcPr>
          <w:p w14:paraId="2BBB4D93"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企业债券</w:t>
            </w:r>
          </w:p>
        </w:tc>
        <w:tc>
          <w:tcPr>
            <w:tcW w:type="dxa" w:w="2949"/>
            <w:vAlign w:val="center"/>
          </w:tcPr>
          <w:p w14:paraId="4B9BCEC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335881F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6B3DD42" w14:textId="77777777" w:rsidR="00D06738">
        <w:trPr>
          <w:jc w:val="center"/>
        </w:trPr>
        <w:tc>
          <w:tcPr>
            <w:tcW w:type="dxa" w:w="817"/>
            <w:vAlign w:val="center"/>
          </w:tcPr>
          <w:p w14:paraId="6336FFC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5</w:t>
            </w:r>
          </w:p>
        </w:tc>
        <w:tc>
          <w:tcPr>
            <w:tcW w:type="dxa" w:w="3260"/>
            <w:vAlign w:val="center"/>
          </w:tcPr>
          <w:p w14:paraId="4FFFB5DC"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企业短期融资</w:t>
            </w:r>
            <w:proofErr w:type="gramStart"/>
            <w:r>
              <w:rPr>
                <w:rFonts w:asciiTheme="minorEastAsia" w:cs="宋体" w:eastAsiaTheme="minorEastAsia" w:hAnsiTheme="minorEastAsia" w:hint="eastAsia"/>
                <w:color w:themeColor="text1" w:val="000000"/>
                <w:kern w:val="0"/>
              </w:rPr>
              <w:t>券</w:t>
            </w:r>
            <w:proofErr w:type="gramEnd"/>
          </w:p>
        </w:tc>
        <w:tc>
          <w:tcPr>
            <w:tcW w:type="dxa" w:w="2949"/>
            <w:vAlign w:val="center"/>
          </w:tcPr>
          <w:p w14:paraId="1FF08BB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6A2CE0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42B4E5A1" w14:textId="77777777" w:rsidR="00D06738">
        <w:trPr>
          <w:jc w:val="center"/>
        </w:trPr>
        <w:tc>
          <w:tcPr>
            <w:tcW w:type="dxa" w:w="817"/>
            <w:vAlign w:val="center"/>
          </w:tcPr>
          <w:p w14:paraId="4D3BFE5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6</w:t>
            </w:r>
          </w:p>
        </w:tc>
        <w:tc>
          <w:tcPr>
            <w:tcW w:type="dxa" w:w="3260"/>
            <w:vAlign w:val="center"/>
          </w:tcPr>
          <w:p w14:paraId="11998037"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中期票据</w:t>
            </w:r>
          </w:p>
        </w:tc>
        <w:tc>
          <w:tcPr>
            <w:tcW w:type="dxa" w:w="2949"/>
            <w:vAlign w:val="center"/>
          </w:tcPr>
          <w:p w14:paraId="48D8765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3403EC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252F7F28" w14:textId="77777777" w:rsidR="00D06738">
        <w:trPr>
          <w:jc w:val="center"/>
        </w:trPr>
        <w:tc>
          <w:tcPr>
            <w:tcW w:type="dxa" w:w="817"/>
            <w:vAlign w:val="center"/>
          </w:tcPr>
          <w:p w14:paraId="30DA381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7</w:t>
            </w:r>
          </w:p>
        </w:tc>
        <w:tc>
          <w:tcPr>
            <w:tcW w:type="dxa" w:w="3260"/>
            <w:vAlign w:val="center"/>
          </w:tcPr>
          <w:p w14:paraId="3EA5B134"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可转债（可交换债）</w:t>
            </w:r>
          </w:p>
        </w:tc>
        <w:tc>
          <w:tcPr>
            <w:tcW w:type="dxa" w:w="2949"/>
            <w:vAlign w:val="center"/>
          </w:tcPr>
          <w:p w14:paraId="758BE73D"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617,000.00</w:t>
            </w:r>
          </w:p>
        </w:tc>
        <w:tc>
          <w:tcPr>
            <w:tcW w:type="dxa" w:w="1729"/>
            <w:vAlign w:val="center"/>
          </w:tcPr>
          <w:p w14:paraId="1332F6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0.07</w:t>
            </w:r>
          </w:p>
        </w:tc>
      </w:tr>
      <w:tr w14:paraId="02BDAB54" w14:textId="77777777" w:rsidR="00D06738">
        <w:trPr>
          <w:jc w:val="center"/>
        </w:trPr>
        <w:tc>
          <w:tcPr>
            <w:tcW w:type="dxa" w:w="817"/>
            <w:vAlign w:val="center"/>
          </w:tcPr>
          <w:p w14:paraId="2A2DEF9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8</w:t>
            </w:r>
          </w:p>
        </w:tc>
        <w:tc>
          <w:tcPr>
            <w:tcW w:type="dxa" w:w="3260"/>
            <w:vAlign w:val="center"/>
          </w:tcPr>
          <w:p w14:paraId="3F4DF17D"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同业存单</w:t>
            </w:r>
          </w:p>
        </w:tc>
        <w:tc>
          <w:tcPr>
            <w:tcW w:type="dxa" w:w="2949"/>
            <w:vAlign w:val="center"/>
          </w:tcPr>
          <w:p w14:paraId="2C361CA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729"/>
            <w:vAlign w:val="center"/>
          </w:tcPr>
          <w:p w14:paraId="32F52C9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hint="eastAsia"/>
                <w:color w:themeColor="text1" w:val="000000"/>
                <w:kern w:val="0"/>
              </w:rPr>
              <w:t>-</w:t>
            </w:r>
          </w:p>
        </w:tc>
      </w:tr>
      <w:tr w14:paraId="4BF9E909" w14:textId="77777777" w:rsidR="00D06738">
        <w:trPr>
          <w:jc w:val="center"/>
        </w:trPr>
        <w:tc>
          <w:tcPr>
            <w:tcW w:type="dxa" w:w="817"/>
            <w:vAlign w:val="center"/>
          </w:tcPr>
          <w:p w14:paraId="4FD1CF99"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9</w:t>
            </w:r>
          </w:p>
        </w:tc>
        <w:tc>
          <w:tcPr>
            <w:tcW w:type="dxa" w:w="3260"/>
            <w:vAlign w:val="center"/>
          </w:tcPr>
          <w:p w14:paraId="3F15FDDE"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2949"/>
            <w:vAlign w:val="center"/>
          </w:tcPr>
          <w:p w14:paraId="49B90CF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729"/>
            <w:vAlign w:val="center"/>
          </w:tcPr>
          <w:p w14:paraId="5B32EEA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A65AD33" w14:textId="77777777" w:rsidR="00D06738">
        <w:trPr>
          <w:jc w:val="center"/>
        </w:trPr>
        <w:tc>
          <w:tcPr>
            <w:tcW w:type="dxa" w:w="817"/>
            <w:vAlign w:val="center"/>
          </w:tcPr>
          <w:p w14:paraId="4D6DE7D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10</w:t>
            </w:r>
          </w:p>
        </w:tc>
        <w:tc>
          <w:tcPr>
            <w:tcW w:type="dxa" w:w="3260"/>
            <w:vAlign w:val="center"/>
          </w:tcPr>
          <w:p w14:paraId="0C6420B0"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49"/>
            <w:vAlign w:val="center"/>
          </w:tcPr>
          <w:p w14:paraId="7846C3E5"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617,000.00</w:t>
            </w:r>
          </w:p>
        </w:tc>
        <w:tc>
          <w:tcPr>
            <w:tcW w:type="dxa" w:w="1729"/>
            <w:vAlign w:val="center"/>
          </w:tcPr>
          <w:p w14:paraId="4DD61EBA"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0.07</w:t>
            </w:r>
          </w:p>
        </w:tc>
      </w:tr>
    </w:tbl>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tbl>
      <w:tblPr>
        <w:tblStyle w:val="aff4"/>
        <w:tblW w:type="dxa" w:w="8528"/>
        <w:tblLayout w:type="fixed"/>
        <w:tblLook w:firstColumn="1" w:firstRow="1" w:lastColumn="0" w:lastRow="0" w:noHBand="0" w:noVBand="1" w:val="04A0"/>
      </w:tblPr>
      <w:tblGrid>
        <w:gridCol w:w="1252"/>
        <w:gridCol w:w="1310"/>
        <w:gridCol w:w="1282"/>
        <w:gridCol w:w="1426"/>
        <w:gridCol w:w="1646"/>
        <w:gridCol w:w="1612"/>
      </w:tblGrid>
      <w:tr w14:paraId="18E25130" w14:textId="77777777" w:rsidR="00D06738">
        <w:tc>
          <w:tcPr>
            <w:tcW w:type="dxa" w:w="1252"/>
            <w:vAlign w:val="center"/>
          </w:tcPr>
          <w:p w14:paraId="5DA97E50"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310"/>
            <w:vAlign w:val="center"/>
          </w:tcPr>
          <w:p w14:paraId="4A5FBBF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债券代码</w:t>
            </w:r>
          </w:p>
        </w:tc>
        <w:tc>
          <w:tcPr>
            <w:tcW w:type="dxa" w:w="1282"/>
            <w:vAlign w:val="center"/>
          </w:tcPr>
          <w:p w14:paraId="55BC05EB"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债券名称</w:t>
            </w:r>
          </w:p>
        </w:tc>
        <w:tc>
          <w:tcPr>
            <w:tcW w:type="dxa" w:w="1426"/>
            <w:vAlign w:val="center"/>
          </w:tcPr>
          <w:p w14:paraId="293BF1DF"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数量(张)</w:t>
            </w:r>
          </w:p>
        </w:tc>
        <w:tc>
          <w:tcPr>
            <w:tcW w:type="dxa" w:w="1646"/>
            <w:vAlign w:val="center"/>
          </w:tcPr>
          <w:p w14:paraId="7BBAC842"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2"/>
            <w:vAlign w:val="center"/>
          </w:tcPr>
          <w:p w14:paraId="47A17A6C"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113616</w:t>
            </w:r>
          </w:p>
        </w:tc>
        <w:tc>
          <w:tcPr>
            <w:vAlign w:val="center"/>
          </w:tcPr>
          <w:p>
            <w:pPr>
              <w:jc w:val="center"/>
            </w:pPr>
            <w:r>
              <w:rPr>
                <w:rFonts w:asciiTheme="minorEastAsia" w:cs="宋体" w:eastAsiaTheme="minorEastAsia" w:hAnsiTheme="minorEastAsia"/>
                <w:color w:themeColor="text1" w:val="000000"/>
                <w:kern w:val="0"/>
              </w:rPr>
              <w:t>韦尔转债</w:t>
            </w:r>
          </w:p>
        </w:tc>
        <w:tc>
          <w:tcPr>
            <w:vAlign w:val="center"/>
          </w:tcPr>
          <w:p>
            <w:pPr>
              <w:jc w:val="right"/>
            </w:pPr>
            <w:r>
              <w:rPr>
                <w:rFonts w:asciiTheme="minorEastAsia" w:cs="宋体" w:eastAsiaTheme="minorEastAsia" w:hAnsiTheme="minorEastAsia"/>
                <w:color w:themeColor="text1" w:val="000000"/>
                <w:kern w:val="0"/>
              </w:rPr>
              <w:t>5,320</w:t>
            </w:r>
          </w:p>
        </w:tc>
        <w:tc>
          <w:tcPr>
            <w:vAlign w:val="center"/>
          </w:tcPr>
          <w:p>
            <w:pPr>
              <w:jc w:val="right"/>
            </w:pPr>
            <w:r>
              <w:rPr>
                <w:rFonts w:asciiTheme="minorEastAsia" w:cs="宋体" w:eastAsiaTheme="minorEastAsia" w:hAnsiTheme="minorEastAsia"/>
                <w:color w:themeColor="text1" w:val="000000"/>
                <w:kern w:val="0"/>
              </w:rPr>
              <w:t>532,000.00</w:t>
            </w:r>
          </w:p>
        </w:tc>
        <w:tc>
          <w:tcPr>
            <w:vAlign w:val="center"/>
          </w:tcPr>
          <w:p>
            <w:pPr>
              <w:jc w:val="right"/>
            </w:pPr>
            <w:r>
              <w:rPr>
                <w:rFonts w:asciiTheme="minorEastAsia" w:cs="宋体" w:eastAsiaTheme="minorEastAsia" w:hAnsiTheme="minorEastAsia"/>
                <w:color w:themeColor="text1" w:val="000000"/>
                <w:kern w:val="0"/>
              </w:rPr>
              <w:t>0.06</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113044</w:t>
            </w:r>
          </w:p>
        </w:tc>
        <w:tc>
          <w:tcPr>
            <w:vAlign w:val="center"/>
          </w:tcPr>
          <w:p>
            <w:pPr>
              <w:jc w:val="center"/>
            </w:pPr>
            <w:r>
              <w:rPr>
                <w:rFonts w:asciiTheme="minorEastAsia" w:cs="宋体" w:eastAsiaTheme="minorEastAsia" w:hAnsiTheme="minorEastAsia"/>
                <w:color w:themeColor="text1" w:val="000000"/>
                <w:kern w:val="0"/>
              </w:rPr>
              <w:t>大秦转债</w:t>
            </w:r>
          </w:p>
        </w:tc>
        <w:tc>
          <w:tcPr>
            <w:vAlign w:val="center"/>
          </w:tcPr>
          <w:p>
            <w:pPr>
              <w:jc w:val="right"/>
            </w:pPr>
            <w:r>
              <w:rPr>
                <w:rFonts w:asciiTheme="minorEastAsia" w:cs="宋体" w:eastAsiaTheme="minorEastAsia" w:hAnsiTheme="minorEastAsia"/>
                <w:color w:themeColor="text1" w:val="000000"/>
                <w:kern w:val="0"/>
              </w:rPr>
              <w:t>850</w:t>
            </w:r>
          </w:p>
        </w:tc>
        <w:tc>
          <w:tcPr>
            <w:vAlign w:val="center"/>
          </w:tcPr>
          <w:p>
            <w:pPr>
              <w:jc w:val="right"/>
            </w:pPr>
            <w:r>
              <w:rPr>
                <w:rFonts w:asciiTheme="minorEastAsia" w:cs="宋体" w:eastAsiaTheme="minorEastAsia" w:hAnsiTheme="minorEastAsia"/>
                <w:color w:themeColor="text1" w:val="000000"/>
                <w:kern w:val="0"/>
              </w:rPr>
              <w:t>85,000.00</w:t>
            </w:r>
          </w:p>
        </w:tc>
        <w:tc>
          <w:tcPr>
            <w:vAlign w:val="center"/>
          </w:tcPr>
          <w:p>
            <w:pPr>
              <w:jc w:val="right"/>
            </w:pPr>
            <w:r>
              <w:rPr>
                <w:rFonts w:asciiTheme="minorEastAsia" w:cs="宋体" w:eastAsiaTheme="minorEastAsia" w:hAnsiTheme="minorEastAsia"/>
                <w:color w:themeColor="text1" w:val="000000"/>
                <w:kern w:val="0"/>
              </w:rPr>
              <w:t>0.01</w:t>
            </w:r>
          </w:p>
        </w:tc>
      </w:tr>
    </w:tbl>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247,127.65</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13,740.64</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224,651.63</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485,519.92</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因四舍五入的原因，投资组合报告中分项之和与合计数可能存在尾差。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248,315,259.67</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6,526,425.43</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35,909,622.35</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218,932,062.75</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1. 中国证监会批准上投摩根中小盘混合型证券投资基金设立的文件；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2. 《上投摩根中小盘混合型证券投资基金基金合同》；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3. 《上投摩根中小盘混合型证券投资基金基金托管协议》；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4. 《上投摩根基金管理有限公司开放式基金业务规则》；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5. 基金管理人业务资格批件、营业执照； </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基金管理人或基金托管人处。</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二〇二一年一月二十二日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上投摩根中小盘混合型证券投资基金</w:t>
    </w:r>
    <w:proofErr w:type="spellStart"/>
    <w:proofErr w:type="gramEnd"/>
    <w:r>
      <w:rPr>
        <w:rFonts w:hint="eastAsia"/>
      </w:rPr>
      <w:t/>
    </w:r>
    <w:proofErr w:type="spellEnd"/>
    <w:r>
      <w:rPr>
        <w:rFonts w:hint="eastAsia"/>
      </w:rP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