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上投摩根中小盘混合型证券投资基金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2019年第3季度报告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2019年9月30日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中国建设银行股份有限公司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二〇一九年十月二十五日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基金托管人中国建设银行股份有限公司根据本基金合同规定，于2019年10月24日复核了本报告中的财务指标、净值表现和投资组合报告等内容，保证复核内容不存在虚假记载、误导性陈述或者重大遗漏。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本报告期自2019年7月1日起至9月30日止。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上投摩根中小盘混合</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379010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379010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2009年1月21日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248,240,729.13</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重点投资于中国A股市场上的中小盘股票，通过缜密的资产配置原则和严格的行业个股选择，分享中国经济高速增长给优势中小市值上市公司带来的机遇，并积极运用战略和战术资产配置策略，动态优化投资组合，力求实现基金资产长期稳健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本基金充分借鉴摩根资产管理集团全球行之有效的投资理念和技术，运用 “自下而上”精选个股与“自上而下”资产配置相结合的投资策略，重点投资于具有行业优势、公司优势和估值优势的中小市值上市公司股票。同时结合市场研判，对相关资产类别的预期收益进行监控，动态调整股票、债券等大类资产配置。</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40%×天相中盘指数收益率+40%×天相小盘指数收益率+ 20%×上证国债指数收益率</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是混合型基金，预期收益及预期风险水平低于股票型基金，高于债券型基金和货币市场基金，属于较高预期收益和预期风险水平的投资品种。本基金风险收益特征会定期评估并在公司网站发布，请投资者关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中国建设银行股份有限公司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2019年7月1日-2019年9月30日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45,006,644.40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73,918,299.58</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0.2830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500,534,638.89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2.016</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16.20%</w:t>
            </w:r>
          </w:p>
        </w:tc>
        <w:tc>
          <w:tcPr>
            <w:vAlign w:val="center"/>
          </w:tcPr>
          <w:p>
            <w:pPr>
              <w:jc w:val="center"/>
            </w:pPr>
            <w:r>
              <w:rPr>
                <w:rFonts w:asciiTheme="minorEastAsia" w:eastAsiaTheme="minorEastAsia" w:hAnsiTheme="minorEastAsia"/>
                <w:color w:themeColor="text1" w:val="000000"/>
                <w:kern w:val="0"/>
                <w:sz w:val="21"/>
              </w:rPr>
              <w:t>1.36%</w:t>
            </w:r>
          </w:p>
        </w:tc>
        <w:tc>
          <w:tcPr>
            <w:vAlign w:val="center"/>
          </w:tcPr>
          <w:p>
            <w:pPr>
              <w:jc w:val="center"/>
            </w:pPr>
            <w:r>
              <w:rPr>
                <w:rFonts w:asciiTheme="minorEastAsia" w:eastAsiaTheme="minorEastAsia" w:hAnsiTheme="minorEastAsia"/>
                <w:color w:themeColor="text1" w:val="000000"/>
                <w:kern w:val="0"/>
                <w:sz w:val="21"/>
              </w:rPr>
              <w:t>-0.30%</w:t>
            </w:r>
          </w:p>
        </w:tc>
        <w:tc>
          <w:tcPr>
            <w:vAlign w:val="center"/>
          </w:tcPr>
          <w:p>
            <w:pPr>
              <w:jc w:val="center"/>
            </w:pPr>
            <w:r>
              <w:rPr>
                <w:rFonts w:asciiTheme="minorEastAsia" w:eastAsiaTheme="minorEastAsia" w:hAnsiTheme="minorEastAsia"/>
                <w:color w:themeColor="text1" w:val="000000"/>
                <w:kern w:val="0"/>
                <w:sz w:val="21"/>
              </w:rPr>
              <w:t>0.90%</w:t>
            </w:r>
          </w:p>
        </w:tc>
        <w:tc>
          <w:tcPr>
            <w:vAlign w:val="center"/>
          </w:tcPr>
          <w:p>
            <w:pPr>
              <w:jc w:val="center"/>
            </w:pPr>
            <w:r>
              <w:rPr>
                <w:rFonts w:asciiTheme="minorEastAsia" w:eastAsiaTheme="minorEastAsia" w:hAnsiTheme="minorEastAsia"/>
                <w:color w:themeColor="text1" w:val="000000"/>
                <w:kern w:val="0"/>
                <w:sz w:val="21"/>
              </w:rPr>
              <w:t>16.50%</w:t>
            </w:r>
          </w:p>
        </w:tc>
        <w:tc>
          <w:tcPr>
            <w:vAlign w:val="center"/>
          </w:tcPr>
          <w:p>
            <w:pPr>
              <w:jc w:val="center"/>
            </w:pPr>
            <w:r>
              <w:rPr>
                <w:rFonts w:asciiTheme="minorEastAsia" w:eastAsiaTheme="minorEastAsia" w:hAnsiTheme="minorEastAsia"/>
                <w:color w:themeColor="text1" w:val="000000"/>
                <w:kern w:val="0"/>
                <w:sz w:val="21"/>
              </w:rPr>
              <w:t>0.46%</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上投摩根中小盘混合型证券投资基金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2009年1月21日</w:t>
      </w:r>
      <w:r>
        <w:rPr>
          <w:rFonts w:asciiTheme="minorEastAsia" w:eastAsiaTheme="minorEastAsia" w:hAnsiTheme="minorEastAsia" w:hint="eastAsia"/>
          <w:color w:themeColor="text1" w:val="000000"/>
        </w:rPr>
        <w:t>至2019年9月30日)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注：本基金合同生效日为2009年1月21日，图示时间段为2009年1月21日至2019年9月30日。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本基金建仓期自2009年1月21日至2009年7月20日。建仓期结束时资产配置比例符合本基金基金合同规定。</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郭晨</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2015-01-30</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12年</w:t>
            </w:r>
          </w:p>
        </w:tc>
        <w:tc>
          <w:tcPr>
            <w:vAlign w:val="center"/>
          </w:tcPr>
          <w:p>
            <w:pPr>
              <w:jc w:val="both"/>
            </w:pPr>
            <w:r>
              <w:rPr>
                <w:rFonts w:asciiTheme="minorEastAsia" w:eastAsiaTheme="minorEastAsia" w:hAnsiTheme="minorEastAsia"/>
                <w:color w:themeColor="text1" w:val="000000"/>
              </w:rPr>
              <w:t>郭晨先生，自2007年7月至2008年4月在平安资产管理有限公司担任分析师；2008年4月至2009年11月在东吴基金管理有限公司担任研究员；2009年11月至2014年10月在华富基金管理有限公司先后担任基金经理助理、基金经理，自2014年10月起加入上投摩根基金管理有限公司担任基金经理，自2015年1月起担任上投摩根中小盘混合型证券投资基金基金经理，自2015年6月起同时担任上投摩根智慧互联股票型证券投资基金基金经理，自2015年8月起同时担任上投摩根新兴服务股票型证券投资基金基金经理，自2019年3月起同时担任上投摩根创新商业模式灵活配置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2.证券从业的含义遵从行业协会《证券业从业人员资格管理办法》的相关规定。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中小盘混合型证券投资基金基金合同》的规定。基金经理对个股和投资组合的比例遵循了投资决策委员会的授权限制，基金投资比例符合基金合同和法律法规的要求。</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市场在三季度持续震荡，上证综合指数下跌2.47%，创业板指数上涨7.68%，科技股表现强势。本季度国内宏观经济表现平稳，国内各项改革措施继续深入，货币政策有保有压，没有全面放松。外部市场全球央行为应对经济放缓逐渐开启宽松通道。此外市场逐渐认识到中美贸易摩擦的长期性和复杂性，市场敏感度逐渐降低。三季度市场走势重新回到了行业及公司基本面的轨道上，我们基于大量的行业研究及公司调研发现，5G商用牌照正式发放之后，相关产业链景气度显著提高，这也是本季度科技股表现较好的基本面背景，我们逐渐可以从相关企业的投资、研发、订单和财务上得到印证。</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经过大量的研究和调研，本基金在三季度增加了科技股的配置，取得了很好的效果，基金仓位也有所提升，目前本基金超配了电子、医药、通讯、光伏、新能源汽车、轻工，食品饮料等行业。本基金长期战略性看好高科技、先进制造等成长板块和与百姓生活相关的消费行业，致力于长期投资高成长，低估值，低PEG的优秀公司。</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四季度，我们持谨慎乐观态度。宏观经济大概率保持平稳，上市公司盈利增速有望探底回升。美国经济转弱，全球降息周期开启，国内货币政策空间打开。中美贸易谈判大概率重启。在目前宏观经济背景下，本基金战略看好科技成长板块和消费板块，科技股经过三季度的大幅上涨，长期来看估值依然在合理区间，消费股也一直强势，未来业绩稳定增长可期。本基金四季度仓位上将更加灵活，行业及个股配置会更加均衡。我们将继续关注上市公司的估值、业绩增速以及成长的确定性。行业上我们重点关注医药、5G、新能源汽车、光伏、轻工、食品饮料等行业。</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本报告期上投摩根中小盘混合份额净值增长率为:16.20%，同期业绩比较基准收益率为:-0.30%。</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418,119,328.21</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82.92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418,119,328.21</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82.92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84,818,414.49</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16.82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1,305,529.36</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0.26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504,243,272.06</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345,227,390.10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68.97</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2,142,789.40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0.43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1,214,632.88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0.24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45,711,726.02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9.13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17,095,634.12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3.42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4,303,874.70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0.86</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82,278.75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260,743.02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2,080,259.22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0.42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418,119,328.21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83.53</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002241</w:t>
            </w:r>
          </w:p>
        </w:tc>
        <w:tc>
          <w:tcPr>
            <w:vAlign w:val="center"/>
          </w:tcPr>
          <w:p>
            <w:pPr>
              <w:jc w:val="center"/>
            </w:pPr>
            <w:r>
              <w:rPr>
                <w:rFonts w:asciiTheme="minorEastAsia" w:cs="宋体" w:eastAsiaTheme="minorEastAsia" w:hAnsiTheme="minorEastAsia"/>
                <w:color w:themeColor="text1" w:val="000000"/>
                <w:kern w:val="0"/>
                <w:sz w:val="21"/>
              </w:rPr>
              <w:t>歌尔股份</w:t>
            </w:r>
          </w:p>
        </w:tc>
        <w:tc>
          <w:tcPr>
            <w:vAlign w:val="center"/>
          </w:tcPr>
          <w:p>
            <w:pPr>
              <w:jc w:val="right"/>
            </w:pPr>
            <w:r>
              <w:rPr>
                <w:rFonts w:asciiTheme="minorEastAsia" w:cs="宋体" w:eastAsiaTheme="minorEastAsia" w:hAnsiTheme="minorEastAsia"/>
                <w:color w:themeColor="text1" w:val="000000"/>
                <w:kern w:val="0"/>
                <w:sz w:val="21"/>
              </w:rPr>
              <w:t>1,965,644</w:t>
            </w:r>
          </w:p>
        </w:tc>
        <w:tc>
          <w:tcPr>
            <w:vAlign w:val="center"/>
          </w:tcPr>
          <w:p>
            <w:pPr>
              <w:jc w:val="right"/>
            </w:pPr>
            <w:r>
              <w:rPr>
                <w:rFonts w:asciiTheme="minorEastAsia" w:cs="宋体" w:eastAsiaTheme="minorEastAsia" w:hAnsiTheme="minorEastAsia"/>
                <w:color w:themeColor="text1" w:val="000000"/>
                <w:kern w:val="0"/>
                <w:sz w:val="21"/>
              </w:rPr>
              <w:t>34,556,021.52</w:t>
            </w:r>
          </w:p>
        </w:tc>
        <w:tc>
          <w:tcPr>
            <w:vAlign w:val="center"/>
          </w:tcPr>
          <w:p>
            <w:pPr>
              <w:jc w:val="right"/>
            </w:pPr>
            <w:r>
              <w:rPr>
                <w:rFonts w:asciiTheme="minorEastAsia" w:cs="宋体" w:eastAsiaTheme="minorEastAsia" w:hAnsiTheme="minorEastAsia"/>
                <w:color w:themeColor="text1" w:val="000000"/>
                <w:kern w:val="0"/>
                <w:sz w:val="21"/>
              </w:rPr>
              <w:t>6.90</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300601</w:t>
            </w:r>
          </w:p>
        </w:tc>
        <w:tc>
          <w:tcPr>
            <w:vAlign w:val="center"/>
          </w:tcPr>
          <w:p>
            <w:pPr>
              <w:jc w:val="center"/>
            </w:pPr>
            <w:r>
              <w:rPr>
                <w:rFonts w:asciiTheme="minorEastAsia" w:cs="宋体" w:eastAsiaTheme="minorEastAsia" w:hAnsiTheme="minorEastAsia"/>
                <w:color w:themeColor="text1" w:val="000000"/>
                <w:kern w:val="0"/>
                <w:sz w:val="21"/>
              </w:rPr>
              <w:t>康泰生物</w:t>
            </w:r>
          </w:p>
        </w:tc>
        <w:tc>
          <w:tcPr>
            <w:vAlign w:val="center"/>
          </w:tcPr>
          <w:p>
            <w:pPr>
              <w:jc w:val="right"/>
            </w:pPr>
            <w:r>
              <w:rPr>
                <w:rFonts w:asciiTheme="minorEastAsia" w:cs="宋体" w:eastAsiaTheme="minorEastAsia" w:hAnsiTheme="minorEastAsia"/>
                <w:color w:themeColor="text1" w:val="000000"/>
                <w:kern w:val="0"/>
                <w:sz w:val="21"/>
              </w:rPr>
              <w:t>410,893</w:t>
            </w:r>
          </w:p>
        </w:tc>
        <w:tc>
          <w:tcPr>
            <w:vAlign w:val="center"/>
          </w:tcPr>
          <w:p>
            <w:pPr>
              <w:jc w:val="right"/>
            </w:pPr>
            <w:r>
              <w:rPr>
                <w:rFonts w:asciiTheme="minorEastAsia" w:cs="宋体" w:eastAsiaTheme="minorEastAsia" w:hAnsiTheme="minorEastAsia"/>
                <w:color w:themeColor="text1" w:val="000000"/>
                <w:kern w:val="0"/>
                <w:sz w:val="21"/>
              </w:rPr>
              <w:t>30,504,696.32</w:t>
            </w:r>
          </w:p>
        </w:tc>
        <w:tc>
          <w:tcPr>
            <w:vAlign w:val="center"/>
          </w:tcPr>
          <w:p>
            <w:pPr>
              <w:jc w:val="right"/>
            </w:pPr>
            <w:r>
              <w:rPr>
                <w:rFonts w:asciiTheme="minorEastAsia" w:cs="宋体" w:eastAsiaTheme="minorEastAsia" w:hAnsiTheme="minorEastAsia"/>
                <w:color w:themeColor="text1" w:val="000000"/>
                <w:kern w:val="0"/>
                <w:sz w:val="21"/>
              </w:rPr>
              <w:t>6.09</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603501</w:t>
            </w:r>
          </w:p>
        </w:tc>
        <w:tc>
          <w:tcPr>
            <w:vAlign w:val="center"/>
          </w:tcPr>
          <w:p>
            <w:pPr>
              <w:jc w:val="center"/>
            </w:pPr>
            <w:r>
              <w:rPr>
                <w:rFonts w:asciiTheme="minorEastAsia" w:cs="宋体" w:eastAsiaTheme="minorEastAsia" w:hAnsiTheme="minorEastAsia"/>
                <w:color w:themeColor="text1" w:val="000000"/>
                <w:kern w:val="0"/>
                <w:sz w:val="21"/>
              </w:rPr>
              <w:t>韦尔股份</w:t>
            </w:r>
          </w:p>
        </w:tc>
        <w:tc>
          <w:tcPr>
            <w:vAlign w:val="center"/>
          </w:tcPr>
          <w:p>
            <w:pPr>
              <w:jc w:val="right"/>
            </w:pPr>
            <w:r>
              <w:rPr>
                <w:rFonts w:asciiTheme="minorEastAsia" w:cs="宋体" w:eastAsiaTheme="minorEastAsia" w:hAnsiTheme="minorEastAsia"/>
                <w:color w:themeColor="text1" w:val="000000"/>
                <w:kern w:val="0"/>
                <w:sz w:val="21"/>
              </w:rPr>
              <w:t>291,153</w:t>
            </w:r>
          </w:p>
        </w:tc>
        <w:tc>
          <w:tcPr>
            <w:vAlign w:val="center"/>
          </w:tcPr>
          <w:p>
            <w:pPr>
              <w:jc w:val="right"/>
            </w:pPr>
            <w:r>
              <w:rPr>
                <w:rFonts w:asciiTheme="minorEastAsia" w:cs="宋体" w:eastAsiaTheme="minorEastAsia" w:hAnsiTheme="minorEastAsia"/>
                <w:color w:themeColor="text1" w:val="000000"/>
                <w:kern w:val="0"/>
                <w:sz w:val="21"/>
              </w:rPr>
              <w:t>28,565,020.83</w:t>
            </w:r>
          </w:p>
        </w:tc>
        <w:tc>
          <w:tcPr>
            <w:vAlign w:val="center"/>
          </w:tcPr>
          <w:p>
            <w:pPr>
              <w:jc w:val="right"/>
            </w:pPr>
            <w:r>
              <w:rPr>
                <w:rFonts w:asciiTheme="minorEastAsia" w:cs="宋体" w:eastAsiaTheme="minorEastAsia" w:hAnsiTheme="minorEastAsia"/>
                <w:color w:themeColor="text1" w:val="000000"/>
                <w:kern w:val="0"/>
                <w:sz w:val="21"/>
              </w:rPr>
              <w:t>5.71</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603986</w:t>
            </w:r>
          </w:p>
        </w:tc>
        <w:tc>
          <w:tcPr>
            <w:vAlign w:val="center"/>
          </w:tcPr>
          <w:p>
            <w:pPr>
              <w:jc w:val="center"/>
            </w:pPr>
            <w:r>
              <w:rPr>
                <w:rFonts w:asciiTheme="minorEastAsia" w:cs="宋体" w:eastAsiaTheme="minorEastAsia" w:hAnsiTheme="minorEastAsia"/>
                <w:color w:themeColor="text1" w:val="000000"/>
                <w:kern w:val="0"/>
                <w:sz w:val="21"/>
              </w:rPr>
              <w:t>兆易创新</w:t>
            </w:r>
          </w:p>
        </w:tc>
        <w:tc>
          <w:tcPr>
            <w:vAlign w:val="center"/>
          </w:tcPr>
          <w:p>
            <w:pPr>
              <w:jc w:val="right"/>
            </w:pPr>
            <w:r>
              <w:rPr>
                <w:rFonts w:asciiTheme="minorEastAsia" w:cs="宋体" w:eastAsiaTheme="minorEastAsia" w:hAnsiTheme="minorEastAsia"/>
                <w:color w:themeColor="text1" w:val="000000"/>
                <w:kern w:val="0"/>
                <w:sz w:val="21"/>
              </w:rPr>
              <w:t>145,170</w:t>
            </w:r>
          </w:p>
        </w:tc>
        <w:tc>
          <w:tcPr>
            <w:vAlign w:val="center"/>
          </w:tcPr>
          <w:p>
            <w:pPr>
              <w:jc w:val="right"/>
            </w:pPr>
            <w:r>
              <w:rPr>
                <w:rFonts w:asciiTheme="minorEastAsia" w:cs="宋体" w:eastAsiaTheme="minorEastAsia" w:hAnsiTheme="minorEastAsia"/>
                <w:color w:themeColor="text1" w:val="000000"/>
                <w:kern w:val="0"/>
                <w:sz w:val="21"/>
              </w:rPr>
              <w:t>21,104,814.60</w:t>
            </w:r>
          </w:p>
        </w:tc>
        <w:tc>
          <w:tcPr>
            <w:vAlign w:val="center"/>
          </w:tcPr>
          <w:p>
            <w:pPr>
              <w:jc w:val="right"/>
            </w:pPr>
            <w:r>
              <w:rPr>
                <w:rFonts w:asciiTheme="minorEastAsia" w:cs="宋体" w:eastAsiaTheme="minorEastAsia" w:hAnsiTheme="minorEastAsia"/>
                <w:color w:themeColor="text1" w:val="000000"/>
                <w:kern w:val="0"/>
                <w:sz w:val="21"/>
              </w:rPr>
              <w:t>4.22</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300059</w:t>
            </w:r>
          </w:p>
        </w:tc>
        <w:tc>
          <w:tcPr>
            <w:vAlign w:val="center"/>
          </w:tcPr>
          <w:p>
            <w:pPr>
              <w:jc w:val="center"/>
            </w:pPr>
            <w:r>
              <w:rPr>
                <w:rFonts w:asciiTheme="minorEastAsia" w:cs="宋体" w:eastAsiaTheme="minorEastAsia" w:hAnsiTheme="minorEastAsia"/>
                <w:color w:themeColor="text1" w:val="000000"/>
                <w:kern w:val="0"/>
                <w:sz w:val="21"/>
              </w:rPr>
              <w:t>东方财富</w:t>
            </w:r>
          </w:p>
        </w:tc>
        <w:tc>
          <w:tcPr>
            <w:vAlign w:val="center"/>
          </w:tcPr>
          <w:p>
            <w:pPr>
              <w:jc w:val="right"/>
            </w:pPr>
            <w:r>
              <w:rPr>
                <w:rFonts w:asciiTheme="minorEastAsia" w:cs="宋体" w:eastAsiaTheme="minorEastAsia" w:hAnsiTheme="minorEastAsia"/>
                <w:color w:themeColor="text1" w:val="000000"/>
                <w:kern w:val="0"/>
                <w:sz w:val="21"/>
              </w:rPr>
              <w:t>1,268,741</w:t>
            </w:r>
          </w:p>
        </w:tc>
        <w:tc>
          <w:tcPr>
            <w:vAlign w:val="center"/>
          </w:tcPr>
          <w:p>
            <w:pPr>
              <w:jc w:val="right"/>
            </w:pPr>
            <w:r>
              <w:rPr>
                <w:rFonts w:asciiTheme="minorEastAsia" w:cs="宋体" w:eastAsiaTheme="minorEastAsia" w:hAnsiTheme="minorEastAsia"/>
                <w:color w:themeColor="text1" w:val="000000"/>
                <w:kern w:val="0"/>
                <w:sz w:val="21"/>
              </w:rPr>
              <w:t>18,751,991.98</w:t>
            </w:r>
          </w:p>
        </w:tc>
        <w:tc>
          <w:tcPr>
            <w:vAlign w:val="center"/>
          </w:tcPr>
          <w:p>
            <w:pPr>
              <w:jc w:val="right"/>
            </w:pPr>
            <w:r>
              <w:rPr>
                <w:rFonts w:asciiTheme="minorEastAsia" w:cs="宋体" w:eastAsiaTheme="minorEastAsia" w:hAnsiTheme="minorEastAsia"/>
                <w:color w:themeColor="text1" w:val="000000"/>
                <w:kern w:val="0"/>
                <w:sz w:val="21"/>
              </w:rPr>
              <w:t>3.75</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603899</w:t>
            </w:r>
          </w:p>
        </w:tc>
        <w:tc>
          <w:tcPr>
            <w:vAlign w:val="center"/>
          </w:tcPr>
          <w:p>
            <w:pPr>
              <w:jc w:val="center"/>
            </w:pPr>
            <w:r>
              <w:rPr>
                <w:rFonts w:asciiTheme="minorEastAsia" w:cs="宋体" w:eastAsiaTheme="minorEastAsia" w:hAnsiTheme="minorEastAsia"/>
                <w:color w:themeColor="text1" w:val="000000"/>
                <w:kern w:val="0"/>
                <w:sz w:val="21"/>
              </w:rPr>
              <w:t>晨光文具</w:t>
            </w:r>
          </w:p>
        </w:tc>
        <w:tc>
          <w:tcPr>
            <w:vAlign w:val="center"/>
          </w:tcPr>
          <w:p>
            <w:pPr>
              <w:jc w:val="right"/>
            </w:pPr>
            <w:r>
              <w:rPr>
                <w:rFonts w:asciiTheme="minorEastAsia" w:cs="宋体" w:eastAsiaTheme="minorEastAsia" w:hAnsiTheme="minorEastAsia"/>
                <w:color w:themeColor="text1" w:val="000000"/>
                <w:kern w:val="0"/>
                <w:sz w:val="21"/>
              </w:rPr>
              <w:t>349,757</w:t>
            </w:r>
          </w:p>
        </w:tc>
        <w:tc>
          <w:tcPr>
            <w:vAlign w:val="center"/>
          </w:tcPr>
          <w:p>
            <w:pPr>
              <w:jc w:val="right"/>
            </w:pPr>
            <w:r>
              <w:rPr>
                <w:rFonts w:asciiTheme="minorEastAsia" w:cs="宋体" w:eastAsiaTheme="minorEastAsia" w:hAnsiTheme="minorEastAsia"/>
                <w:color w:themeColor="text1" w:val="000000"/>
                <w:kern w:val="0"/>
                <w:sz w:val="21"/>
              </w:rPr>
              <w:t>15,585,171.92</w:t>
            </w:r>
          </w:p>
        </w:tc>
        <w:tc>
          <w:tcPr>
            <w:vAlign w:val="center"/>
          </w:tcPr>
          <w:p>
            <w:pPr>
              <w:jc w:val="right"/>
            </w:pPr>
            <w:r>
              <w:rPr>
                <w:rFonts w:asciiTheme="minorEastAsia" w:cs="宋体" w:eastAsiaTheme="minorEastAsia" w:hAnsiTheme="minorEastAsia"/>
                <w:color w:themeColor="text1" w:val="000000"/>
                <w:kern w:val="0"/>
                <w:sz w:val="21"/>
              </w:rPr>
              <w:t>3.11</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002475</w:t>
            </w:r>
          </w:p>
        </w:tc>
        <w:tc>
          <w:tcPr>
            <w:vAlign w:val="center"/>
          </w:tcPr>
          <w:p>
            <w:pPr>
              <w:jc w:val="center"/>
            </w:pPr>
            <w:r>
              <w:rPr>
                <w:rFonts w:asciiTheme="minorEastAsia" w:cs="宋体" w:eastAsiaTheme="minorEastAsia" w:hAnsiTheme="minorEastAsia"/>
                <w:color w:themeColor="text1" w:val="000000"/>
                <w:kern w:val="0"/>
                <w:sz w:val="21"/>
              </w:rPr>
              <w:t>立讯精密</w:t>
            </w:r>
          </w:p>
        </w:tc>
        <w:tc>
          <w:tcPr>
            <w:vAlign w:val="center"/>
          </w:tcPr>
          <w:p>
            <w:pPr>
              <w:jc w:val="right"/>
            </w:pPr>
            <w:r>
              <w:rPr>
                <w:rFonts w:asciiTheme="minorEastAsia" w:cs="宋体" w:eastAsiaTheme="minorEastAsia" w:hAnsiTheme="minorEastAsia"/>
                <w:color w:themeColor="text1" w:val="000000"/>
                <w:kern w:val="0"/>
                <w:sz w:val="21"/>
              </w:rPr>
              <w:t>571,253</w:t>
            </w:r>
          </w:p>
        </w:tc>
        <w:tc>
          <w:tcPr>
            <w:vAlign w:val="center"/>
          </w:tcPr>
          <w:p>
            <w:pPr>
              <w:jc w:val="right"/>
            </w:pPr>
            <w:r>
              <w:rPr>
                <w:rFonts w:asciiTheme="minorEastAsia" w:cs="宋体" w:eastAsiaTheme="minorEastAsia" w:hAnsiTheme="minorEastAsia"/>
                <w:color w:themeColor="text1" w:val="000000"/>
                <w:kern w:val="0"/>
                <w:sz w:val="21"/>
              </w:rPr>
              <w:t>15,286,730.28</w:t>
            </w:r>
          </w:p>
        </w:tc>
        <w:tc>
          <w:tcPr>
            <w:vAlign w:val="center"/>
          </w:tcPr>
          <w:p>
            <w:pPr>
              <w:jc w:val="right"/>
            </w:pPr>
            <w:r>
              <w:rPr>
                <w:rFonts w:asciiTheme="minorEastAsia" w:cs="宋体" w:eastAsiaTheme="minorEastAsia" w:hAnsiTheme="minorEastAsia"/>
                <w:color w:themeColor="text1" w:val="000000"/>
                <w:kern w:val="0"/>
                <w:sz w:val="21"/>
              </w:rPr>
              <w:t>3.05</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000938</w:t>
            </w:r>
          </w:p>
        </w:tc>
        <w:tc>
          <w:tcPr>
            <w:vAlign w:val="center"/>
          </w:tcPr>
          <w:p>
            <w:pPr>
              <w:jc w:val="center"/>
            </w:pPr>
            <w:r>
              <w:rPr>
                <w:rFonts w:asciiTheme="minorEastAsia" w:cs="宋体" w:eastAsiaTheme="minorEastAsia" w:hAnsiTheme="minorEastAsia"/>
                <w:color w:themeColor="text1" w:val="000000"/>
                <w:kern w:val="0"/>
                <w:sz w:val="21"/>
              </w:rPr>
              <w:t>紫光股份</w:t>
            </w:r>
          </w:p>
        </w:tc>
        <w:tc>
          <w:tcPr>
            <w:vAlign w:val="center"/>
          </w:tcPr>
          <w:p>
            <w:pPr>
              <w:jc w:val="right"/>
            </w:pPr>
            <w:r>
              <w:rPr>
                <w:rFonts w:asciiTheme="minorEastAsia" w:cs="宋体" w:eastAsiaTheme="minorEastAsia" w:hAnsiTheme="minorEastAsia"/>
                <w:color w:themeColor="text1" w:val="000000"/>
                <w:kern w:val="0"/>
                <w:sz w:val="21"/>
              </w:rPr>
              <w:t>469,221</w:t>
            </w:r>
          </w:p>
        </w:tc>
        <w:tc>
          <w:tcPr>
            <w:vAlign w:val="center"/>
          </w:tcPr>
          <w:p>
            <w:pPr>
              <w:jc w:val="right"/>
            </w:pPr>
            <w:r>
              <w:rPr>
                <w:rFonts w:asciiTheme="minorEastAsia" w:cs="宋体" w:eastAsiaTheme="minorEastAsia" w:hAnsiTheme="minorEastAsia"/>
                <w:color w:themeColor="text1" w:val="000000"/>
                <w:kern w:val="0"/>
                <w:sz w:val="21"/>
              </w:rPr>
              <w:t>14,771,077.08</w:t>
            </w:r>
          </w:p>
        </w:tc>
        <w:tc>
          <w:tcPr>
            <w:vAlign w:val="center"/>
          </w:tcPr>
          <w:p>
            <w:pPr>
              <w:jc w:val="right"/>
            </w:pPr>
            <w:r>
              <w:rPr>
                <w:rFonts w:asciiTheme="minorEastAsia" w:cs="宋体" w:eastAsiaTheme="minorEastAsia" w:hAnsiTheme="minorEastAsia"/>
                <w:color w:themeColor="text1" w:val="000000"/>
                <w:kern w:val="0"/>
                <w:sz w:val="21"/>
              </w:rPr>
              <w:t>2.95</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600570</w:t>
            </w:r>
          </w:p>
        </w:tc>
        <w:tc>
          <w:tcPr>
            <w:vAlign w:val="center"/>
          </w:tcPr>
          <w:p>
            <w:pPr>
              <w:jc w:val="center"/>
            </w:pPr>
            <w:r>
              <w:rPr>
                <w:rFonts w:asciiTheme="minorEastAsia" w:cs="宋体" w:eastAsiaTheme="minorEastAsia" w:hAnsiTheme="minorEastAsia"/>
                <w:color w:themeColor="text1" w:val="000000"/>
                <w:kern w:val="0"/>
                <w:sz w:val="21"/>
              </w:rPr>
              <w:t>恒生电子</w:t>
            </w:r>
          </w:p>
        </w:tc>
        <w:tc>
          <w:tcPr>
            <w:vAlign w:val="center"/>
          </w:tcPr>
          <w:p>
            <w:pPr>
              <w:jc w:val="right"/>
            </w:pPr>
            <w:r>
              <w:rPr>
                <w:rFonts w:asciiTheme="minorEastAsia" w:cs="宋体" w:eastAsiaTheme="minorEastAsia" w:hAnsiTheme="minorEastAsia"/>
                <w:color w:themeColor="text1" w:val="000000"/>
                <w:kern w:val="0"/>
                <w:sz w:val="21"/>
              </w:rPr>
              <w:t>180,243</w:t>
            </w:r>
          </w:p>
        </w:tc>
        <w:tc>
          <w:tcPr>
            <w:vAlign w:val="center"/>
          </w:tcPr>
          <w:p>
            <w:pPr>
              <w:jc w:val="right"/>
            </w:pPr>
            <w:r>
              <w:rPr>
                <w:rFonts w:asciiTheme="minorEastAsia" w:cs="宋体" w:eastAsiaTheme="minorEastAsia" w:hAnsiTheme="minorEastAsia"/>
                <w:color w:themeColor="text1" w:val="000000"/>
                <w:kern w:val="0"/>
                <w:sz w:val="21"/>
              </w:rPr>
              <w:t>13,325,364.99</w:t>
            </w:r>
          </w:p>
        </w:tc>
        <w:tc>
          <w:tcPr>
            <w:vAlign w:val="center"/>
          </w:tcPr>
          <w:p>
            <w:pPr>
              <w:jc w:val="right"/>
            </w:pPr>
            <w:r>
              <w:rPr>
                <w:rFonts w:asciiTheme="minorEastAsia" w:cs="宋体" w:eastAsiaTheme="minorEastAsia" w:hAnsiTheme="minorEastAsia"/>
                <w:color w:themeColor="text1" w:val="000000"/>
                <w:kern w:val="0"/>
                <w:sz w:val="21"/>
              </w:rPr>
              <w:t>2.66</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601211</w:t>
            </w:r>
          </w:p>
        </w:tc>
        <w:tc>
          <w:tcPr>
            <w:vAlign w:val="center"/>
          </w:tcPr>
          <w:p>
            <w:pPr>
              <w:jc w:val="center"/>
            </w:pPr>
            <w:r>
              <w:rPr>
                <w:rFonts w:asciiTheme="minorEastAsia" w:cs="宋体" w:eastAsiaTheme="minorEastAsia" w:hAnsiTheme="minorEastAsia"/>
                <w:color w:themeColor="text1" w:val="000000"/>
                <w:kern w:val="0"/>
                <w:sz w:val="21"/>
              </w:rPr>
              <w:t>国泰君安</w:t>
            </w:r>
          </w:p>
        </w:tc>
        <w:tc>
          <w:tcPr>
            <w:vAlign w:val="center"/>
          </w:tcPr>
          <w:p>
            <w:pPr>
              <w:jc w:val="right"/>
            </w:pPr>
            <w:r>
              <w:rPr>
                <w:rFonts w:asciiTheme="minorEastAsia" w:cs="宋体" w:eastAsiaTheme="minorEastAsia" w:hAnsiTheme="minorEastAsia"/>
                <w:color w:themeColor="text1" w:val="000000"/>
                <w:kern w:val="0"/>
                <w:sz w:val="21"/>
              </w:rPr>
              <w:t>738,950</w:t>
            </w:r>
          </w:p>
        </w:tc>
        <w:tc>
          <w:tcPr>
            <w:vAlign w:val="center"/>
          </w:tcPr>
          <w:p>
            <w:pPr>
              <w:jc w:val="right"/>
            </w:pPr>
            <w:r>
              <w:rPr>
                <w:rFonts w:asciiTheme="minorEastAsia" w:cs="宋体" w:eastAsiaTheme="minorEastAsia" w:hAnsiTheme="minorEastAsia"/>
                <w:color w:themeColor="text1" w:val="000000"/>
                <w:kern w:val="0"/>
                <w:sz w:val="21"/>
              </w:rPr>
              <w:t>12,983,351.50</w:t>
            </w:r>
          </w:p>
        </w:tc>
        <w:tc>
          <w:tcPr>
            <w:vAlign w:val="center"/>
          </w:tcPr>
          <w:p>
            <w:pPr>
              <w:jc w:val="right"/>
            </w:pPr>
            <w:r>
              <w:rPr>
                <w:rFonts w:asciiTheme="minorEastAsia" w:cs="宋体" w:eastAsiaTheme="minorEastAsia" w:hAnsiTheme="minorEastAsia"/>
                <w:color w:themeColor="text1" w:val="000000"/>
                <w:kern w:val="0"/>
                <w:sz w:val="21"/>
              </w:rPr>
              <w:t>2.59</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242,830.24</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16,041.72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1,046,657.40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1,305,529.36</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本基金本报告期末未持有处于转股期的可转换债券。</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因四舍五入的原因，投资组合报告中分项之和与合计数可能存在尾差。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271,468,291.22</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12,286,068.65</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35,513,630.74</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248,240,729.13</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1. 中国证监会批准上投摩根中小盘混合型证券投资基金设立的文件；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2. 《上投摩根中小盘混合型证券投资基金基金合同》；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3. 《上投摩根中小盘混合型证券投资基金基金托管协议》；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4. 《上投摩根基金管理有限公司开放式基金业务规则》；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5. 基金管理人业务资格批件、营业执照；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 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基金管理人或基金托管人处。</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二〇一九年十月二十五日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上投摩根中小盘混合型证券投资基金2019年第3季度报告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