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摩根全球天然资源混合型证券投资基金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4</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12</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二〇二五年一月二十二日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摩根全球天然资源混合</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378546</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378546</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2012</w:t>
            </w:r>
            <w:r w:rsidRPr="00A3398F">
              <w:rPr>
                <w:rFonts w:eastAsiaTheme="minorEastAsia"/>
                <w:color w:val="000000" w:themeColor="text1"/>
                <w:kern w:val="0"/>
                <w:szCs w:val="21"/>
              </w:rPr>
              <w:t>年</w:t>
            </w:r>
            <w:r w:rsidRPr="00A3398F">
              <w:rPr>
                <w:rFonts w:eastAsiaTheme="minorEastAsia"/>
                <w:color w:val="000000" w:themeColor="text1"/>
                <w:kern w:val="0"/>
                <w:szCs w:val="21"/>
              </w:rPr>
              <w:t>3</w:t>
            </w:r>
            <w:r w:rsidRPr="00A3398F">
              <w:rPr>
                <w:rFonts w:eastAsiaTheme="minorEastAsia"/>
                <w:color w:val="000000" w:themeColor="text1"/>
                <w:kern w:val="0"/>
                <w:szCs w:val="21"/>
              </w:rPr>
              <w:t>月</w:t>
            </w:r>
            <w:r w:rsidRPr="00A3398F">
              <w:rPr>
                <w:rFonts w:eastAsiaTheme="minorEastAsia"/>
                <w:color w:val="000000" w:themeColor="text1"/>
                <w:kern w:val="0"/>
                <w:szCs w:val="21"/>
              </w:rPr>
              <w:t>26</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103,044,821.00</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本基金主要投资于全球范围内从事天然资源的勘探、开发、生产及销售，或是向天然资源行业提供服务的公司的股票，通过积极主动的资产配置和组合管理，在风险可控的前提下以获取长期资产增值。</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CA4759" w:rsidRDefault="0063114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全球天然资源的稀缺与人类对其需求的不断增长的矛盾日益突显，这显示了天然资源具有极大的战略价值，该行业的相关上市公司也具有良好的投资机会。本基金将充分</w:t>
            </w:r>
            <w:r>
              <w:rPr>
                <w:rFonts w:eastAsiaTheme="minorEastAsia"/>
                <w:color w:val="000000" w:themeColor="text1"/>
                <w:kern w:val="0"/>
                <w:szCs w:val="21"/>
              </w:rPr>
              <w:lastRenderedPageBreak/>
              <w:t>分享全球天然资源行业未来的高增长成果，审慎把握全球天然资源的投资机会，争取为投资者带来长期稳健回报。</w:t>
            </w:r>
          </w:p>
          <w:p w:rsidR="00CA4759" w:rsidRDefault="0063114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CA4759" w:rsidRDefault="0063114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w:t>
            </w:r>
          </w:p>
          <w:p w:rsidR="00CA4759" w:rsidRDefault="0063114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CA4759" w:rsidRDefault="0063114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防御及现金替代性管理的需要，适度进行债券投资。本基金将分别对新兴市场和成熟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rsidR="00CA4759" w:rsidRDefault="0063114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、衍生品投资策略</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本基金将以组合避险或有效管理为目标，本着谨慎原则，进行风险识别，适度参与衍生品投资。</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标普全球矿产及能源指数（</w:t>
            </w:r>
            <w:r w:rsidRPr="00A3398F">
              <w:rPr>
                <w:rFonts w:eastAsiaTheme="minorEastAsia"/>
                <w:color w:val="000000" w:themeColor="text1"/>
                <w:kern w:val="0"/>
                <w:szCs w:val="21"/>
              </w:rPr>
              <w:t>S&amp;P Global Mining &amp; Energy Index</w:t>
            </w:r>
            <w:r w:rsidRPr="00A3398F">
              <w:rPr>
                <w:rFonts w:eastAsiaTheme="minorEastAsia"/>
                <w:color w:val="000000" w:themeColor="text1"/>
                <w:kern w:val="0"/>
                <w:szCs w:val="21"/>
              </w:rPr>
              <w:t>）收益率</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CA4759" w:rsidRDefault="0063114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混合型投资基金，主要投资于海外市场的天然资源行业的股票，本基金的业绩表现在大多数的情况下与国际大宗商品价格的走势具有较高的相关性。本基金的预期风险收益水平低于股票型基金，高于债券型基金及货币市场基金，属于较高风险和较高预期收益的基金品种。</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根据</w:t>
            </w:r>
            <w:r w:rsidRPr="00A3398F">
              <w:rPr>
                <w:rFonts w:eastAsiaTheme="minorEastAsia"/>
                <w:color w:val="000000" w:themeColor="text1"/>
                <w:kern w:val="0"/>
                <w:szCs w:val="21"/>
              </w:rPr>
              <w:t>2017</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1</w:t>
            </w:r>
            <w:r w:rsidRPr="00A3398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w:t>
            </w:r>
            <w:r w:rsidRPr="00A3398F">
              <w:rPr>
                <w:rFonts w:eastAsiaTheme="minorEastAsia"/>
                <w:color w:val="000000" w:themeColor="text1"/>
                <w:kern w:val="0"/>
                <w:szCs w:val="21"/>
              </w:rPr>
              <w:lastRenderedPageBreak/>
              <w:t>等级表述可能有相应变化，具体风险评级结果应以基金管理人和销售机构提供的评级结果为准。</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中国银行股份有限公司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Management(UK) Limited</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摩根资产管理（英国）有限公司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Bank of China (Hong Kong) Limited</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中国银行</w:t>
            </w:r>
            <w:r w:rsidRPr="00A3398F">
              <w:rPr>
                <w:rFonts w:eastAsiaTheme="minorEastAsia"/>
                <w:color w:val="000000" w:themeColor="text1"/>
                <w:kern w:val="0"/>
                <w:szCs w:val="21"/>
              </w:rPr>
              <w:t>(</w:t>
            </w:r>
            <w:r w:rsidRPr="00A3398F">
              <w:rPr>
                <w:rFonts w:eastAsiaTheme="minorEastAsia"/>
                <w:color w:val="000000" w:themeColor="text1"/>
                <w:kern w:val="0"/>
                <w:szCs w:val="21"/>
              </w:rPr>
              <w:t>香港</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378546</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019578</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89,044,867.38</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13,999,953.62</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2,174,027.26</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272,628.79</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-7,028,238.92</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-839,390.88</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-0.0799</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-0.0765</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85,177,367.45</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13,676,423.00</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0.9566</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0.9769</w:t>
            </w:r>
          </w:p>
        </w:tc>
      </w:tr>
    </w:tbl>
    <w:p w:rsidR="00CA4759" w:rsidRDefault="0063114E">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上述基金业绩指标不包括持有人认购或交易基金的各项费用（例如，开放式基金的申购赎回费、红利再投资费、基金转换费等），计入费用后实际收益水平要低于所列数字。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摩根全球天然资源混合</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63114E">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63114E" w:rsidTr="0063114E">
        <w:tc>
          <w:tcPr>
            <w:tcW w:w="1290" w:type="dxa"/>
            <w:vAlign w:val="center"/>
          </w:tcPr>
          <w:p w:rsidR="0063114E" w:rsidRDefault="0063114E" w:rsidP="0063114E">
            <w:pPr>
              <w:jc w:val="left"/>
            </w:pPr>
            <w:r>
              <w:rPr>
                <w:rFonts w:eastAsiaTheme="minorEastAsia"/>
                <w:color w:val="000000" w:themeColor="text1"/>
                <w:szCs w:val="21"/>
              </w:rPr>
              <w:t>过去三个月</w:t>
            </w:r>
          </w:p>
        </w:tc>
        <w:tc>
          <w:tcPr>
            <w:tcW w:w="1291" w:type="dxa"/>
            <w:vAlign w:val="center"/>
          </w:tcPr>
          <w:p w:rsidR="0063114E" w:rsidRDefault="0063114E" w:rsidP="0063114E">
            <w:pPr>
              <w:jc w:val="right"/>
            </w:pPr>
            <w:r>
              <w:rPr>
                <w:rFonts w:eastAsiaTheme="minorEastAsia"/>
                <w:color w:val="000000" w:themeColor="text1"/>
                <w:szCs w:val="21"/>
              </w:rPr>
              <w:t>-7.97%</w:t>
            </w:r>
          </w:p>
        </w:tc>
        <w:tc>
          <w:tcPr>
            <w:tcW w:w="1291" w:type="dxa"/>
            <w:vAlign w:val="center"/>
          </w:tcPr>
          <w:p w:rsidR="0063114E" w:rsidRDefault="0063114E" w:rsidP="0063114E">
            <w:pPr>
              <w:jc w:val="right"/>
            </w:pPr>
            <w:r>
              <w:rPr>
                <w:rFonts w:eastAsiaTheme="minorEastAsia"/>
                <w:color w:val="000000" w:themeColor="text1"/>
                <w:szCs w:val="21"/>
              </w:rPr>
              <w:t>0.93%</w:t>
            </w:r>
          </w:p>
        </w:tc>
        <w:tc>
          <w:tcPr>
            <w:tcW w:w="1291" w:type="dxa"/>
            <w:vAlign w:val="center"/>
          </w:tcPr>
          <w:p w:rsidR="0063114E" w:rsidRDefault="0063114E" w:rsidP="0063114E">
            <w:pPr>
              <w:jc w:val="right"/>
            </w:pPr>
            <w:r>
              <w:rPr>
                <w:rFonts w:eastAsiaTheme="minorEastAsia"/>
                <w:color w:val="000000" w:themeColor="text1"/>
                <w:szCs w:val="21"/>
              </w:rPr>
              <w:t>-9.54%</w:t>
            </w:r>
          </w:p>
        </w:tc>
        <w:tc>
          <w:tcPr>
            <w:tcW w:w="1291" w:type="dxa"/>
            <w:vAlign w:val="center"/>
          </w:tcPr>
          <w:p w:rsidR="0063114E" w:rsidRDefault="0063114E" w:rsidP="0063114E">
            <w:pPr>
              <w:jc w:val="right"/>
            </w:pPr>
            <w:r>
              <w:rPr>
                <w:rFonts w:eastAsiaTheme="minorEastAsia"/>
                <w:color w:val="000000" w:themeColor="text1"/>
                <w:szCs w:val="21"/>
              </w:rPr>
              <w:t>0.92%</w:t>
            </w:r>
          </w:p>
        </w:tc>
        <w:tc>
          <w:tcPr>
            <w:tcW w:w="1291" w:type="dxa"/>
            <w:vAlign w:val="center"/>
          </w:tcPr>
          <w:p w:rsidR="0063114E" w:rsidRDefault="0063114E" w:rsidP="0063114E">
            <w:pPr>
              <w:jc w:val="right"/>
            </w:pPr>
            <w:r>
              <w:rPr>
                <w:rFonts w:eastAsiaTheme="minorEastAsia"/>
                <w:color w:val="000000" w:themeColor="text1"/>
                <w:szCs w:val="21"/>
              </w:rPr>
              <w:t>1.57%</w:t>
            </w:r>
          </w:p>
        </w:tc>
        <w:tc>
          <w:tcPr>
            <w:tcW w:w="1291" w:type="dxa"/>
            <w:vAlign w:val="center"/>
          </w:tcPr>
          <w:p w:rsidR="0063114E" w:rsidRDefault="0063114E" w:rsidP="0063114E">
            <w:pPr>
              <w:jc w:val="right"/>
            </w:pPr>
            <w:r>
              <w:rPr>
                <w:rFonts w:eastAsiaTheme="minorEastAsia"/>
                <w:color w:val="000000" w:themeColor="text1"/>
                <w:szCs w:val="21"/>
              </w:rPr>
              <w:t>0.01%</w:t>
            </w:r>
          </w:p>
        </w:tc>
      </w:tr>
      <w:tr w:rsidR="0063114E" w:rsidTr="0063114E">
        <w:tc>
          <w:tcPr>
            <w:tcW w:w="1290" w:type="dxa"/>
            <w:vAlign w:val="center"/>
          </w:tcPr>
          <w:p w:rsidR="0063114E" w:rsidRDefault="0063114E" w:rsidP="0063114E">
            <w:pPr>
              <w:jc w:val="left"/>
            </w:pPr>
            <w:r>
              <w:rPr>
                <w:rFonts w:eastAsiaTheme="minorEastAsia"/>
                <w:color w:val="000000" w:themeColor="text1"/>
                <w:szCs w:val="21"/>
              </w:rPr>
              <w:t>过去六个月</w:t>
            </w:r>
          </w:p>
        </w:tc>
        <w:tc>
          <w:tcPr>
            <w:tcW w:w="1291" w:type="dxa"/>
            <w:vAlign w:val="center"/>
          </w:tcPr>
          <w:p w:rsidR="0063114E" w:rsidRDefault="0063114E" w:rsidP="0063114E">
            <w:pPr>
              <w:jc w:val="right"/>
            </w:pPr>
            <w:r>
              <w:rPr>
                <w:rFonts w:eastAsiaTheme="minorEastAsia"/>
                <w:color w:val="000000" w:themeColor="text1"/>
                <w:szCs w:val="21"/>
              </w:rPr>
              <w:t>-7.28%</w:t>
            </w:r>
          </w:p>
        </w:tc>
        <w:tc>
          <w:tcPr>
            <w:tcW w:w="1291" w:type="dxa"/>
            <w:vAlign w:val="center"/>
          </w:tcPr>
          <w:p w:rsidR="0063114E" w:rsidRDefault="0063114E" w:rsidP="0063114E">
            <w:pPr>
              <w:jc w:val="right"/>
            </w:pPr>
            <w:r>
              <w:rPr>
                <w:rFonts w:eastAsiaTheme="minorEastAsia"/>
                <w:color w:val="000000" w:themeColor="text1"/>
                <w:szCs w:val="21"/>
              </w:rPr>
              <w:t>0.97%</w:t>
            </w:r>
          </w:p>
        </w:tc>
        <w:tc>
          <w:tcPr>
            <w:tcW w:w="1291" w:type="dxa"/>
            <w:vAlign w:val="center"/>
          </w:tcPr>
          <w:p w:rsidR="0063114E" w:rsidRDefault="0063114E" w:rsidP="0063114E">
            <w:pPr>
              <w:jc w:val="right"/>
            </w:pPr>
            <w:r>
              <w:rPr>
                <w:rFonts w:eastAsiaTheme="minorEastAsia"/>
                <w:color w:val="000000" w:themeColor="text1"/>
                <w:szCs w:val="21"/>
              </w:rPr>
              <w:t>-8.16%</w:t>
            </w:r>
          </w:p>
        </w:tc>
        <w:tc>
          <w:tcPr>
            <w:tcW w:w="1291" w:type="dxa"/>
            <w:vAlign w:val="center"/>
          </w:tcPr>
          <w:p w:rsidR="0063114E" w:rsidRDefault="0063114E" w:rsidP="0063114E">
            <w:pPr>
              <w:jc w:val="right"/>
            </w:pPr>
            <w:r>
              <w:rPr>
                <w:rFonts w:eastAsiaTheme="minorEastAsia"/>
                <w:color w:val="000000" w:themeColor="text1"/>
                <w:szCs w:val="21"/>
              </w:rPr>
              <w:t>1.00%</w:t>
            </w:r>
          </w:p>
        </w:tc>
        <w:tc>
          <w:tcPr>
            <w:tcW w:w="1291" w:type="dxa"/>
            <w:vAlign w:val="center"/>
          </w:tcPr>
          <w:p w:rsidR="0063114E" w:rsidRDefault="0063114E" w:rsidP="0063114E">
            <w:pPr>
              <w:jc w:val="right"/>
            </w:pPr>
            <w:r>
              <w:rPr>
                <w:rFonts w:eastAsiaTheme="minorEastAsia"/>
                <w:color w:val="000000" w:themeColor="text1"/>
                <w:szCs w:val="21"/>
              </w:rPr>
              <w:t>0.88%</w:t>
            </w:r>
          </w:p>
        </w:tc>
        <w:tc>
          <w:tcPr>
            <w:tcW w:w="1291" w:type="dxa"/>
            <w:vAlign w:val="center"/>
          </w:tcPr>
          <w:p w:rsidR="0063114E" w:rsidRDefault="0063114E" w:rsidP="0063114E">
            <w:pPr>
              <w:jc w:val="right"/>
            </w:pPr>
            <w:r>
              <w:rPr>
                <w:rFonts w:eastAsiaTheme="minorEastAsia"/>
                <w:color w:val="000000" w:themeColor="text1"/>
                <w:szCs w:val="21"/>
              </w:rPr>
              <w:t>-0.03%</w:t>
            </w:r>
          </w:p>
        </w:tc>
      </w:tr>
      <w:tr w:rsidR="0063114E" w:rsidTr="0063114E">
        <w:tc>
          <w:tcPr>
            <w:tcW w:w="1290" w:type="dxa"/>
            <w:vAlign w:val="center"/>
          </w:tcPr>
          <w:p w:rsidR="0063114E" w:rsidRDefault="0063114E" w:rsidP="0063114E">
            <w:pPr>
              <w:jc w:val="left"/>
            </w:pPr>
            <w:r>
              <w:rPr>
                <w:rFonts w:eastAsiaTheme="minorEastAsia"/>
                <w:color w:val="000000" w:themeColor="text1"/>
                <w:szCs w:val="21"/>
              </w:rPr>
              <w:t>过去一年</w:t>
            </w:r>
          </w:p>
        </w:tc>
        <w:tc>
          <w:tcPr>
            <w:tcW w:w="1291" w:type="dxa"/>
            <w:vAlign w:val="center"/>
          </w:tcPr>
          <w:p w:rsidR="0063114E" w:rsidRDefault="0063114E" w:rsidP="0063114E">
            <w:pPr>
              <w:jc w:val="right"/>
            </w:pPr>
            <w:r>
              <w:rPr>
                <w:rFonts w:eastAsiaTheme="minorEastAsia"/>
                <w:color w:val="000000" w:themeColor="text1"/>
                <w:szCs w:val="21"/>
              </w:rPr>
              <w:t>-5.95%</w:t>
            </w:r>
          </w:p>
        </w:tc>
        <w:tc>
          <w:tcPr>
            <w:tcW w:w="1291" w:type="dxa"/>
            <w:vAlign w:val="center"/>
          </w:tcPr>
          <w:p w:rsidR="0063114E" w:rsidRDefault="0063114E" w:rsidP="0063114E">
            <w:pPr>
              <w:jc w:val="right"/>
            </w:pPr>
            <w:r>
              <w:rPr>
                <w:rFonts w:eastAsiaTheme="minorEastAsia"/>
                <w:color w:val="000000" w:themeColor="text1"/>
                <w:szCs w:val="21"/>
              </w:rPr>
              <w:t>0.92%</w:t>
            </w:r>
          </w:p>
        </w:tc>
        <w:tc>
          <w:tcPr>
            <w:tcW w:w="1291" w:type="dxa"/>
            <w:vAlign w:val="center"/>
          </w:tcPr>
          <w:p w:rsidR="0063114E" w:rsidRDefault="0063114E" w:rsidP="0063114E">
            <w:pPr>
              <w:jc w:val="right"/>
            </w:pPr>
            <w:r>
              <w:rPr>
                <w:rFonts w:eastAsiaTheme="minorEastAsia"/>
                <w:color w:val="000000" w:themeColor="text1"/>
                <w:szCs w:val="21"/>
              </w:rPr>
              <w:t>-5.04%</w:t>
            </w:r>
          </w:p>
        </w:tc>
        <w:tc>
          <w:tcPr>
            <w:tcW w:w="1291" w:type="dxa"/>
            <w:vAlign w:val="center"/>
          </w:tcPr>
          <w:p w:rsidR="0063114E" w:rsidRDefault="0063114E" w:rsidP="0063114E">
            <w:pPr>
              <w:jc w:val="right"/>
            </w:pPr>
            <w:r>
              <w:rPr>
                <w:rFonts w:eastAsiaTheme="minorEastAsia"/>
                <w:color w:val="000000" w:themeColor="text1"/>
                <w:szCs w:val="21"/>
              </w:rPr>
              <w:t>0.96%</w:t>
            </w:r>
          </w:p>
        </w:tc>
        <w:tc>
          <w:tcPr>
            <w:tcW w:w="1291" w:type="dxa"/>
            <w:vAlign w:val="center"/>
          </w:tcPr>
          <w:p w:rsidR="0063114E" w:rsidRDefault="0063114E" w:rsidP="0063114E">
            <w:pPr>
              <w:jc w:val="right"/>
            </w:pPr>
            <w:r>
              <w:rPr>
                <w:rFonts w:eastAsiaTheme="minorEastAsia"/>
                <w:color w:val="000000" w:themeColor="text1"/>
                <w:szCs w:val="21"/>
              </w:rPr>
              <w:t>-0.91%</w:t>
            </w:r>
          </w:p>
        </w:tc>
        <w:tc>
          <w:tcPr>
            <w:tcW w:w="1291" w:type="dxa"/>
            <w:vAlign w:val="center"/>
          </w:tcPr>
          <w:p w:rsidR="0063114E" w:rsidRDefault="0063114E" w:rsidP="0063114E">
            <w:pPr>
              <w:jc w:val="right"/>
            </w:pPr>
            <w:r>
              <w:rPr>
                <w:rFonts w:eastAsiaTheme="minorEastAsia"/>
                <w:color w:val="000000" w:themeColor="text1"/>
                <w:szCs w:val="21"/>
              </w:rPr>
              <w:t>-0.04%</w:t>
            </w:r>
          </w:p>
        </w:tc>
      </w:tr>
      <w:tr w:rsidR="0063114E" w:rsidTr="0063114E">
        <w:tc>
          <w:tcPr>
            <w:tcW w:w="1290" w:type="dxa"/>
            <w:vAlign w:val="center"/>
          </w:tcPr>
          <w:p w:rsidR="0063114E" w:rsidRDefault="0063114E" w:rsidP="0063114E">
            <w:pPr>
              <w:jc w:val="left"/>
            </w:pPr>
            <w:r>
              <w:rPr>
                <w:rFonts w:eastAsiaTheme="minorEastAsia"/>
                <w:color w:val="000000" w:themeColor="text1"/>
                <w:szCs w:val="21"/>
              </w:rPr>
              <w:t>过去三年</w:t>
            </w:r>
          </w:p>
        </w:tc>
        <w:tc>
          <w:tcPr>
            <w:tcW w:w="1291" w:type="dxa"/>
            <w:vAlign w:val="center"/>
          </w:tcPr>
          <w:p w:rsidR="0063114E" w:rsidRDefault="0063114E" w:rsidP="0063114E">
            <w:pPr>
              <w:jc w:val="right"/>
            </w:pPr>
            <w:r>
              <w:rPr>
                <w:rFonts w:eastAsiaTheme="minorEastAsia"/>
                <w:color w:val="000000" w:themeColor="text1"/>
                <w:szCs w:val="21"/>
              </w:rPr>
              <w:t>19.95%</w:t>
            </w:r>
          </w:p>
        </w:tc>
        <w:tc>
          <w:tcPr>
            <w:tcW w:w="1291" w:type="dxa"/>
            <w:vAlign w:val="center"/>
          </w:tcPr>
          <w:p w:rsidR="0063114E" w:rsidRDefault="0063114E" w:rsidP="0063114E">
            <w:pPr>
              <w:jc w:val="right"/>
            </w:pPr>
            <w:r>
              <w:rPr>
                <w:rFonts w:eastAsiaTheme="minorEastAsia"/>
                <w:color w:val="000000" w:themeColor="text1"/>
                <w:szCs w:val="21"/>
              </w:rPr>
              <w:t>1.32%</w:t>
            </w:r>
          </w:p>
        </w:tc>
        <w:tc>
          <w:tcPr>
            <w:tcW w:w="1291" w:type="dxa"/>
            <w:vAlign w:val="center"/>
          </w:tcPr>
          <w:p w:rsidR="0063114E" w:rsidRDefault="0063114E" w:rsidP="0063114E">
            <w:pPr>
              <w:jc w:val="right"/>
            </w:pPr>
            <w:r>
              <w:rPr>
                <w:rFonts w:eastAsiaTheme="minorEastAsia"/>
                <w:color w:val="000000" w:themeColor="text1"/>
                <w:szCs w:val="21"/>
              </w:rPr>
              <w:t>21.18%</w:t>
            </w:r>
          </w:p>
        </w:tc>
        <w:tc>
          <w:tcPr>
            <w:tcW w:w="1291" w:type="dxa"/>
            <w:vAlign w:val="center"/>
          </w:tcPr>
          <w:p w:rsidR="0063114E" w:rsidRDefault="0063114E" w:rsidP="0063114E">
            <w:pPr>
              <w:jc w:val="right"/>
            </w:pPr>
            <w:r>
              <w:rPr>
                <w:rFonts w:eastAsiaTheme="minorEastAsia"/>
                <w:color w:val="000000" w:themeColor="text1"/>
                <w:szCs w:val="21"/>
              </w:rPr>
              <w:t>1.30%</w:t>
            </w:r>
          </w:p>
        </w:tc>
        <w:tc>
          <w:tcPr>
            <w:tcW w:w="1291" w:type="dxa"/>
            <w:vAlign w:val="center"/>
          </w:tcPr>
          <w:p w:rsidR="0063114E" w:rsidRDefault="0063114E" w:rsidP="0063114E">
            <w:pPr>
              <w:jc w:val="right"/>
            </w:pPr>
            <w:r>
              <w:rPr>
                <w:rFonts w:eastAsiaTheme="minorEastAsia"/>
                <w:color w:val="000000" w:themeColor="text1"/>
                <w:szCs w:val="21"/>
              </w:rPr>
              <w:t>-1.23%</w:t>
            </w:r>
          </w:p>
        </w:tc>
        <w:tc>
          <w:tcPr>
            <w:tcW w:w="1291" w:type="dxa"/>
            <w:vAlign w:val="center"/>
          </w:tcPr>
          <w:p w:rsidR="0063114E" w:rsidRDefault="0063114E" w:rsidP="0063114E">
            <w:pPr>
              <w:jc w:val="right"/>
            </w:pPr>
            <w:r>
              <w:rPr>
                <w:rFonts w:eastAsiaTheme="minorEastAsia"/>
                <w:color w:val="000000" w:themeColor="text1"/>
                <w:szCs w:val="21"/>
              </w:rPr>
              <w:t>0.02%</w:t>
            </w:r>
          </w:p>
        </w:tc>
      </w:tr>
      <w:tr w:rsidR="0063114E" w:rsidTr="0063114E">
        <w:tc>
          <w:tcPr>
            <w:tcW w:w="1290" w:type="dxa"/>
            <w:vAlign w:val="center"/>
          </w:tcPr>
          <w:p w:rsidR="0063114E" w:rsidRDefault="0063114E" w:rsidP="0063114E">
            <w:pPr>
              <w:jc w:val="left"/>
            </w:pPr>
            <w:r>
              <w:rPr>
                <w:rFonts w:eastAsiaTheme="minorEastAsia"/>
                <w:color w:val="000000" w:themeColor="text1"/>
                <w:szCs w:val="21"/>
              </w:rPr>
              <w:t>过去五年</w:t>
            </w:r>
          </w:p>
        </w:tc>
        <w:tc>
          <w:tcPr>
            <w:tcW w:w="1291" w:type="dxa"/>
            <w:vAlign w:val="center"/>
          </w:tcPr>
          <w:p w:rsidR="0063114E" w:rsidRDefault="0063114E" w:rsidP="0063114E">
            <w:pPr>
              <w:jc w:val="right"/>
            </w:pPr>
            <w:r>
              <w:rPr>
                <w:rFonts w:eastAsiaTheme="minorEastAsia"/>
                <w:color w:val="000000" w:themeColor="text1"/>
                <w:szCs w:val="21"/>
              </w:rPr>
              <w:t>29.45%</w:t>
            </w:r>
          </w:p>
        </w:tc>
        <w:tc>
          <w:tcPr>
            <w:tcW w:w="1291" w:type="dxa"/>
            <w:vAlign w:val="center"/>
          </w:tcPr>
          <w:p w:rsidR="0063114E" w:rsidRDefault="0063114E" w:rsidP="0063114E">
            <w:pPr>
              <w:jc w:val="right"/>
            </w:pPr>
            <w:r>
              <w:rPr>
                <w:rFonts w:eastAsiaTheme="minorEastAsia"/>
                <w:color w:val="000000" w:themeColor="text1"/>
                <w:szCs w:val="21"/>
              </w:rPr>
              <w:t>1.48%</w:t>
            </w:r>
          </w:p>
        </w:tc>
        <w:tc>
          <w:tcPr>
            <w:tcW w:w="1291" w:type="dxa"/>
            <w:vAlign w:val="center"/>
          </w:tcPr>
          <w:p w:rsidR="0063114E" w:rsidRDefault="0063114E" w:rsidP="0063114E">
            <w:pPr>
              <w:jc w:val="right"/>
            </w:pPr>
            <w:r>
              <w:rPr>
                <w:rFonts w:eastAsiaTheme="minorEastAsia"/>
                <w:color w:val="000000" w:themeColor="text1"/>
                <w:szCs w:val="21"/>
              </w:rPr>
              <w:t>44.71%</w:t>
            </w:r>
          </w:p>
        </w:tc>
        <w:tc>
          <w:tcPr>
            <w:tcW w:w="1291" w:type="dxa"/>
            <w:vAlign w:val="center"/>
          </w:tcPr>
          <w:p w:rsidR="0063114E" w:rsidRDefault="0063114E" w:rsidP="0063114E">
            <w:pPr>
              <w:jc w:val="right"/>
            </w:pPr>
            <w:r>
              <w:rPr>
                <w:rFonts w:eastAsiaTheme="minorEastAsia"/>
                <w:color w:val="000000" w:themeColor="text1"/>
                <w:szCs w:val="21"/>
              </w:rPr>
              <w:t>1.55%</w:t>
            </w:r>
          </w:p>
        </w:tc>
        <w:tc>
          <w:tcPr>
            <w:tcW w:w="1291" w:type="dxa"/>
            <w:vAlign w:val="center"/>
          </w:tcPr>
          <w:p w:rsidR="0063114E" w:rsidRDefault="0063114E" w:rsidP="0063114E">
            <w:pPr>
              <w:jc w:val="right"/>
            </w:pPr>
            <w:r>
              <w:rPr>
                <w:rFonts w:eastAsiaTheme="minorEastAsia"/>
                <w:color w:val="000000" w:themeColor="text1"/>
                <w:szCs w:val="21"/>
              </w:rPr>
              <w:t>-15.26%</w:t>
            </w:r>
          </w:p>
        </w:tc>
        <w:tc>
          <w:tcPr>
            <w:tcW w:w="1291" w:type="dxa"/>
            <w:vAlign w:val="center"/>
          </w:tcPr>
          <w:p w:rsidR="0063114E" w:rsidRDefault="0063114E" w:rsidP="0063114E">
            <w:pPr>
              <w:jc w:val="right"/>
            </w:pPr>
            <w:r>
              <w:rPr>
                <w:rFonts w:eastAsiaTheme="minorEastAsia"/>
                <w:color w:val="000000" w:themeColor="text1"/>
                <w:szCs w:val="21"/>
              </w:rPr>
              <w:t>-0.07%</w:t>
            </w:r>
          </w:p>
        </w:tc>
      </w:tr>
      <w:tr w:rsidR="0063114E" w:rsidTr="0063114E">
        <w:tc>
          <w:tcPr>
            <w:tcW w:w="1290" w:type="dxa"/>
            <w:vAlign w:val="center"/>
          </w:tcPr>
          <w:p w:rsidR="0063114E" w:rsidRDefault="0063114E" w:rsidP="0063114E">
            <w:pPr>
              <w:jc w:val="left"/>
            </w:pPr>
            <w:r>
              <w:rPr>
                <w:rFonts w:eastAsiaTheme="minorEastAsia"/>
                <w:color w:val="000000" w:themeColor="text1"/>
                <w:szCs w:val="21"/>
              </w:rPr>
              <w:t>自基金合同生效起至今</w:t>
            </w:r>
          </w:p>
        </w:tc>
        <w:tc>
          <w:tcPr>
            <w:tcW w:w="1291" w:type="dxa"/>
            <w:vAlign w:val="center"/>
          </w:tcPr>
          <w:p w:rsidR="0063114E" w:rsidRDefault="0063114E" w:rsidP="0063114E">
            <w:pPr>
              <w:jc w:val="right"/>
            </w:pPr>
            <w:r>
              <w:rPr>
                <w:rFonts w:eastAsiaTheme="minorEastAsia"/>
                <w:color w:val="000000" w:themeColor="text1"/>
                <w:szCs w:val="21"/>
              </w:rPr>
              <w:t>-4.34%</w:t>
            </w:r>
          </w:p>
        </w:tc>
        <w:tc>
          <w:tcPr>
            <w:tcW w:w="1291" w:type="dxa"/>
            <w:vAlign w:val="center"/>
          </w:tcPr>
          <w:p w:rsidR="0063114E" w:rsidRDefault="0063114E" w:rsidP="0063114E">
            <w:pPr>
              <w:jc w:val="right"/>
            </w:pPr>
            <w:r>
              <w:rPr>
                <w:rFonts w:eastAsiaTheme="minorEastAsia"/>
                <w:color w:val="000000" w:themeColor="text1"/>
                <w:szCs w:val="21"/>
              </w:rPr>
              <w:t>1.27%</w:t>
            </w:r>
          </w:p>
        </w:tc>
        <w:tc>
          <w:tcPr>
            <w:tcW w:w="1291" w:type="dxa"/>
            <w:vAlign w:val="center"/>
          </w:tcPr>
          <w:p w:rsidR="0063114E" w:rsidRDefault="0063114E" w:rsidP="0063114E">
            <w:pPr>
              <w:jc w:val="right"/>
            </w:pPr>
            <w:r>
              <w:rPr>
                <w:rFonts w:eastAsiaTheme="minorEastAsia"/>
                <w:color w:val="000000" w:themeColor="text1"/>
                <w:szCs w:val="21"/>
              </w:rPr>
              <w:t>63.67%</w:t>
            </w:r>
          </w:p>
        </w:tc>
        <w:tc>
          <w:tcPr>
            <w:tcW w:w="1291" w:type="dxa"/>
            <w:vAlign w:val="center"/>
          </w:tcPr>
          <w:p w:rsidR="0063114E" w:rsidRDefault="0063114E" w:rsidP="0063114E">
            <w:pPr>
              <w:jc w:val="right"/>
            </w:pPr>
            <w:r>
              <w:rPr>
                <w:rFonts w:eastAsiaTheme="minorEastAsia"/>
                <w:color w:val="000000" w:themeColor="text1"/>
                <w:szCs w:val="21"/>
              </w:rPr>
              <w:t>1.37%</w:t>
            </w:r>
          </w:p>
        </w:tc>
        <w:tc>
          <w:tcPr>
            <w:tcW w:w="1291" w:type="dxa"/>
            <w:vAlign w:val="center"/>
          </w:tcPr>
          <w:p w:rsidR="0063114E" w:rsidRDefault="0063114E" w:rsidP="0063114E">
            <w:pPr>
              <w:jc w:val="right"/>
            </w:pPr>
            <w:r>
              <w:rPr>
                <w:rFonts w:eastAsiaTheme="minorEastAsia"/>
                <w:color w:val="000000" w:themeColor="text1"/>
                <w:szCs w:val="21"/>
              </w:rPr>
              <w:t>-68.01%</w:t>
            </w:r>
          </w:p>
        </w:tc>
        <w:tc>
          <w:tcPr>
            <w:tcW w:w="1291" w:type="dxa"/>
            <w:vAlign w:val="center"/>
          </w:tcPr>
          <w:p w:rsidR="0063114E" w:rsidRDefault="0063114E" w:rsidP="0063114E">
            <w:pPr>
              <w:jc w:val="right"/>
            </w:pPr>
            <w:r>
              <w:rPr>
                <w:rFonts w:eastAsiaTheme="minorEastAsia"/>
                <w:color w:val="000000" w:themeColor="text1"/>
                <w:szCs w:val="21"/>
              </w:rPr>
              <w:t>-0.10%</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摩根全球天然资源混合</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63114E">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63114E" w:rsidTr="0063114E">
        <w:tc>
          <w:tcPr>
            <w:tcW w:w="1290" w:type="dxa"/>
            <w:vAlign w:val="center"/>
          </w:tcPr>
          <w:p w:rsidR="0063114E" w:rsidRDefault="0063114E" w:rsidP="0063114E">
            <w:pPr>
              <w:jc w:val="left"/>
            </w:pPr>
            <w:r>
              <w:rPr>
                <w:rFonts w:eastAsiaTheme="minorEastAsia"/>
                <w:color w:val="000000" w:themeColor="text1"/>
                <w:szCs w:val="21"/>
              </w:rPr>
              <w:t>过去三个月</w:t>
            </w:r>
          </w:p>
        </w:tc>
        <w:tc>
          <w:tcPr>
            <w:tcW w:w="1291" w:type="dxa"/>
            <w:vAlign w:val="center"/>
          </w:tcPr>
          <w:p w:rsidR="0063114E" w:rsidRDefault="0063114E" w:rsidP="0063114E">
            <w:pPr>
              <w:jc w:val="right"/>
            </w:pPr>
            <w:r>
              <w:rPr>
                <w:rFonts w:eastAsiaTheme="minorEastAsia"/>
                <w:color w:val="000000" w:themeColor="text1"/>
                <w:szCs w:val="21"/>
              </w:rPr>
              <w:t>-8.07%</w:t>
            </w:r>
          </w:p>
        </w:tc>
        <w:tc>
          <w:tcPr>
            <w:tcW w:w="1291" w:type="dxa"/>
            <w:vAlign w:val="center"/>
          </w:tcPr>
          <w:p w:rsidR="0063114E" w:rsidRDefault="0063114E" w:rsidP="0063114E">
            <w:pPr>
              <w:jc w:val="right"/>
            </w:pPr>
            <w:r>
              <w:rPr>
                <w:rFonts w:eastAsiaTheme="minorEastAsia"/>
                <w:color w:val="000000" w:themeColor="text1"/>
                <w:szCs w:val="21"/>
              </w:rPr>
              <w:t>0.93%</w:t>
            </w:r>
          </w:p>
        </w:tc>
        <w:tc>
          <w:tcPr>
            <w:tcW w:w="1291" w:type="dxa"/>
            <w:vAlign w:val="center"/>
          </w:tcPr>
          <w:p w:rsidR="0063114E" w:rsidRDefault="0063114E" w:rsidP="0063114E">
            <w:pPr>
              <w:jc w:val="right"/>
            </w:pPr>
            <w:r>
              <w:rPr>
                <w:rFonts w:eastAsiaTheme="minorEastAsia"/>
                <w:color w:val="000000" w:themeColor="text1"/>
                <w:szCs w:val="21"/>
              </w:rPr>
              <w:t>-9.54%</w:t>
            </w:r>
          </w:p>
        </w:tc>
        <w:tc>
          <w:tcPr>
            <w:tcW w:w="1291" w:type="dxa"/>
            <w:vAlign w:val="center"/>
          </w:tcPr>
          <w:p w:rsidR="0063114E" w:rsidRDefault="0063114E" w:rsidP="0063114E">
            <w:pPr>
              <w:jc w:val="right"/>
            </w:pPr>
            <w:r>
              <w:rPr>
                <w:rFonts w:eastAsiaTheme="minorEastAsia"/>
                <w:color w:val="000000" w:themeColor="text1"/>
                <w:szCs w:val="21"/>
              </w:rPr>
              <w:t>0.92%</w:t>
            </w:r>
          </w:p>
        </w:tc>
        <w:tc>
          <w:tcPr>
            <w:tcW w:w="1291" w:type="dxa"/>
            <w:vAlign w:val="center"/>
          </w:tcPr>
          <w:p w:rsidR="0063114E" w:rsidRDefault="0063114E" w:rsidP="0063114E">
            <w:pPr>
              <w:jc w:val="right"/>
            </w:pPr>
            <w:r>
              <w:rPr>
                <w:rFonts w:eastAsiaTheme="minorEastAsia"/>
                <w:color w:val="000000" w:themeColor="text1"/>
                <w:szCs w:val="21"/>
              </w:rPr>
              <w:t>1.47%</w:t>
            </w:r>
          </w:p>
        </w:tc>
        <w:tc>
          <w:tcPr>
            <w:tcW w:w="1291" w:type="dxa"/>
            <w:vAlign w:val="center"/>
          </w:tcPr>
          <w:p w:rsidR="0063114E" w:rsidRDefault="0063114E" w:rsidP="0063114E">
            <w:pPr>
              <w:jc w:val="right"/>
            </w:pPr>
            <w:r>
              <w:rPr>
                <w:rFonts w:eastAsiaTheme="minorEastAsia"/>
                <w:color w:val="000000" w:themeColor="text1"/>
                <w:szCs w:val="21"/>
              </w:rPr>
              <w:t>0.01%</w:t>
            </w:r>
          </w:p>
        </w:tc>
      </w:tr>
      <w:tr w:rsidR="0063114E" w:rsidTr="0063114E">
        <w:tc>
          <w:tcPr>
            <w:tcW w:w="1290" w:type="dxa"/>
            <w:vAlign w:val="center"/>
          </w:tcPr>
          <w:p w:rsidR="0063114E" w:rsidRDefault="0063114E" w:rsidP="0063114E">
            <w:pPr>
              <w:jc w:val="left"/>
            </w:pPr>
            <w:r>
              <w:rPr>
                <w:rFonts w:eastAsiaTheme="minorEastAsia"/>
                <w:color w:val="000000" w:themeColor="text1"/>
                <w:szCs w:val="21"/>
              </w:rPr>
              <w:t>过去六个月</w:t>
            </w:r>
          </w:p>
        </w:tc>
        <w:tc>
          <w:tcPr>
            <w:tcW w:w="1291" w:type="dxa"/>
            <w:vAlign w:val="center"/>
          </w:tcPr>
          <w:p w:rsidR="0063114E" w:rsidRDefault="0063114E" w:rsidP="0063114E">
            <w:pPr>
              <w:jc w:val="right"/>
            </w:pPr>
            <w:r>
              <w:rPr>
                <w:rFonts w:eastAsiaTheme="minorEastAsia"/>
                <w:color w:val="000000" w:themeColor="text1"/>
                <w:szCs w:val="21"/>
              </w:rPr>
              <w:t>-7.49%</w:t>
            </w:r>
          </w:p>
        </w:tc>
        <w:tc>
          <w:tcPr>
            <w:tcW w:w="1291" w:type="dxa"/>
            <w:vAlign w:val="center"/>
          </w:tcPr>
          <w:p w:rsidR="0063114E" w:rsidRDefault="0063114E" w:rsidP="0063114E">
            <w:pPr>
              <w:jc w:val="right"/>
            </w:pPr>
            <w:r>
              <w:rPr>
                <w:rFonts w:eastAsiaTheme="minorEastAsia"/>
                <w:color w:val="000000" w:themeColor="text1"/>
                <w:szCs w:val="21"/>
              </w:rPr>
              <w:t>0.98%</w:t>
            </w:r>
          </w:p>
        </w:tc>
        <w:tc>
          <w:tcPr>
            <w:tcW w:w="1291" w:type="dxa"/>
            <w:vAlign w:val="center"/>
          </w:tcPr>
          <w:p w:rsidR="0063114E" w:rsidRDefault="0063114E" w:rsidP="0063114E">
            <w:pPr>
              <w:jc w:val="right"/>
            </w:pPr>
            <w:r>
              <w:rPr>
                <w:rFonts w:eastAsiaTheme="minorEastAsia"/>
                <w:color w:val="000000" w:themeColor="text1"/>
                <w:szCs w:val="21"/>
              </w:rPr>
              <w:t>-8.16%</w:t>
            </w:r>
          </w:p>
        </w:tc>
        <w:tc>
          <w:tcPr>
            <w:tcW w:w="1291" w:type="dxa"/>
            <w:vAlign w:val="center"/>
          </w:tcPr>
          <w:p w:rsidR="0063114E" w:rsidRDefault="0063114E" w:rsidP="0063114E">
            <w:pPr>
              <w:jc w:val="right"/>
            </w:pPr>
            <w:r>
              <w:rPr>
                <w:rFonts w:eastAsiaTheme="minorEastAsia"/>
                <w:color w:val="000000" w:themeColor="text1"/>
                <w:szCs w:val="21"/>
              </w:rPr>
              <w:t>1.00%</w:t>
            </w:r>
          </w:p>
        </w:tc>
        <w:tc>
          <w:tcPr>
            <w:tcW w:w="1291" w:type="dxa"/>
            <w:vAlign w:val="center"/>
          </w:tcPr>
          <w:p w:rsidR="0063114E" w:rsidRDefault="0063114E" w:rsidP="0063114E">
            <w:pPr>
              <w:jc w:val="right"/>
            </w:pPr>
            <w:r>
              <w:rPr>
                <w:rFonts w:eastAsiaTheme="minorEastAsia"/>
                <w:color w:val="000000" w:themeColor="text1"/>
                <w:szCs w:val="21"/>
              </w:rPr>
              <w:t>0.67%</w:t>
            </w:r>
          </w:p>
        </w:tc>
        <w:tc>
          <w:tcPr>
            <w:tcW w:w="1291" w:type="dxa"/>
            <w:vAlign w:val="center"/>
          </w:tcPr>
          <w:p w:rsidR="0063114E" w:rsidRDefault="0063114E" w:rsidP="0063114E">
            <w:pPr>
              <w:jc w:val="right"/>
            </w:pPr>
            <w:r>
              <w:rPr>
                <w:rFonts w:eastAsiaTheme="minorEastAsia"/>
                <w:color w:val="000000" w:themeColor="text1"/>
                <w:szCs w:val="21"/>
              </w:rPr>
              <w:t>-0.02%</w:t>
            </w:r>
          </w:p>
        </w:tc>
      </w:tr>
      <w:tr w:rsidR="0063114E" w:rsidTr="0063114E">
        <w:tc>
          <w:tcPr>
            <w:tcW w:w="1290" w:type="dxa"/>
            <w:vAlign w:val="center"/>
          </w:tcPr>
          <w:p w:rsidR="0063114E" w:rsidRDefault="0063114E" w:rsidP="0063114E">
            <w:pPr>
              <w:jc w:val="left"/>
            </w:pPr>
            <w:r>
              <w:rPr>
                <w:rFonts w:eastAsiaTheme="minorEastAsia"/>
                <w:color w:val="000000" w:themeColor="text1"/>
                <w:szCs w:val="21"/>
              </w:rPr>
              <w:t>过去一年</w:t>
            </w:r>
          </w:p>
        </w:tc>
        <w:tc>
          <w:tcPr>
            <w:tcW w:w="1291" w:type="dxa"/>
            <w:vAlign w:val="center"/>
          </w:tcPr>
          <w:p w:rsidR="0063114E" w:rsidRDefault="0063114E" w:rsidP="0063114E">
            <w:pPr>
              <w:jc w:val="right"/>
            </w:pPr>
            <w:r>
              <w:rPr>
                <w:rFonts w:eastAsiaTheme="minorEastAsia"/>
                <w:color w:val="000000" w:themeColor="text1"/>
                <w:szCs w:val="21"/>
              </w:rPr>
              <w:t>-6.44%</w:t>
            </w:r>
          </w:p>
        </w:tc>
        <w:tc>
          <w:tcPr>
            <w:tcW w:w="1291" w:type="dxa"/>
            <w:vAlign w:val="center"/>
          </w:tcPr>
          <w:p w:rsidR="0063114E" w:rsidRDefault="0063114E" w:rsidP="0063114E">
            <w:pPr>
              <w:jc w:val="right"/>
            </w:pPr>
            <w:r>
              <w:rPr>
                <w:rFonts w:eastAsiaTheme="minorEastAsia"/>
                <w:color w:val="000000" w:themeColor="text1"/>
                <w:szCs w:val="21"/>
              </w:rPr>
              <w:t>0.92%</w:t>
            </w:r>
          </w:p>
        </w:tc>
        <w:tc>
          <w:tcPr>
            <w:tcW w:w="1291" w:type="dxa"/>
            <w:vAlign w:val="center"/>
          </w:tcPr>
          <w:p w:rsidR="0063114E" w:rsidRDefault="0063114E" w:rsidP="0063114E">
            <w:pPr>
              <w:jc w:val="right"/>
            </w:pPr>
            <w:r>
              <w:rPr>
                <w:rFonts w:eastAsiaTheme="minorEastAsia"/>
                <w:color w:val="000000" w:themeColor="text1"/>
                <w:szCs w:val="21"/>
              </w:rPr>
              <w:t>-5.04%</w:t>
            </w:r>
          </w:p>
        </w:tc>
        <w:tc>
          <w:tcPr>
            <w:tcW w:w="1291" w:type="dxa"/>
            <w:vAlign w:val="center"/>
          </w:tcPr>
          <w:p w:rsidR="0063114E" w:rsidRDefault="0063114E" w:rsidP="0063114E">
            <w:pPr>
              <w:jc w:val="right"/>
            </w:pPr>
            <w:r>
              <w:rPr>
                <w:rFonts w:eastAsiaTheme="minorEastAsia"/>
                <w:color w:val="000000" w:themeColor="text1"/>
                <w:szCs w:val="21"/>
              </w:rPr>
              <w:t>0.96%</w:t>
            </w:r>
          </w:p>
        </w:tc>
        <w:tc>
          <w:tcPr>
            <w:tcW w:w="1291" w:type="dxa"/>
            <w:vAlign w:val="center"/>
          </w:tcPr>
          <w:p w:rsidR="0063114E" w:rsidRDefault="0063114E" w:rsidP="0063114E">
            <w:pPr>
              <w:jc w:val="right"/>
            </w:pPr>
            <w:r>
              <w:rPr>
                <w:rFonts w:eastAsiaTheme="minorEastAsia"/>
                <w:color w:val="000000" w:themeColor="text1"/>
                <w:szCs w:val="21"/>
              </w:rPr>
              <w:t>-1.40%</w:t>
            </w:r>
          </w:p>
        </w:tc>
        <w:tc>
          <w:tcPr>
            <w:tcW w:w="1291" w:type="dxa"/>
            <w:vAlign w:val="center"/>
          </w:tcPr>
          <w:p w:rsidR="0063114E" w:rsidRDefault="0063114E" w:rsidP="0063114E">
            <w:pPr>
              <w:jc w:val="right"/>
            </w:pPr>
            <w:r>
              <w:rPr>
                <w:rFonts w:eastAsiaTheme="minorEastAsia"/>
                <w:color w:val="000000" w:themeColor="text1"/>
                <w:szCs w:val="21"/>
              </w:rPr>
              <w:t>-0.04%</w:t>
            </w:r>
          </w:p>
        </w:tc>
      </w:tr>
      <w:tr w:rsidR="0063114E" w:rsidTr="0063114E">
        <w:tc>
          <w:tcPr>
            <w:tcW w:w="1290" w:type="dxa"/>
            <w:vAlign w:val="center"/>
          </w:tcPr>
          <w:p w:rsidR="0063114E" w:rsidRDefault="0063114E" w:rsidP="0063114E">
            <w:pPr>
              <w:jc w:val="left"/>
            </w:pPr>
            <w:r>
              <w:rPr>
                <w:rFonts w:eastAsiaTheme="minorEastAsia"/>
                <w:color w:val="000000" w:themeColor="text1"/>
                <w:szCs w:val="21"/>
              </w:rPr>
              <w:t>过去三年</w:t>
            </w:r>
          </w:p>
        </w:tc>
        <w:tc>
          <w:tcPr>
            <w:tcW w:w="1291" w:type="dxa"/>
            <w:vAlign w:val="center"/>
          </w:tcPr>
          <w:p w:rsidR="0063114E" w:rsidRDefault="0063114E" w:rsidP="0063114E">
            <w:pPr>
              <w:jc w:val="right"/>
            </w:pPr>
            <w:r>
              <w:rPr>
                <w:rFonts w:eastAsiaTheme="minorEastAsia"/>
                <w:color w:val="000000" w:themeColor="text1"/>
                <w:szCs w:val="21"/>
              </w:rPr>
              <w:t>-</w:t>
            </w:r>
          </w:p>
        </w:tc>
        <w:tc>
          <w:tcPr>
            <w:tcW w:w="1291" w:type="dxa"/>
            <w:vAlign w:val="center"/>
          </w:tcPr>
          <w:p w:rsidR="0063114E" w:rsidRDefault="0063114E" w:rsidP="0063114E">
            <w:pPr>
              <w:jc w:val="right"/>
            </w:pPr>
            <w:r>
              <w:rPr>
                <w:rFonts w:eastAsiaTheme="minorEastAsia"/>
                <w:color w:val="000000" w:themeColor="text1"/>
                <w:szCs w:val="21"/>
              </w:rPr>
              <w:t>-</w:t>
            </w:r>
          </w:p>
        </w:tc>
        <w:tc>
          <w:tcPr>
            <w:tcW w:w="1291" w:type="dxa"/>
            <w:vAlign w:val="center"/>
          </w:tcPr>
          <w:p w:rsidR="0063114E" w:rsidRDefault="0063114E" w:rsidP="0063114E">
            <w:pPr>
              <w:jc w:val="right"/>
            </w:pPr>
            <w:r>
              <w:rPr>
                <w:rFonts w:eastAsiaTheme="minorEastAsia"/>
                <w:color w:val="000000" w:themeColor="text1"/>
                <w:szCs w:val="21"/>
              </w:rPr>
              <w:t>-</w:t>
            </w:r>
          </w:p>
        </w:tc>
        <w:tc>
          <w:tcPr>
            <w:tcW w:w="1291" w:type="dxa"/>
            <w:vAlign w:val="center"/>
          </w:tcPr>
          <w:p w:rsidR="0063114E" w:rsidRDefault="0063114E" w:rsidP="0063114E">
            <w:pPr>
              <w:jc w:val="right"/>
            </w:pPr>
            <w:r>
              <w:rPr>
                <w:rFonts w:eastAsiaTheme="minorEastAsia"/>
                <w:color w:val="000000" w:themeColor="text1"/>
                <w:szCs w:val="21"/>
              </w:rPr>
              <w:t>-</w:t>
            </w:r>
          </w:p>
        </w:tc>
        <w:tc>
          <w:tcPr>
            <w:tcW w:w="1291" w:type="dxa"/>
            <w:vAlign w:val="center"/>
          </w:tcPr>
          <w:p w:rsidR="0063114E" w:rsidRDefault="0063114E" w:rsidP="0063114E">
            <w:pPr>
              <w:jc w:val="right"/>
            </w:pPr>
            <w:r>
              <w:rPr>
                <w:rFonts w:eastAsiaTheme="minorEastAsia"/>
                <w:color w:val="000000" w:themeColor="text1"/>
                <w:szCs w:val="21"/>
              </w:rPr>
              <w:t>-</w:t>
            </w:r>
          </w:p>
        </w:tc>
        <w:tc>
          <w:tcPr>
            <w:tcW w:w="1291" w:type="dxa"/>
            <w:vAlign w:val="center"/>
          </w:tcPr>
          <w:p w:rsidR="0063114E" w:rsidRDefault="0063114E" w:rsidP="0063114E">
            <w:pPr>
              <w:jc w:val="right"/>
            </w:pPr>
            <w:r>
              <w:rPr>
                <w:rFonts w:eastAsiaTheme="minorEastAsia"/>
                <w:color w:val="000000" w:themeColor="text1"/>
                <w:szCs w:val="21"/>
              </w:rPr>
              <w:t>-</w:t>
            </w:r>
          </w:p>
        </w:tc>
      </w:tr>
      <w:tr w:rsidR="0063114E" w:rsidTr="0063114E">
        <w:tc>
          <w:tcPr>
            <w:tcW w:w="1290" w:type="dxa"/>
            <w:vAlign w:val="center"/>
          </w:tcPr>
          <w:p w:rsidR="0063114E" w:rsidRDefault="0063114E" w:rsidP="0063114E">
            <w:pPr>
              <w:jc w:val="left"/>
            </w:pPr>
            <w:r>
              <w:rPr>
                <w:rFonts w:eastAsiaTheme="minorEastAsia"/>
                <w:color w:val="000000" w:themeColor="text1"/>
                <w:szCs w:val="21"/>
              </w:rPr>
              <w:t>过去五年</w:t>
            </w:r>
          </w:p>
        </w:tc>
        <w:tc>
          <w:tcPr>
            <w:tcW w:w="1291" w:type="dxa"/>
            <w:vAlign w:val="center"/>
          </w:tcPr>
          <w:p w:rsidR="0063114E" w:rsidRDefault="0063114E" w:rsidP="0063114E">
            <w:pPr>
              <w:jc w:val="right"/>
            </w:pPr>
            <w:r>
              <w:rPr>
                <w:rFonts w:eastAsiaTheme="minorEastAsia"/>
                <w:color w:val="000000" w:themeColor="text1"/>
                <w:szCs w:val="21"/>
              </w:rPr>
              <w:t>-</w:t>
            </w:r>
          </w:p>
        </w:tc>
        <w:tc>
          <w:tcPr>
            <w:tcW w:w="1291" w:type="dxa"/>
            <w:vAlign w:val="center"/>
          </w:tcPr>
          <w:p w:rsidR="0063114E" w:rsidRDefault="0063114E" w:rsidP="0063114E">
            <w:pPr>
              <w:jc w:val="right"/>
            </w:pPr>
            <w:r>
              <w:rPr>
                <w:rFonts w:eastAsiaTheme="minorEastAsia"/>
                <w:color w:val="000000" w:themeColor="text1"/>
                <w:szCs w:val="21"/>
              </w:rPr>
              <w:t>-</w:t>
            </w:r>
          </w:p>
        </w:tc>
        <w:tc>
          <w:tcPr>
            <w:tcW w:w="1291" w:type="dxa"/>
            <w:vAlign w:val="center"/>
          </w:tcPr>
          <w:p w:rsidR="0063114E" w:rsidRDefault="0063114E" w:rsidP="0063114E">
            <w:pPr>
              <w:jc w:val="right"/>
            </w:pPr>
            <w:r>
              <w:rPr>
                <w:rFonts w:eastAsiaTheme="minorEastAsia"/>
                <w:color w:val="000000" w:themeColor="text1"/>
                <w:szCs w:val="21"/>
              </w:rPr>
              <w:t>-</w:t>
            </w:r>
          </w:p>
        </w:tc>
        <w:tc>
          <w:tcPr>
            <w:tcW w:w="1291" w:type="dxa"/>
            <w:vAlign w:val="center"/>
          </w:tcPr>
          <w:p w:rsidR="0063114E" w:rsidRDefault="0063114E" w:rsidP="0063114E">
            <w:pPr>
              <w:jc w:val="right"/>
            </w:pPr>
            <w:r>
              <w:rPr>
                <w:rFonts w:eastAsiaTheme="minorEastAsia"/>
                <w:color w:val="000000" w:themeColor="text1"/>
                <w:szCs w:val="21"/>
              </w:rPr>
              <w:t>-</w:t>
            </w:r>
          </w:p>
        </w:tc>
        <w:tc>
          <w:tcPr>
            <w:tcW w:w="1291" w:type="dxa"/>
            <w:vAlign w:val="center"/>
          </w:tcPr>
          <w:p w:rsidR="0063114E" w:rsidRDefault="0063114E" w:rsidP="0063114E">
            <w:pPr>
              <w:jc w:val="right"/>
            </w:pPr>
            <w:r>
              <w:rPr>
                <w:rFonts w:eastAsiaTheme="minorEastAsia"/>
                <w:color w:val="000000" w:themeColor="text1"/>
                <w:szCs w:val="21"/>
              </w:rPr>
              <w:t>-</w:t>
            </w:r>
          </w:p>
        </w:tc>
        <w:tc>
          <w:tcPr>
            <w:tcW w:w="1291" w:type="dxa"/>
            <w:vAlign w:val="center"/>
          </w:tcPr>
          <w:p w:rsidR="0063114E" w:rsidRDefault="0063114E" w:rsidP="0063114E">
            <w:pPr>
              <w:jc w:val="right"/>
            </w:pPr>
            <w:r>
              <w:rPr>
                <w:rFonts w:eastAsiaTheme="minorEastAsia"/>
                <w:color w:val="000000" w:themeColor="text1"/>
                <w:szCs w:val="21"/>
              </w:rPr>
              <w:t>-</w:t>
            </w:r>
          </w:p>
        </w:tc>
      </w:tr>
      <w:tr w:rsidR="0063114E" w:rsidTr="0063114E">
        <w:tc>
          <w:tcPr>
            <w:tcW w:w="1290" w:type="dxa"/>
            <w:vAlign w:val="center"/>
          </w:tcPr>
          <w:p w:rsidR="0063114E" w:rsidRDefault="0063114E" w:rsidP="0063114E">
            <w:pPr>
              <w:jc w:val="left"/>
            </w:pPr>
            <w:r>
              <w:rPr>
                <w:rFonts w:eastAsiaTheme="minorEastAsia"/>
                <w:color w:val="000000" w:themeColor="text1"/>
                <w:szCs w:val="21"/>
              </w:rPr>
              <w:t>自基金合同生效起至今</w:t>
            </w:r>
          </w:p>
        </w:tc>
        <w:tc>
          <w:tcPr>
            <w:tcW w:w="1291" w:type="dxa"/>
            <w:vAlign w:val="center"/>
          </w:tcPr>
          <w:p w:rsidR="0063114E" w:rsidRDefault="0063114E" w:rsidP="0063114E">
            <w:pPr>
              <w:jc w:val="right"/>
            </w:pPr>
            <w:r>
              <w:rPr>
                <w:rFonts w:eastAsiaTheme="minorEastAsia"/>
                <w:color w:val="000000" w:themeColor="text1"/>
                <w:szCs w:val="21"/>
              </w:rPr>
              <w:t>-2.26%</w:t>
            </w:r>
          </w:p>
        </w:tc>
        <w:tc>
          <w:tcPr>
            <w:tcW w:w="1291" w:type="dxa"/>
            <w:vAlign w:val="center"/>
          </w:tcPr>
          <w:p w:rsidR="0063114E" w:rsidRDefault="0063114E" w:rsidP="0063114E">
            <w:pPr>
              <w:jc w:val="right"/>
            </w:pPr>
            <w:r>
              <w:rPr>
                <w:rFonts w:eastAsiaTheme="minorEastAsia"/>
                <w:color w:val="000000" w:themeColor="text1"/>
                <w:szCs w:val="21"/>
              </w:rPr>
              <w:t>0.93%</w:t>
            </w:r>
          </w:p>
        </w:tc>
        <w:tc>
          <w:tcPr>
            <w:tcW w:w="1291" w:type="dxa"/>
            <w:vAlign w:val="center"/>
          </w:tcPr>
          <w:p w:rsidR="0063114E" w:rsidRDefault="0063114E" w:rsidP="0063114E">
            <w:pPr>
              <w:jc w:val="right"/>
            </w:pPr>
            <w:r>
              <w:rPr>
                <w:rFonts w:eastAsiaTheme="minorEastAsia"/>
                <w:color w:val="000000" w:themeColor="text1"/>
                <w:szCs w:val="21"/>
              </w:rPr>
              <w:t>-2.39%</w:t>
            </w:r>
          </w:p>
        </w:tc>
        <w:tc>
          <w:tcPr>
            <w:tcW w:w="1291" w:type="dxa"/>
            <w:vAlign w:val="center"/>
          </w:tcPr>
          <w:p w:rsidR="0063114E" w:rsidRDefault="0063114E" w:rsidP="0063114E">
            <w:pPr>
              <w:jc w:val="right"/>
            </w:pPr>
            <w:r>
              <w:rPr>
                <w:rFonts w:eastAsiaTheme="minorEastAsia"/>
                <w:color w:val="000000" w:themeColor="text1"/>
                <w:szCs w:val="21"/>
              </w:rPr>
              <w:t>0.98%</w:t>
            </w:r>
          </w:p>
        </w:tc>
        <w:tc>
          <w:tcPr>
            <w:tcW w:w="1291" w:type="dxa"/>
            <w:vAlign w:val="center"/>
          </w:tcPr>
          <w:p w:rsidR="0063114E" w:rsidRDefault="0063114E" w:rsidP="0063114E">
            <w:pPr>
              <w:jc w:val="right"/>
            </w:pPr>
            <w:r>
              <w:rPr>
                <w:rFonts w:eastAsiaTheme="minorEastAsia"/>
                <w:color w:val="000000" w:themeColor="text1"/>
                <w:szCs w:val="21"/>
              </w:rPr>
              <w:t>0.13%</w:t>
            </w:r>
          </w:p>
        </w:tc>
        <w:tc>
          <w:tcPr>
            <w:tcW w:w="1291" w:type="dxa"/>
            <w:vAlign w:val="center"/>
          </w:tcPr>
          <w:p w:rsidR="0063114E" w:rsidRDefault="0063114E" w:rsidP="0063114E">
            <w:pPr>
              <w:jc w:val="right"/>
            </w:pPr>
            <w:r>
              <w:rPr>
                <w:rFonts w:eastAsiaTheme="minorEastAsia"/>
                <w:color w:val="000000" w:themeColor="text1"/>
                <w:szCs w:val="21"/>
              </w:rPr>
              <w:t>-0.05%</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摩根全球天然资源混合型证券投资基金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2012</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3</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26</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12</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CA4759">
        <w:tc>
          <w:tcPr>
            <w:tcW w:w="851" w:type="dxa"/>
            <w:vAlign w:val="center"/>
          </w:tcPr>
          <w:p w:rsidR="00CA4759" w:rsidRDefault="0063114E">
            <w:pPr>
              <w:jc w:val="center"/>
            </w:pPr>
            <w:r>
              <w:rPr>
                <w:rFonts w:eastAsiaTheme="minorEastAsia"/>
                <w:color w:val="000000" w:themeColor="text1"/>
                <w:szCs w:val="21"/>
              </w:rPr>
              <w:t>张军</w:t>
            </w:r>
          </w:p>
        </w:tc>
        <w:tc>
          <w:tcPr>
            <w:tcW w:w="850" w:type="dxa"/>
            <w:vAlign w:val="center"/>
          </w:tcPr>
          <w:p w:rsidR="00CA4759" w:rsidRDefault="0063114E">
            <w:pPr>
              <w:jc w:val="center"/>
            </w:pPr>
            <w:r>
              <w:rPr>
                <w:rFonts w:eastAsiaTheme="minorEastAsia"/>
                <w:color w:val="000000" w:themeColor="text1"/>
                <w:szCs w:val="21"/>
              </w:rPr>
              <w:t>本基金基金经理</w:t>
            </w:r>
          </w:p>
        </w:tc>
        <w:tc>
          <w:tcPr>
            <w:tcW w:w="1560" w:type="dxa"/>
            <w:vAlign w:val="center"/>
          </w:tcPr>
          <w:p w:rsidR="00CA4759" w:rsidRDefault="0063114E">
            <w:pPr>
              <w:jc w:val="center"/>
            </w:pPr>
            <w:r>
              <w:rPr>
                <w:rFonts w:eastAsiaTheme="minorEastAsia"/>
                <w:color w:val="000000" w:themeColor="text1"/>
                <w:szCs w:val="21"/>
              </w:rPr>
              <w:t>2012-03-26</w:t>
            </w:r>
          </w:p>
        </w:tc>
        <w:tc>
          <w:tcPr>
            <w:tcW w:w="1559" w:type="dxa"/>
            <w:vAlign w:val="center"/>
          </w:tcPr>
          <w:p w:rsidR="00CA4759" w:rsidRDefault="0063114E">
            <w:pPr>
              <w:jc w:val="center"/>
            </w:pPr>
            <w:r>
              <w:rPr>
                <w:rFonts w:eastAsiaTheme="minorEastAsia"/>
                <w:color w:val="000000" w:themeColor="text1"/>
                <w:szCs w:val="21"/>
              </w:rPr>
              <w:t>-</w:t>
            </w:r>
          </w:p>
        </w:tc>
        <w:tc>
          <w:tcPr>
            <w:tcW w:w="1417" w:type="dxa"/>
            <w:vAlign w:val="center"/>
          </w:tcPr>
          <w:p w:rsidR="00CA4759" w:rsidRDefault="0063114E">
            <w:pPr>
              <w:jc w:val="center"/>
            </w:pPr>
            <w:r>
              <w:rPr>
                <w:rFonts w:eastAsiaTheme="minorEastAsia"/>
                <w:color w:val="000000" w:themeColor="text1"/>
                <w:szCs w:val="21"/>
              </w:rPr>
              <w:t>21</w:t>
            </w:r>
            <w:r>
              <w:rPr>
                <w:rFonts w:eastAsiaTheme="minorEastAsia"/>
                <w:color w:val="000000" w:themeColor="text1"/>
                <w:szCs w:val="21"/>
              </w:rPr>
              <w:t>年（金融领域从业经验</w:t>
            </w:r>
            <w:r>
              <w:rPr>
                <w:rFonts w:eastAsiaTheme="minorEastAsia"/>
                <w:color w:val="000000" w:themeColor="text1"/>
                <w:szCs w:val="21"/>
              </w:rPr>
              <w:t>32</w:t>
            </w:r>
            <w:r>
              <w:rPr>
                <w:rFonts w:eastAsiaTheme="minorEastAsia"/>
                <w:color w:val="000000" w:themeColor="text1"/>
                <w:szCs w:val="21"/>
              </w:rPr>
              <w:t>年）</w:t>
            </w:r>
          </w:p>
        </w:tc>
        <w:tc>
          <w:tcPr>
            <w:tcW w:w="2694" w:type="dxa"/>
            <w:vAlign w:val="center"/>
          </w:tcPr>
          <w:p w:rsidR="00CA4759" w:rsidRDefault="0063114E">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CA4759" w:rsidRDefault="0063114E">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CA4759" w:rsidRDefault="0063114E">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张军先生担任本基金首任基金经理的任职日期为本基金基金合同生效之日；</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rsidTr="00EE1749">
        <w:tc>
          <w:tcPr>
            <w:tcW w:w="959"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rsidTr="00EE1749">
        <w:tc>
          <w:tcPr>
            <w:tcW w:w="959" w:type="dxa"/>
            <w:vMerge w:val="restart"/>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9,550,950,927.28</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31,225,466.11</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9,582,176,393.39</w:t>
            </w:r>
          </w:p>
        </w:tc>
        <w:tc>
          <w:tcPr>
            <w:tcW w:w="1381" w:type="dxa"/>
            <w:tcBorders>
              <w:top w:val="single" w:sz="4" w:space="0" w:color="auto"/>
              <w:left w:val="single" w:sz="4" w:space="0" w:color="auto"/>
              <w:bottom w:val="single" w:sz="4" w:space="0" w:color="auto"/>
              <w:right w:val="single" w:sz="4" w:space="0" w:color="auto"/>
            </w:tcBorders>
          </w:tcPr>
          <w:p w:rsidR="00EE1749" w:rsidRPr="00A3398F" w:rsidRDefault="00EE1749">
            <w:pPr>
              <w:spacing w:line="288" w:lineRule="auto"/>
              <w:jc w:val="left"/>
              <w:rPr>
                <w:rFonts w:eastAsiaTheme="minorEastAsia"/>
                <w:color w:val="000000"/>
                <w:szCs w:val="21"/>
              </w:rPr>
            </w:pPr>
          </w:p>
        </w:tc>
      </w:tr>
      <w:bookmarkEnd w:id="2"/>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473"/>
        <w:gridCol w:w="1470"/>
        <w:gridCol w:w="629"/>
        <w:gridCol w:w="4941"/>
      </w:tblGrid>
      <w:tr w:rsidR="008277FF" w:rsidRPr="00A3398F" w:rsidTr="00797DD2">
        <w:tc>
          <w:tcPr>
            <w:tcW w:w="2129"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CA4759">
        <w:tc>
          <w:tcPr>
            <w:tcW w:w="0" w:type="auto"/>
            <w:vAlign w:val="center"/>
          </w:tcPr>
          <w:p w:rsidR="00CA4759" w:rsidRDefault="0063114E">
            <w:pPr>
              <w:jc w:val="center"/>
            </w:pPr>
            <w:r>
              <w:rPr>
                <w:rFonts w:eastAsiaTheme="minorEastAsia"/>
                <w:color w:val="000000" w:themeColor="text1"/>
                <w:szCs w:val="21"/>
              </w:rPr>
              <w:t>Veronika Lysogorskaya</w:t>
            </w:r>
          </w:p>
        </w:tc>
        <w:tc>
          <w:tcPr>
            <w:tcW w:w="0" w:type="auto"/>
            <w:vAlign w:val="center"/>
          </w:tcPr>
          <w:p w:rsidR="00CA4759" w:rsidRDefault="0063114E">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w:t>
            </w:r>
            <w:r>
              <w:rPr>
                <w:rFonts w:eastAsiaTheme="minorEastAsia"/>
                <w:color w:val="000000" w:themeColor="text1"/>
                <w:szCs w:val="21"/>
              </w:rPr>
              <w:lastRenderedPageBreak/>
              <w:t>董事，位于伦敦的新兴市场和亚太股票团队的自然资源分析师</w:t>
            </w:r>
          </w:p>
        </w:tc>
        <w:tc>
          <w:tcPr>
            <w:tcW w:w="0" w:type="auto"/>
            <w:vAlign w:val="center"/>
          </w:tcPr>
          <w:p w:rsidR="00CA4759" w:rsidRDefault="0063114E">
            <w:pPr>
              <w:jc w:val="center"/>
            </w:pPr>
            <w:r>
              <w:rPr>
                <w:rFonts w:eastAsiaTheme="minorEastAsia"/>
                <w:color w:val="000000" w:themeColor="text1"/>
                <w:szCs w:val="21"/>
              </w:rPr>
              <w:lastRenderedPageBreak/>
              <w:t>19</w:t>
            </w:r>
            <w:r>
              <w:rPr>
                <w:rFonts w:eastAsiaTheme="minorEastAsia"/>
                <w:color w:val="000000" w:themeColor="text1"/>
                <w:szCs w:val="21"/>
              </w:rPr>
              <w:t>年</w:t>
            </w:r>
          </w:p>
        </w:tc>
        <w:tc>
          <w:tcPr>
            <w:tcW w:w="0" w:type="auto"/>
            <w:vAlign w:val="center"/>
          </w:tcPr>
          <w:p w:rsidR="00CA4759" w:rsidRDefault="0063114E">
            <w:pPr>
              <w:jc w:val="left"/>
            </w:pPr>
            <w:r>
              <w:rPr>
                <w:rFonts w:eastAsiaTheme="minorEastAsia"/>
                <w:color w:val="000000" w:themeColor="text1"/>
                <w:szCs w:val="21"/>
              </w:rPr>
              <w:t>Veronika Lysogorskaya</w:t>
            </w:r>
            <w:r>
              <w:rPr>
                <w:rFonts w:eastAsiaTheme="minorEastAsia"/>
                <w:color w:val="000000" w:themeColor="text1"/>
                <w:szCs w:val="21"/>
              </w:rPr>
              <w:t>，执行董事，是位于伦敦的国际股票团队投资经理以及新兴市场和亚太股票团队</w:t>
            </w:r>
            <w:r>
              <w:rPr>
                <w:rFonts w:eastAsiaTheme="minorEastAsia"/>
                <w:color w:val="000000" w:themeColor="text1"/>
                <w:szCs w:val="21"/>
              </w:rPr>
              <w:lastRenderedPageBreak/>
              <w:t>的自然资源分析师。</w:t>
            </w:r>
            <w:r>
              <w:rPr>
                <w:rFonts w:eastAsiaTheme="minorEastAsia"/>
                <w:color w:val="000000" w:themeColor="text1"/>
                <w:szCs w:val="21"/>
              </w:rPr>
              <w:t>Veronika</w:t>
            </w:r>
            <w:r>
              <w:rPr>
                <w:rFonts w:eastAsiaTheme="minorEastAsia"/>
                <w:color w:val="000000" w:themeColor="text1"/>
                <w:szCs w:val="21"/>
              </w:rPr>
              <w:t>自</w:t>
            </w:r>
            <w:r>
              <w:rPr>
                <w:rFonts w:eastAsiaTheme="minorEastAsia"/>
                <w:color w:val="000000" w:themeColor="text1"/>
                <w:szCs w:val="21"/>
              </w:rPr>
              <w:t>2010</w:t>
            </w:r>
            <w:r>
              <w:rPr>
                <w:rFonts w:eastAsiaTheme="minorEastAsia"/>
                <w:color w:val="000000" w:themeColor="text1"/>
                <w:szCs w:val="21"/>
              </w:rPr>
              <w:t>年加入公司，之前曾在伦敦的汇丰银行工作，担任中欧、东欧、中东和非洲（</w:t>
            </w:r>
            <w:r>
              <w:rPr>
                <w:rFonts w:eastAsiaTheme="minorEastAsia"/>
                <w:color w:val="000000" w:themeColor="text1"/>
                <w:szCs w:val="21"/>
              </w:rPr>
              <w:t>CEMEA</w:t>
            </w:r>
            <w:r>
              <w:rPr>
                <w:rFonts w:eastAsiaTheme="minorEastAsia"/>
                <w:color w:val="000000" w:themeColor="text1"/>
                <w:szCs w:val="21"/>
              </w:rPr>
              <w:t>）地区金属和矿业部门的分析师。在此之前，她曾在莫斯科的</w:t>
            </w:r>
            <w:r>
              <w:rPr>
                <w:rFonts w:eastAsiaTheme="minorEastAsia"/>
                <w:color w:val="000000" w:themeColor="text1"/>
                <w:szCs w:val="21"/>
              </w:rPr>
              <w:t>ING</w:t>
            </w:r>
            <w:r>
              <w:rPr>
                <w:rFonts w:eastAsiaTheme="minorEastAsia"/>
                <w:color w:val="000000" w:themeColor="text1"/>
                <w:szCs w:val="21"/>
              </w:rPr>
              <w:t>担任初级股票研究分析师。</w:t>
            </w:r>
            <w:r>
              <w:rPr>
                <w:rFonts w:eastAsiaTheme="minorEastAsia"/>
                <w:color w:val="000000" w:themeColor="text1"/>
                <w:szCs w:val="21"/>
              </w:rPr>
              <w:t>Veronika</w:t>
            </w:r>
            <w:r>
              <w:rPr>
                <w:rFonts w:eastAsiaTheme="minorEastAsia"/>
                <w:color w:val="000000" w:themeColor="text1"/>
                <w:szCs w:val="21"/>
              </w:rPr>
              <w:t>在俄罗斯莫斯科的国立大学高等经济学院获得金融学位。</w:t>
            </w:r>
          </w:p>
        </w:tc>
      </w:tr>
      <w:tr w:rsidR="00CA4759">
        <w:tc>
          <w:tcPr>
            <w:tcW w:w="0" w:type="auto"/>
            <w:vAlign w:val="center"/>
          </w:tcPr>
          <w:p w:rsidR="00CA4759" w:rsidRDefault="0063114E">
            <w:pPr>
              <w:jc w:val="center"/>
            </w:pPr>
            <w:r>
              <w:rPr>
                <w:rFonts w:eastAsiaTheme="minorEastAsia"/>
                <w:color w:val="000000" w:themeColor="text1"/>
                <w:szCs w:val="21"/>
              </w:rPr>
              <w:lastRenderedPageBreak/>
              <w:t>Christopher Korpan</w:t>
            </w:r>
          </w:p>
        </w:tc>
        <w:tc>
          <w:tcPr>
            <w:tcW w:w="0" w:type="auto"/>
            <w:vAlign w:val="center"/>
          </w:tcPr>
          <w:p w:rsidR="00CA4759" w:rsidRDefault="0063114E">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执行董事，投资组合经理，国际股票集团的全球行业专家</w:t>
            </w:r>
          </w:p>
        </w:tc>
        <w:tc>
          <w:tcPr>
            <w:tcW w:w="0" w:type="auto"/>
            <w:vAlign w:val="center"/>
          </w:tcPr>
          <w:p w:rsidR="00CA4759" w:rsidRDefault="0063114E">
            <w:pPr>
              <w:jc w:val="center"/>
            </w:pPr>
            <w:r>
              <w:rPr>
                <w:rFonts w:eastAsiaTheme="minorEastAsia"/>
                <w:color w:val="000000" w:themeColor="text1"/>
                <w:szCs w:val="21"/>
              </w:rPr>
              <w:t>20</w:t>
            </w:r>
            <w:r>
              <w:rPr>
                <w:rFonts w:eastAsiaTheme="minorEastAsia"/>
                <w:color w:val="000000" w:themeColor="text1"/>
                <w:szCs w:val="21"/>
              </w:rPr>
              <w:t>年</w:t>
            </w:r>
          </w:p>
        </w:tc>
        <w:tc>
          <w:tcPr>
            <w:tcW w:w="0" w:type="auto"/>
            <w:vAlign w:val="center"/>
          </w:tcPr>
          <w:p w:rsidR="00CA4759" w:rsidRDefault="0063114E">
            <w:pPr>
              <w:jc w:val="left"/>
            </w:pPr>
            <w:r>
              <w:rPr>
                <w:rFonts w:eastAsiaTheme="minorEastAsia"/>
                <w:color w:val="000000" w:themeColor="text1"/>
                <w:szCs w:val="21"/>
              </w:rPr>
              <w:t>Christopher Korpan</w:t>
            </w:r>
            <w:r>
              <w:rPr>
                <w:rFonts w:eastAsiaTheme="minorEastAsia"/>
                <w:color w:val="000000" w:themeColor="text1"/>
                <w:szCs w:val="21"/>
              </w:rPr>
              <w:t>，执行董事，是位于伦敦国际股票团队的全球行业专家以及投资经理，自</w:t>
            </w:r>
            <w:r>
              <w:rPr>
                <w:rFonts w:eastAsiaTheme="minorEastAsia"/>
                <w:color w:val="000000" w:themeColor="text1"/>
                <w:szCs w:val="21"/>
              </w:rPr>
              <w:t>2010</w:t>
            </w:r>
            <w:r>
              <w:rPr>
                <w:rFonts w:eastAsiaTheme="minorEastAsia"/>
                <w:color w:val="000000" w:themeColor="text1"/>
                <w:szCs w:val="21"/>
              </w:rPr>
              <w:t>年加入公司以来，一直专门研究自然资源中的材料领域。之前曾在加拿大伦丁矿业公司担任业务分析师，并在贝马黄金公司担任地质学家。</w:t>
            </w:r>
            <w:r>
              <w:rPr>
                <w:rFonts w:eastAsiaTheme="minorEastAsia"/>
                <w:color w:val="000000" w:themeColor="text1"/>
                <w:szCs w:val="21"/>
              </w:rPr>
              <w:t xml:space="preserve">Christopher </w:t>
            </w:r>
            <w:r>
              <w:rPr>
                <w:rFonts w:eastAsiaTheme="minorEastAsia"/>
                <w:color w:val="000000" w:themeColor="text1"/>
                <w:szCs w:val="21"/>
              </w:rPr>
              <w:t>拥有伦敦帝国理工学院的金属和能源金融硕士学位以及爱丁堡大学的地质（荣誉）理学学士学位，并且是特许金融分析师。</w:t>
            </w:r>
          </w:p>
        </w:tc>
      </w:tr>
    </w:tbl>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lastRenderedPageBreak/>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全球资源类股票在报告期内震荡下行。基金的投资组合在北美市场的超配创造了正超额收益，而在英国市场的投资表现较弱。</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10</w:t>
      </w:r>
      <w:r>
        <w:rPr>
          <w:rFonts w:eastAsiaTheme="minorEastAsia"/>
          <w:color w:val="000000" w:themeColor="text1"/>
          <w:szCs w:val="21"/>
        </w:rPr>
        <w:t>月初，中东地区地缘冲突再度升级，特别是沙特阿拉伯和伊朗之间的紧张局势，导致市场对原油供应中断的担忧加剧，布伦特原油价格一度突破</w:t>
      </w:r>
      <w:r>
        <w:rPr>
          <w:rFonts w:eastAsiaTheme="minorEastAsia"/>
          <w:color w:val="000000" w:themeColor="text1"/>
          <w:szCs w:val="21"/>
        </w:rPr>
        <w:t>80</w:t>
      </w:r>
      <w:r>
        <w:rPr>
          <w:rFonts w:eastAsiaTheme="minorEastAsia"/>
          <w:color w:val="000000" w:themeColor="text1"/>
          <w:szCs w:val="21"/>
        </w:rPr>
        <w:t>美元</w:t>
      </w:r>
      <w:r>
        <w:rPr>
          <w:rFonts w:eastAsiaTheme="minorEastAsia"/>
          <w:color w:val="000000" w:themeColor="text1"/>
          <w:szCs w:val="21"/>
        </w:rPr>
        <w:t>/</w:t>
      </w:r>
      <w:r>
        <w:rPr>
          <w:rFonts w:eastAsiaTheme="minorEastAsia"/>
          <w:color w:val="000000" w:themeColor="text1"/>
          <w:szCs w:val="21"/>
        </w:rPr>
        <w:t>桶。然而，随着紧张局势的缓解，油价开始逐步回落。</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OPEC+</w:t>
      </w:r>
      <w:r>
        <w:rPr>
          <w:rFonts w:eastAsiaTheme="minorEastAsia"/>
          <w:color w:val="000000" w:themeColor="text1"/>
          <w:szCs w:val="21"/>
        </w:rPr>
        <w:t>会议决定维持现有产量政策不变，市场对供应过剩的担忧加剧，油价继续承压。此外，美国原油库存增幅超预期，进一步打压了油价。</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在</w:t>
      </w:r>
      <w:r>
        <w:rPr>
          <w:rFonts w:eastAsiaTheme="minorEastAsia"/>
          <w:color w:val="000000" w:themeColor="text1"/>
          <w:szCs w:val="21"/>
        </w:rPr>
        <w:t>11</w:t>
      </w:r>
      <w:r>
        <w:rPr>
          <w:rFonts w:eastAsiaTheme="minorEastAsia"/>
          <w:color w:val="000000" w:themeColor="text1"/>
          <w:szCs w:val="21"/>
        </w:rPr>
        <w:t>月的美国总统大选上，特朗普再次当选总统，市场出现了</w:t>
      </w:r>
      <w:r>
        <w:rPr>
          <w:rFonts w:eastAsiaTheme="minorEastAsia"/>
          <w:color w:val="000000" w:themeColor="text1"/>
          <w:szCs w:val="21"/>
        </w:rPr>
        <w:t>“</w:t>
      </w:r>
      <w:r>
        <w:rPr>
          <w:rFonts w:eastAsiaTheme="minorEastAsia"/>
          <w:color w:val="000000" w:themeColor="text1"/>
          <w:szCs w:val="21"/>
        </w:rPr>
        <w:t>特朗普交易</w:t>
      </w:r>
      <w:r>
        <w:rPr>
          <w:rFonts w:eastAsiaTheme="minorEastAsia"/>
          <w:color w:val="000000" w:themeColor="text1"/>
          <w:szCs w:val="21"/>
        </w:rPr>
        <w:t>”</w:t>
      </w:r>
      <w:r>
        <w:rPr>
          <w:rFonts w:eastAsiaTheme="minorEastAsia"/>
          <w:color w:val="000000" w:themeColor="text1"/>
          <w:szCs w:val="21"/>
        </w:rPr>
        <w:t>现象，特朗普的政策主张包括放松监管、减税、贸易保护等，这些主张的影响表现为</w:t>
      </w:r>
      <w:r>
        <w:rPr>
          <w:rFonts w:eastAsiaTheme="minorEastAsia"/>
          <w:color w:val="000000" w:themeColor="text1"/>
          <w:szCs w:val="21"/>
        </w:rPr>
        <w:t>“</w:t>
      </w:r>
      <w:r>
        <w:rPr>
          <w:rFonts w:eastAsiaTheme="minorEastAsia"/>
          <w:color w:val="000000" w:themeColor="text1"/>
          <w:szCs w:val="21"/>
        </w:rPr>
        <w:t>美元偏强、黄金中性、利率</w:t>
      </w:r>
      <w:r>
        <w:rPr>
          <w:rFonts w:eastAsiaTheme="minorEastAsia"/>
          <w:color w:val="000000" w:themeColor="text1"/>
          <w:szCs w:val="21"/>
        </w:rPr>
        <w:t>/</w:t>
      </w:r>
      <w:r>
        <w:rPr>
          <w:rFonts w:eastAsiaTheme="minorEastAsia"/>
          <w:color w:val="000000" w:themeColor="text1"/>
          <w:szCs w:val="21"/>
        </w:rPr>
        <w:t>通胀预期上行</w:t>
      </w:r>
      <w:r>
        <w:rPr>
          <w:rFonts w:eastAsiaTheme="minorEastAsia"/>
          <w:color w:val="000000" w:themeColor="text1"/>
          <w:szCs w:val="21"/>
        </w:rPr>
        <w:t>”</w:t>
      </w:r>
      <w:r>
        <w:rPr>
          <w:rFonts w:eastAsiaTheme="minorEastAsia"/>
          <w:color w:val="000000" w:themeColor="text1"/>
          <w:szCs w:val="21"/>
        </w:rPr>
        <w:t>。美联储连续两次降息，但是美联储主席鲍威尔的公开发言却被市场解读为偏鹰派立场，即未来的降息幅度和时机具有不确定性，市场预期美联储可能仅再降息</w:t>
      </w:r>
      <w:r>
        <w:rPr>
          <w:rFonts w:eastAsiaTheme="minorEastAsia"/>
          <w:color w:val="000000" w:themeColor="text1"/>
          <w:szCs w:val="21"/>
        </w:rPr>
        <w:t>1-2</w:t>
      </w:r>
      <w:r>
        <w:rPr>
          <w:rFonts w:eastAsiaTheme="minorEastAsia"/>
          <w:color w:val="000000" w:themeColor="text1"/>
          <w:szCs w:val="21"/>
        </w:rPr>
        <w:t>次，甚至不排除重新加息的可能。由此导致美债收益率上扬、美股回调。</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由于中东地区冲突持续，油价在报告期内震荡整理，最终稳定在波动的低位。另一方面，石油输出国组织（</w:t>
      </w:r>
      <w:r>
        <w:rPr>
          <w:rFonts w:eastAsiaTheme="minorEastAsia"/>
          <w:color w:val="000000" w:themeColor="text1"/>
          <w:szCs w:val="21"/>
        </w:rPr>
        <w:t>OPEC</w:t>
      </w:r>
      <w:r>
        <w:rPr>
          <w:rFonts w:eastAsiaTheme="minorEastAsia"/>
          <w:color w:val="000000" w:themeColor="text1"/>
          <w:szCs w:val="21"/>
        </w:rPr>
        <w:t>）进一步下调</w:t>
      </w:r>
      <w:r>
        <w:rPr>
          <w:rFonts w:eastAsiaTheme="minorEastAsia"/>
          <w:color w:val="000000" w:themeColor="text1"/>
          <w:szCs w:val="21"/>
        </w:rPr>
        <w:t>2024</w:t>
      </w:r>
      <w:r>
        <w:rPr>
          <w:rFonts w:eastAsiaTheme="minorEastAsia"/>
          <w:color w:val="000000" w:themeColor="text1"/>
          <w:szCs w:val="21"/>
        </w:rPr>
        <w:t>年和</w:t>
      </w:r>
      <w:r>
        <w:rPr>
          <w:rFonts w:eastAsiaTheme="minorEastAsia"/>
          <w:color w:val="000000" w:themeColor="text1"/>
          <w:szCs w:val="21"/>
        </w:rPr>
        <w:t>2025</w:t>
      </w:r>
      <w:r>
        <w:rPr>
          <w:rFonts w:eastAsiaTheme="minorEastAsia"/>
          <w:color w:val="000000" w:themeColor="text1"/>
          <w:szCs w:val="21"/>
        </w:rPr>
        <w:t>年全球石油需求增长预测。受短期供需形势改善推动，碳酸锂价格反弹。需求方面，中国的以旧换新计划、地方新能源汽车补贴以及安装和电网连接激增推动了碳酸锂的需求。此外，电力和储能行业的需求强劲，电池制造商保持强劲生产。供应方面，澳大利亚锂矿商因成本压力下调了未来产量预测，支撑当前价格。</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由于市场正在持续评估美联储的政策方向和最新的美国通胀数据，金价波动较大，国际黄金价格冲高回落。</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展望后市，近年来，能源市场一直动荡不安，随着宏观经济背景的不断变化，能源价格从低点波动至多年的高点。石油输出国组织（</w:t>
      </w:r>
      <w:r>
        <w:rPr>
          <w:rFonts w:eastAsiaTheme="minorEastAsia"/>
          <w:color w:val="000000" w:themeColor="text1"/>
          <w:szCs w:val="21"/>
        </w:rPr>
        <w:t>OPEC</w:t>
      </w:r>
      <w:r>
        <w:rPr>
          <w:rFonts w:eastAsiaTheme="minorEastAsia"/>
          <w:color w:val="000000" w:themeColor="text1"/>
          <w:szCs w:val="21"/>
        </w:rPr>
        <w:t>）继续保持创纪录的减产纪律，特别是沙特阿拉伯，该组织正在努力清除库存。截至</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日当周公布的美国战略原油储备也处于数十年来的较低水平，随着</w:t>
      </w:r>
      <w:r>
        <w:rPr>
          <w:rFonts w:eastAsiaTheme="minorEastAsia"/>
          <w:color w:val="000000" w:themeColor="text1"/>
          <w:szCs w:val="21"/>
        </w:rPr>
        <w:t>2022</w:t>
      </w:r>
      <w:r>
        <w:rPr>
          <w:rFonts w:eastAsiaTheme="minorEastAsia"/>
          <w:color w:val="000000" w:themeColor="text1"/>
          <w:szCs w:val="21"/>
        </w:rPr>
        <w:t>年的高油价被抛在身后，需要补充美国的战略</w:t>
      </w:r>
      <w:r>
        <w:rPr>
          <w:rFonts w:eastAsiaTheme="minorEastAsia"/>
          <w:color w:val="000000" w:themeColor="text1"/>
          <w:szCs w:val="21"/>
        </w:rPr>
        <w:lastRenderedPageBreak/>
        <w:t>原油储备。此外，过去五年较低的投资水平将导致未来价格上涨的压力，同时预计其它各国政府补充已经减少的战略储备库存的可能性也会增大。</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碳转型将显著消耗金属，尤其是工业金属。我们高度关注对能源转型至关重要的基本金属，除了全球持续的人口增长和不断加快的城市化进程外，主要的驱动力将是可再生能源转型和交通电气化。本质上，各国政府正在制定政策，开始从碳基经济向金属基经济转变。</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尽管过去一年大宗商品价格坚挺，但天然资源行业并未急于投资更多产能来缓解供应短缺。在没有投资热潮的情况下，市场重新平衡的唯一方法就是降低需求，美联储、英国央行和欧洲央行通过相对较高的利率来减缓了经济增长。我们认为，库存低、闲置产能有限等因素，可能会使大宗商品价格维持在比以往经济衰退时期更高的水平。</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此外，贵金属仍然是投资组合回报的多元化因素，也是避险需求的关键资产。</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从长远来看，随着人口不断增长和城镇化率的提高，对商品的需求将会增加。由于此前多年价格低迷导致投资不足，我们所投资的商品市场预计可能出现短缺，从而导致价格上升升值。投资组合中的公司一直通过降低成本和加强资产负债表来积极管理财务风险。我们投资团队也将继续寻找更多具有吸引力的总回报的高质量公司。</w:t>
      </w:r>
    </w:p>
    <w:p w:rsidR="00CA4759" w:rsidRDefault="00CA4759">
      <w:pPr>
        <w:spacing w:line="360" w:lineRule="auto"/>
        <w:ind w:firstLineChars="200" w:firstLine="420"/>
        <w:rPr>
          <w:rFonts w:eastAsiaTheme="minorEastAsia"/>
          <w:color w:val="000000" w:themeColor="text1"/>
          <w:szCs w:val="21"/>
        </w:rPr>
      </w:pP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:-7.97%</w:t>
      </w:r>
      <w:r>
        <w:rPr>
          <w:rFonts w:eastAsiaTheme="minorEastAsia"/>
          <w:color w:val="000000" w:themeColor="text1"/>
          <w:szCs w:val="21"/>
        </w:rPr>
        <w:t>，同期业绩比较基准收益率为</w:t>
      </w:r>
      <w:r>
        <w:rPr>
          <w:rFonts w:eastAsiaTheme="minorEastAsia"/>
          <w:color w:val="000000" w:themeColor="text1"/>
          <w:szCs w:val="21"/>
        </w:rPr>
        <w:t>:-9.54%</w:t>
      </w:r>
      <w:r>
        <w:rPr>
          <w:rFonts w:eastAsiaTheme="minorEastAsia"/>
          <w:color w:val="000000" w:themeColor="text1"/>
          <w:szCs w:val="21"/>
        </w:rPr>
        <w:t>。</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:-8.07%</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:-9.54%</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87,421,353.82</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85.11</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81,455,035.59</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79.30</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5,966,318.23</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5.81</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12,678,084.21</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12.34</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2,621,855.99</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2.55</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102,721,294.02</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0C6876" w:rsidRPr="00A3398F" w:rsidRDefault="00363E15" w:rsidP="00A82C02">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注：本基金本报告期末通过港股通交易机制投资的港股公允价值为</w:t>
      </w:r>
      <w:r w:rsidRPr="00A3398F">
        <w:rPr>
          <w:rFonts w:eastAsiaTheme="minorEastAsia"/>
          <w:color w:val="000000" w:themeColor="text1"/>
          <w:szCs w:val="21"/>
        </w:rPr>
        <w:t>1,571,304.67</w:t>
      </w:r>
      <w:r w:rsidRPr="00A3398F">
        <w:rPr>
          <w:rFonts w:eastAsiaTheme="minorEastAsia"/>
          <w:color w:val="000000" w:themeColor="text1"/>
          <w:szCs w:val="21"/>
        </w:rPr>
        <w:t>元</w:t>
      </w:r>
      <w:r w:rsidRPr="00A3398F">
        <w:rPr>
          <w:rFonts w:eastAsiaTheme="minorEastAsia"/>
          <w:color w:val="000000" w:themeColor="text1"/>
          <w:szCs w:val="21"/>
        </w:rPr>
        <w:t>,</w:t>
      </w:r>
      <w:r w:rsidRPr="00A3398F">
        <w:rPr>
          <w:rFonts w:eastAsiaTheme="minorEastAsia"/>
          <w:color w:val="000000" w:themeColor="text1"/>
          <w:szCs w:val="21"/>
        </w:rPr>
        <w:t>占净值比例</w:t>
      </w:r>
      <w:r w:rsidRPr="00A3398F">
        <w:rPr>
          <w:rFonts w:eastAsiaTheme="minorEastAsia"/>
          <w:color w:val="000000" w:themeColor="text1"/>
          <w:szCs w:val="21"/>
        </w:rPr>
        <w:t>1.59%</w:t>
      </w:r>
      <w:r w:rsidRPr="00A3398F">
        <w:rPr>
          <w:rFonts w:eastAsiaTheme="minorEastAsia"/>
          <w:color w:val="000000" w:themeColor="text1"/>
          <w:szCs w:val="21"/>
        </w:rPr>
        <w:t>。</w:t>
      </w:r>
      <w:bookmarkStart w:id="3" w:name="_Toc351577071"/>
    </w:p>
    <w:bookmarkEnd w:id="3"/>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CA4759">
        <w:trPr>
          <w:jc w:val="center"/>
        </w:trPr>
        <w:tc>
          <w:tcPr>
            <w:tcW w:w="2410" w:type="dxa"/>
            <w:vAlign w:val="center"/>
          </w:tcPr>
          <w:p w:rsidR="00CA4759" w:rsidRDefault="0063114E">
            <w:pPr>
              <w:jc w:val="left"/>
            </w:pPr>
            <w:r>
              <w:rPr>
                <w:rFonts w:eastAsiaTheme="minorEastAsia"/>
                <w:color w:val="000000" w:themeColor="text1"/>
                <w:szCs w:val="21"/>
              </w:rPr>
              <w:t>美国</w:t>
            </w:r>
          </w:p>
        </w:tc>
        <w:tc>
          <w:tcPr>
            <w:tcW w:w="3118" w:type="dxa"/>
            <w:vAlign w:val="center"/>
          </w:tcPr>
          <w:p w:rsidR="00CA4759" w:rsidRDefault="0063114E">
            <w:pPr>
              <w:jc w:val="right"/>
            </w:pPr>
            <w:r>
              <w:rPr>
                <w:rFonts w:eastAsiaTheme="minorEastAsia"/>
                <w:color w:val="000000" w:themeColor="text1"/>
                <w:szCs w:val="21"/>
              </w:rPr>
              <w:t>51,015,658.36</w:t>
            </w:r>
          </w:p>
        </w:tc>
        <w:tc>
          <w:tcPr>
            <w:tcW w:w="3076" w:type="dxa"/>
            <w:vAlign w:val="center"/>
          </w:tcPr>
          <w:p w:rsidR="00CA4759" w:rsidRDefault="0063114E">
            <w:pPr>
              <w:jc w:val="right"/>
            </w:pPr>
            <w:r>
              <w:rPr>
                <w:rFonts w:eastAsiaTheme="minorEastAsia"/>
                <w:color w:val="000000" w:themeColor="text1"/>
                <w:szCs w:val="21"/>
              </w:rPr>
              <w:t>51.61</w:t>
            </w:r>
          </w:p>
        </w:tc>
      </w:tr>
      <w:tr w:rsidR="00CA4759">
        <w:trPr>
          <w:jc w:val="center"/>
        </w:trPr>
        <w:tc>
          <w:tcPr>
            <w:tcW w:w="2410" w:type="dxa"/>
            <w:vAlign w:val="center"/>
          </w:tcPr>
          <w:p w:rsidR="00CA4759" w:rsidRDefault="0063114E">
            <w:pPr>
              <w:jc w:val="left"/>
            </w:pPr>
            <w:r>
              <w:rPr>
                <w:rFonts w:eastAsiaTheme="minorEastAsia"/>
                <w:color w:val="000000" w:themeColor="text1"/>
                <w:szCs w:val="21"/>
              </w:rPr>
              <w:t>英国</w:t>
            </w:r>
          </w:p>
        </w:tc>
        <w:tc>
          <w:tcPr>
            <w:tcW w:w="3118" w:type="dxa"/>
            <w:vAlign w:val="center"/>
          </w:tcPr>
          <w:p w:rsidR="00CA4759" w:rsidRDefault="0063114E">
            <w:pPr>
              <w:jc w:val="right"/>
            </w:pPr>
            <w:r>
              <w:rPr>
                <w:rFonts w:eastAsiaTheme="minorEastAsia"/>
                <w:color w:val="000000" w:themeColor="text1"/>
                <w:szCs w:val="21"/>
              </w:rPr>
              <w:t>13,354,131.20</w:t>
            </w:r>
          </w:p>
        </w:tc>
        <w:tc>
          <w:tcPr>
            <w:tcW w:w="3076" w:type="dxa"/>
            <w:vAlign w:val="center"/>
          </w:tcPr>
          <w:p w:rsidR="00CA4759" w:rsidRDefault="0063114E">
            <w:pPr>
              <w:jc w:val="right"/>
            </w:pPr>
            <w:r>
              <w:rPr>
                <w:rFonts w:eastAsiaTheme="minorEastAsia"/>
                <w:color w:val="000000" w:themeColor="text1"/>
                <w:szCs w:val="21"/>
              </w:rPr>
              <w:t>13.51</w:t>
            </w:r>
          </w:p>
        </w:tc>
      </w:tr>
      <w:tr w:rsidR="00CA4759">
        <w:trPr>
          <w:jc w:val="center"/>
        </w:trPr>
        <w:tc>
          <w:tcPr>
            <w:tcW w:w="2410" w:type="dxa"/>
            <w:vAlign w:val="center"/>
          </w:tcPr>
          <w:p w:rsidR="00CA4759" w:rsidRDefault="0063114E">
            <w:pPr>
              <w:jc w:val="left"/>
            </w:pPr>
            <w:r>
              <w:rPr>
                <w:rFonts w:eastAsiaTheme="minorEastAsia"/>
                <w:color w:val="000000" w:themeColor="text1"/>
                <w:szCs w:val="21"/>
              </w:rPr>
              <w:t>加拿大</w:t>
            </w:r>
          </w:p>
        </w:tc>
        <w:tc>
          <w:tcPr>
            <w:tcW w:w="3118" w:type="dxa"/>
            <w:vAlign w:val="center"/>
          </w:tcPr>
          <w:p w:rsidR="00CA4759" w:rsidRDefault="0063114E">
            <w:pPr>
              <w:jc w:val="right"/>
            </w:pPr>
            <w:r>
              <w:rPr>
                <w:rFonts w:eastAsiaTheme="minorEastAsia"/>
                <w:color w:val="000000" w:themeColor="text1"/>
                <w:szCs w:val="21"/>
              </w:rPr>
              <w:t>11,141,405.82</w:t>
            </w:r>
          </w:p>
        </w:tc>
        <w:tc>
          <w:tcPr>
            <w:tcW w:w="3076" w:type="dxa"/>
            <w:vAlign w:val="center"/>
          </w:tcPr>
          <w:p w:rsidR="00CA4759" w:rsidRDefault="0063114E">
            <w:pPr>
              <w:jc w:val="right"/>
            </w:pPr>
            <w:r>
              <w:rPr>
                <w:rFonts w:eastAsiaTheme="minorEastAsia"/>
                <w:color w:val="000000" w:themeColor="text1"/>
                <w:szCs w:val="21"/>
              </w:rPr>
              <w:t>11.27</w:t>
            </w:r>
          </w:p>
        </w:tc>
      </w:tr>
      <w:tr w:rsidR="00CA4759">
        <w:trPr>
          <w:jc w:val="center"/>
        </w:trPr>
        <w:tc>
          <w:tcPr>
            <w:tcW w:w="2410" w:type="dxa"/>
            <w:vAlign w:val="center"/>
          </w:tcPr>
          <w:p w:rsidR="00CA4759" w:rsidRDefault="0063114E">
            <w:pPr>
              <w:jc w:val="left"/>
            </w:pPr>
            <w:r>
              <w:rPr>
                <w:rFonts w:eastAsiaTheme="minorEastAsia"/>
                <w:color w:val="000000" w:themeColor="text1"/>
                <w:szCs w:val="21"/>
              </w:rPr>
              <w:t>澳大利亚</w:t>
            </w:r>
          </w:p>
        </w:tc>
        <w:tc>
          <w:tcPr>
            <w:tcW w:w="3118" w:type="dxa"/>
            <w:vAlign w:val="center"/>
          </w:tcPr>
          <w:p w:rsidR="00CA4759" w:rsidRDefault="0063114E">
            <w:pPr>
              <w:jc w:val="right"/>
            </w:pPr>
            <w:r>
              <w:rPr>
                <w:rFonts w:eastAsiaTheme="minorEastAsia"/>
                <w:color w:val="000000" w:themeColor="text1"/>
                <w:szCs w:val="21"/>
              </w:rPr>
              <w:t>6,780,579.85</w:t>
            </w:r>
          </w:p>
        </w:tc>
        <w:tc>
          <w:tcPr>
            <w:tcW w:w="3076" w:type="dxa"/>
            <w:vAlign w:val="center"/>
          </w:tcPr>
          <w:p w:rsidR="00CA4759" w:rsidRDefault="0063114E">
            <w:pPr>
              <w:jc w:val="right"/>
            </w:pPr>
            <w:r>
              <w:rPr>
                <w:rFonts w:eastAsiaTheme="minorEastAsia"/>
                <w:color w:val="000000" w:themeColor="text1"/>
                <w:szCs w:val="21"/>
              </w:rPr>
              <w:t>6.86</w:t>
            </w:r>
          </w:p>
        </w:tc>
      </w:tr>
      <w:tr w:rsidR="00CA4759">
        <w:trPr>
          <w:jc w:val="center"/>
        </w:trPr>
        <w:tc>
          <w:tcPr>
            <w:tcW w:w="2410" w:type="dxa"/>
            <w:vAlign w:val="center"/>
          </w:tcPr>
          <w:p w:rsidR="00CA4759" w:rsidRDefault="0063114E">
            <w:pPr>
              <w:jc w:val="left"/>
            </w:pPr>
            <w:r>
              <w:rPr>
                <w:rFonts w:eastAsiaTheme="minorEastAsia"/>
                <w:color w:val="000000" w:themeColor="text1"/>
                <w:szCs w:val="21"/>
              </w:rPr>
              <w:t>中国香港</w:t>
            </w:r>
          </w:p>
        </w:tc>
        <w:tc>
          <w:tcPr>
            <w:tcW w:w="3118" w:type="dxa"/>
            <w:vAlign w:val="center"/>
          </w:tcPr>
          <w:p w:rsidR="00CA4759" w:rsidRDefault="0063114E">
            <w:pPr>
              <w:jc w:val="right"/>
            </w:pPr>
            <w:r>
              <w:rPr>
                <w:rFonts w:eastAsiaTheme="minorEastAsia"/>
                <w:color w:val="000000" w:themeColor="text1"/>
                <w:szCs w:val="21"/>
              </w:rPr>
              <w:t>1,571,304.67</w:t>
            </w:r>
          </w:p>
        </w:tc>
        <w:tc>
          <w:tcPr>
            <w:tcW w:w="3076" w:type="dxa"/>
            <w:vAlign w:val="center"/>
          </w:tcPr>
          <w:p w:rsidR="00CA4759" w:rsidRDefault="0063114E">
            <w:pPr>
              <w:jc w:val="right"/>
            </w:pPr>
            <w:r>
              <w:rPr>
                <w:rFonts w:eastAsiaTheme="minorEastAsia"/>
                <w:color w:val="000000" w:themeColor="text1"/>
                <w:szCs w:val="21"/>
              </w:rPr>
              <w:t>1.59</w:t>
            </w:r>
          </w:p>
        </w:tc>
      </w:tr>
      <w:tr w:rsidR="00CA4759">
        <w:trPr>
          <w:jc w:val="center"/>
        </w:trPr>
        <w:tc>
          <w:tcPr>
            <w:tcW w:w="2410" w:type="dxa"/>
            <w:vAlign w:val="center"/>
          </w:tcPr>
          <w:p w:rsidR="00CA4759" w:rsidRDefault="0063114E">
            <w:pPr>
              <w:jc w:val="left"/>
            </w:pPr>
            <w:r>
              <w:rPr>
                <w:rFonts w:eastAsiaTheme="minorEastAsia"/>
                <w:color w:val="000000" w:themeColor="text1"/>
                <w:szCs w:val="21"/>
              </w:rPr>
              <w:t>瑞典</w:t>
            </w:r>
          </w:p>
        </w:tc>
        <w:tc>
          <w:tcPr>
            <w:tcW w:w="3118" w:type="dxa"/>
            <w:vAlign w:val="center"/>
          </w:tcPr>
          <w:p w:rsidR="00CA4759" w:rsidRDefault="0063114E">
            <w:pPr>
              <w:jc w:val="right"/>
            </w:pPr>
            <w:r>
              <w:rPr>
                <w:rFonts w:eastAsiaTheme="minorEastAsia"/>
                <w:color w:val="000000" w:themeColor="text1"/>
                <w:szCs w:val="21"/>
              </w:rPr>
              <w:t>1,549,172.50</w:t>
            </w:r>
          </w:p>
        </w:tc>
        <w:tc>
          <w:tcPr>
            <w:tcW w:w="3076" w:type="dxa"/>
            <w:vAlign w:val="center"/>
          </w:tcPr>
          <w:p w:rsidR="00CA4759" w:rsidRDefault="0063114E">
            <w:pPr>
              <w:jc w:val="right"/>
            </w:pPr>
            <w:r>
              <w:rPr>
                <w:rFonts w:eastAsiaTheme="minorEastAsia"/>
                <w:color w:val="000000" w:themeColor="text1"/>
                <w:szCs w:val="21"/>
              </w:rPr>
              <w:t>1.57</w:t>
            </w:r>
          </w:p>
        </w:tc>
      </w:tr>
      <w:tr w:rsidR="00CA4759">
        <w:trPr>
          <w:jc w:val="center"/>
        </w:trPr>
        <w:tc>
          <w:tcPr>
            <w:tcW w:w="2410" w:type="dxa"/>
            <w:vAlign w:val="center"/>
          </w:tcPr>
          <w:p w:rsidR="00CA4759" w:rsidRDefault="0063114E">
            <w:pPr>
              <w:jc w:val="left"/>
            </w:pPr>
            <w:r>
              <w:rPr>
                <w:rFonts w:eastAsiaTheme="minorEastAsia"/>
                <w:color w:val="000000" w:themeColor="text1"/>
                <w:szCs w:val="21"/>
              </w:rPr>
              <w:t>葡萄牙</w:t>
            </w:r>
          </w:p>
        </w:tc>
        <w:tc>
          <w:tcPr>
            <w:tcW w:w="3118" w:type="dxa"/>
            <w:vAlign w:val="center"/>
          </w:tcPr>
          <w:p w:rsidR="00CA4759" w:rsidRDefault="0063114E">
            <w:pPr>
              <w:jc w:val="right"/>
            </w:pPr>
            <w:r>
              <w:rPr>
                <w:rFonts w:eastAsiaTheme="minorEastAsia"/>
                <w:color w:val="000000" w:themeColor="text1"/>
                <w:szCs w:val="21"/>
              </w:rPr>
              <w:t>920,307.69</w:t>
            </w:r>
          </w:p>
        </w:tc>
        <w:tc>
          <w:tcPr>
            <w:tcW w:w="3076" w:type="dxa"/>
            <w:vAlign w:val="center"/>
          </w:tcPr>
          <w:p w:rsidR="00CA4759" w:rsidRDefault="0063114E">
            <w:pPr>
              <w:jc w:val="right"/>
            </w:pPr>
            <w:r>
              <w:rPr>
                <w:rFonts w:eastAsiaTheme="minorEastAsia"/>
                <w:color w:val="000000" w:themeColor="text1"/>
                <w:szCs w:val="21"/>
              </w:rPr>
              <w:t>0.93</w:t>
            </w:r>
          </w:p>
        </w:tc>
      </w:tr>
      <w:tr w:rsidR="00CA4759">
        <w:trPr>
          <w:jc w:val="center"/>
        </w:trPr>
        <w:tc>
          <w:tcPr>
            <w:tcW w:w="2410" w:type="dxa"/>
            <w:vAlign w:val="center"/>
          </w:tcPr>
          <w:p w:rsidR="00CA4759" w:rsidRDefault="0063114E">
            <w:pPr>
              <w:jc w:val="left"/>
            </w:pPr>
            <w:r>
              <w:rPr>
                <w:rFonts w:eastAsiaTheme="minorEastAsia"/>
                <w:color w:val="000000" w:themeColor="text1"/>
                <w:szCs w:val="21"/>
              </w:rPr>
              <w:t>南非</w:t>
            </w:r>
          </w:p>
        </w:tc>
        <w:tc>
          <w:tcPr>
            <w:tcW w:w="3118" w:type="dxa"/>
            <w:vAlign w:val="center"/>
          </w:tcPr>
          <w:p w:rsidR="00CA4759" w:rsidRDefault="0063114E">
            <w:pPr>
              <w:jc w:val="right"/>
            </w:pPr>
            <w:r>
              <w:rPr>
                <w:rFonts w:eastAsiaTheme="minorEastAsia"/>
                <w:color w:val="000000" w:themeColor="text1"/>
                <w:szCs w:val="21"/>
              </w:rPr>
              <w:t>573,921.46</w:t>
            </w:r>
          </w:p>
        </w:tc>
        <w:tc>
          <w:tcPr>
            <w:tcW w:w="3076" w:type="dxa"/>
            <w:vAlign w:val="center"/>
          </w:tcPr>
          <w:p w:rsidR="00CA4759" w:rsidRDefault="0063114E">
            <w:pPr>
              <w:jc w:val="right"/>
            </w:pPr>
            <w:r>
              <w:rPr>
                <w:rFonts w:eastAsiaTheme="minorEastAsia"/>
                <w:color w:val="000000" w:themeColor="text1"/>
                <w:szCs w:val="21"/>
              </w:rPr>
              <w:t>0.58</w:t>
            </w:r>
          </w:p>
        </w:tc>
      </w:tr>
      <w:tr w:rsidR="00CA4759">
        <w:trPr>
          <w:jc w:val="center"/>
        </w:trPr>
        <w:tc>
          <w:tcPr>
            <w:tcW w:w="2410" w:type="dxa"/>
            <w:vAlign w:val="center"/>
          </w:tcPr>
          <w:p w:rsidR="00CA4759" w:rsidRDefault="0063114E">
            <w:pPr>
              <w:jc w:val="left"/>
            </w:pPr>
            <w:r>
              <w:rPr>
                <w:rFonts w:eastAsiaTheme="minorEastAsia"/>
                <w:color w:val="000000" w:themeColor="text1"/>
                <w:szCs w:val="21"/>
              </w:rPr>
              <w:t>法国</w:t>
            </w:r>
          </w:p>
        </w:tc>
        <w:tc>
          <w:tcPr>
            <w:tcW w:w="3118" w:type="dxa"/>
            <w:vAlign w:val="center"/>
          </w:tcPr>
          <w:p w:rsidR="00CA4759" w:rsidRDefault="0063114E">
            <w:pPr>
              <w:jc w:val="right"/>
            </w:pPr>
            <w:r>
              <w:rPr>
                <w:rFonts w:eastAsiaTheme="minorEastAsia"/>
                <w:color w:val="000000" w:themeColor="text1"/>
                <w:szCs w:val="21"/>
              </w:rPr>
              <w:t>514,872.27</w:t>
            </w:r>
          </w:p>
        </w:tc>
        <w:tc>
          <w:tcPr>
            <w:tcW w:w="3076" w:type="dxa"/>
            <w:vAlign w:val="center"/>
          </w:tcPr>
          <w:p w:rsidR="00CA4759" w:rsidRDefault="0063114E">
            <w:pPr>
              <w:jc w:val="right"/>
            </w:pPr>
            <w:r>
              <w:rPr>
                <w:rFonts w:eastAsiaTheme="minorEastAsia"/>
                <w:color w:val="000000" w:themeColor="text1"/>
                <w:szCs w:val="21"/>
              </w:rPr>
              <w:t>0.52</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87,421,353.82</w:t>
            </w:r>
          </w:p>
        </w:tc>
        <w:tc>
          <w:tcPr>
            <w:tcW w:w="3076"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88.44</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rsidTr="008B2EAD">
        <w:tc>
          <w:tcPr>
            <w:tcW w:w="2787"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CA4759">
        <w:tc>
          <w:tcPr>
            <w:tcW w:w="2787" w:type="dxa"/>
            <w:vAlign w:val="center"/>
          </w:tcPr>
          <w:p w:rsidR="00CA4759" w:rsidRDefault="0063114E">
            <w:pPr>
              <w:jc w:val="left"/>
            </w:pPr>
            <w:r>
              <w:rPr>
                <w:rFonts w:eastAsiaTheme="minorEastAsia"/>
                <w:color w:val="000000" w:themeColor="text1"/>
                <w:szCs w:val="21"/>
              </w:rPr>
              <w:t>基础材料</w:t>
            </w:r>
          </w:p>
        </w:tc>
        <w:tc>
          <w:tcPr>
            <w:tcW w:w="2551" w:type="dxa"/>
            <w:vAlign w:val="center"/>
          </w:tcPr>
          <w:p w:rsidR="00CA4759" w:rsidRDefault="0063114E">
            <w:pPr>
              <w:jc w:val="right"/>
            </w:pPr>
            <w:r>
              <w:rPr>
                <w:rFonts w:eastAsiaTheme="minorEastAsia"/>
                <w:color w:val="000000" w:themeColor="text1"/>
                <w:szCs w:val="21"/>
              </w:rPr>
              <w:t>43,813,385.79</w:t>
            </w:r>
          </w:p>
        </w:tc>
        <w:tc>
          <w:tcPr>
            <w:tcW w:w="3175" w:type="dxa"/>
            <w:vAlign w:val="center"/>
          </w:tcPr>
          <w:p w:rsidR="00CA4759" w:rsidRDefault="0063114E">
            <w:pPr>
              <w:jc w:val="right"/>
            </w:pPr>
            <w:r>
              <w:rPr>
                <w:rFonts w:eastAsiaTheme="minorEastAsia"/>
                <w:color w:val="000000" w:themeColor="text1"/>
                <w:szCs w:val="21"/>
              </w:rPr>
              <w:t>44.32</w:t>
            </w:r>
          </w:p>
        </w:tc>
      </w:tr>
      <w:tr w:rsidR="00CA4759">
        <w:tc>
          <w:tcPr>
            <w:tcW w:w="2787" w:type="dxa"/>
            <w:vAlign w:val="center"/>
          </w:tcPr>
          <w:p w:rsidR="00CA4759" w:rsidRDefault="0063114E">
            <w:pPr>
              <w:jc w:val="left"/>
            </w:pPr>
            <w:r>
              <w:rPr>
                <w:rFonts w:eastAsiaTheme="minorEastAsia"/>
                <w:color w:val="000000" w:themeColor="text1"/>
                <w:szCs w:val="21"/>
              </w:rPr>
              <w:t>能源</w:t>
            </w:r>
          </w:p>
        </w:tc>
        <w:tc>
          <w:tcPr>
            <w:tcW w:w="2551" w:type="dxa"/>
            <w:vAlign w:val="center"/>
          </w:tcPr>
          <w:p w:rsidR="00CA4759" w:rsidRDefault="0063114E">
            <w:pPr>
              <w:jc w:val="right"/>
            </w:pPr>
            <w:r>
              <w:rPr>
                <w:rFonts w:eastAsiaTheme="minorEastAsia"/>
                <w:color w:val="000000" w:themeColor="text1"/>
                <w:szCs w:val="21"/>
              </w:rPr>
              <w:t>43,607,968.03</w:t>
            </w:r>
          </w:p>
        </w:tc>
        <w:tc>
          <w:tcPr>
            <w:tcW w:w="3175" w:type="dxa"/>
            <w:vAlign w:val="center"/>
          </w:tcPr>
          <w:p w:rsidR="00CA4759" w:rsidRDefault="0063114E">
            <w:pPr>
              <w:jc w:val="right"/>
            </w:pPr>
            <w:r>
              <w:rPr>
                <w:rFonts w:eastAsiaTheme="minorEastAsia"/>
                <w:color w:val="000000" w:themeColor="text1"/>
                <w:szCs w:val="21"/>
              </w:rPr>
              <w:t>44.11</w:t>
            </w:r>
          </w:p>
        </w:tc>
      </w:tr>
      <w:tr w:rsidR="008277FF" w:rsidRPr="00A3398F" w:rsidTr="00877D98">
        <w:tc>
          <w:tcPr>
            <w:tcW w:w="2787" w:type="dxa"/>
            <w:vAlign w:val="center"/>
          </w:tcPr>
          <w:p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87,421,353.82</w:t>
            </w:r>
          </w:p>
        </w:tc>
        <w:tc>
          <w:tcPr>
            <w:tcW w:w="3175"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88.44</w:t>
            </w:r>
          </w:p>
        </w:tc>
      </w:tr>
    </w:tbl>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71"/>
        <w:gridCol w:w="2060"/>
        <w:gridCol w:w="840"/>
        <w:gridCol w:w="776"/>
        <w:gridCol w:w="588"/>
        <w:gridCol w:w="687"/>
        <w:gridCol w:w="886"/>
        <w:gridCol w:w="1319"/>
        <w:gridCol w:w="886"/>
      </w:tblGrid>
      <w:tr w:rsidR="00A3398F" w:rsidRPr="00A3398F" w:rsidTr="001C7D5D">
        <w:tc>
          <w:tcPr>
            <w:tcW w:w="794"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CA4759">
        <w:tc>
          <w:tcPr>
            <w:tcW w:w="0" w:type="auto"/>
            <w:vAlign w:val="center"/>
          </w:tcPr>
          <w:p w:rsidR="00CA4759" w:rsidRDefault="0063114E">
            <w:pPr>
              <w:jc w:val="center"/>
            </w:pPr>
            <w:r>
              <w:rPr>
                <w:rFonts w:eastAsiaTheme="minorEastAsia"/>
                <w:szCs w:val="21"/>
              </w:rPr>
              <w:t>1</w:t>
            </w:r>
          </w:p>
        </w:tc>
        <w:tc>
          <w:tcPr>
            <w:tcW w:w="0" w:type="auto"/>
            <w:vAlign w:val="center"/>
          </w:tcPr>
          <w:p w:rsidR="00CA4759" w:rsidRDefault="0063114E">
            <w:pPr>
              <w:jc w:val="center"/>
            </w:pPr>
            <w:r>
              <w:rPr>
                <w:rFonts w:eastAsiaTheme="minorEastAsia"/>
                <w:szCs w:val="21"/>
              </w:rPr>
              <w:t>EXXON MOBIL CORP</w:t>
            </w:r>
          </w:p>
        </w:tc>
        <w:tc>
          <w:tcPr>
            <w:tcW w:w="0" w:type="auto"/>
            <w:vAlign w:val="center"/>
          </w:tcPr>
          <w:p w:rsidR="00CA4759" w:rsidRDefault="0063114E">
            <w:pPr>
              <w:jc w:val="center"/>
            </w:pPr>
            <w:r>
              <w:rPr>
                <w:rFonts w:eastAsiaTheme="minorEastAsia"/>
                <w:szCs w:val="21"/>
              </w:rPr>
              <w:t>埃克森美孚石油公司</w:t>
            </w:r>
          </w:p>
        </w:tc>
        <w:tc>
          <w:tcPr>
            <w:tcW w:w="0" w:type="auto"/>
            <w:vAlign w:val="center"/>
          </w:tcPr>
          <w:p w:rsidR="00CA4759" w:rsidRDefault="0063114E">
            <w:pPr>
              <w:jc w:val="center"/>
            </w:pPr>
            <w:r>
              <w:rPr>
                <w:rFonts w:eastAsiaTheme="minorEastAsia"/>
                <w:szCs w:val="21"/>
              </w:rPr>
              <w:t>XOM</w:t>
            </w:r>
          </w:p>
        </w:tc>
        <w:tc>
          <w:tcPr>
            <w:tcW w:w="0" w:type="auto"/>
            <w:vAlign w:val="center"/>
          </w:tcPr>
          <w:p w:rsidR="00CA4759" w:rsidRDefault="0063114E">
            <w:pPr>
              <w:jc w:val="center"/>
            </w:pPr>
            <w:r>
              <w:rPr>
                <w:rFonts w:eastAsiaTheme="minorEastAsia"/>
                <w:szCs w:val="21"/>
              </w:rPr>
              <w:t>纽约证券交易所</w:t>
            </w:r>
          </w:p>
        </w:tc>
        <w:tc>
          <w:tcPr>
            <w:tcW w:w="0" w:type="auto"/>
            <w:vAlign w:val="center"/>
          </w:tcPr>
          <w:p w:rsidR="00CA4759" w:rsidRDefault="0063114E">
            <w:pPr>
              <w:jc w:val="center"/>
            </w:pPr>
            <w:r>
              <w:rPr>
                <w:rFonts w:eastAsiaTheme="minorEastAsia"/>
                <w:szCs w:val="21"/>
              </w:rPr>
              <w:t>美国</w:t>
            </w:r>
          </w:p>
        </w:tc>
        <w:tc>
          <w:tcPr>
            <w:tcW w:w="0" w:type="auto"/>
            <w:vAlign w:val="center"/>
          </w:tcPr>
          <w:p w:rsidR="00CA4759" w:rsidRDefault="0063114E">
            <w:pPr>
              <w:jc w:val="right"/>
            </w:pPr>
            <w:r>
              <w:rPr>
                <w:rFonts w:eastAsiaTheme="minorEastAsia"/>
                <w:szCs w:val="21"/>
              </w:rPr>
              <w:t>10,004</w:t>
            </w:r>
          </w:p>
        </w:tc>
        <w:tc>
          <w:tcPr>
            <w:tcW w:w="0" w:type="auto"/>
            <w:vAlign w:val="center"/>
          </w:tcPr>
          <w:p w:rsidR="00CA4759" w:rsidRDefault="0063114E">
            <w:pPr>
              <w:jc w:val="right"/>
            </w:pPr>
            <w:r>
              <w:rPr>
                <w:rFonts w:eastAsiaTheme="minorEastAsia"/>
                <w:szCs w:val="21"/>
              </w:rPr>
              <w:t>7,735,654.90</w:t>
            </w:r>
          </w:p>
        </w:tc>
        <w:tc>
          <w:tcPr>
            <w:tcW w:w="0" w:type="auto"/>
            <w:vAlign w:val="center"/>
          </w:tcPr>
          <w:p w:rsidR="00CA4759" w:rsidRDefault="0063114E">
            <w:pPr>
              <w:jc w:val="right"/>
            </w:pPr>
            <w:r>
              <w:rPr>
                <w:rFonts w:eastAsiaTheme="minorEastAsia"/>
                <w:szCs w:val="21"/>
              </w:rPr>
              <w:t>7.83</w:t>
            </w:r>
          </w:p>
        </w:tc>
      </w:tr>
      <w:tr w:rsidR="00CA4759">
        <w:tc>
          <w:tcPr>
            <w:tcW w:w="0" w:type="auto"/>
            <w:vAlign w:val="center"/>
          </w:tcPr>
          <w:p w:rsidR="00CA4759" w:rsidRDefault="0063114E">
            <w:pPr>
              <w:jc w:val="center"/>
            </w:pPr>
            <w:r>
              <w:rPr>
                <w:rFonts w:eastAsiaTheme="minorEastAsia"/>
                <w:szCs w:val="21"/>
              </w:rPr>
              <w:t>2</w:t>
            </w:r>
          </w:p>
        </w:tc>
        <w:tc>
          <w:tcPr>
            <w:tcW w:w="0" w:type="auto"/>
            <w:vAlign w:val="center"/>
          </w:tcPr>
          <w:p w:rsidR="00CA4759" w:rsidRDefault="0063114E">
            <w:pPr>
              <w:jc w:val="center"/>
            </w:pPr>
            <w:r>
              <w:rPr>
                <w:rFonts w:eastAsiaTheme="minorEastAsia"/>
                <w:szCs w:val="21"/>
              </w:rPr>
              <w:t>RIO TINTO PLC</w:t>
            </w:r>
          </w:p>
        </w:tc>
        <w:tc>
          <w:tcPr>
            <w:tcW w:w="0" w:type="auto"/>
            <w:vAlign w:val="center"/>
          </w:tcPr>
          <w:p w:rsidR="00CA4759" w:rsidRDefault="0063114E">
            <w:pPr>
              <w:jc w:val="center"/>
            </w:pPr>
            <w:r>
              <w:rPr>
                <w:rFonts w:eastAsiaTheme="minorEastAsia"/>
                <w:szCs w:val="21"/>
              </w:rPr>
              <w:t>力拓公司</w:t>
            </w:r>
          </w:p>
        </w:tc>
        <w:tc>
          <w:tcPr>
            <w:tcW w:w="0" w:type="auto"/>
            <w:vAlign w:val="center"/>
          </w:tcPr>
          <w:p w:rsidR="00CA4759" w:rsidRDefault="0063114E">
            <w:pPr>
              <w:jc w:val="center"/>
            </w:pPr>
            <w:r>
              <w:rPr>
                <w:rFonts w:eastAsiaTheme="minorEastAsia"/>
                <w:szCs w:val="21"/>
              </w:rPr>
              <w:t>RIO</w:t>
            </w:r>
          </w:p>
        </w:tc>
        <w:tc>
          <w:tcPr>
            <w:tcW w:w="0" w:type="auto"/>
            <w:vAlign w:val="center"/>
          </w:tcPr>
          <w:p w:rsidR="00CA4759" w:rsidRDefault="0063114E">
            <w:pPr>
              <w:jc w:val="center"/>
            </w:pPr>
            <w:r>
              <w:rPr>
                <w:rFonts w:eastAsiaTheme="minorEastAsia"/>
                <w:szCs w:val="21"/>
              </w:rPr>
              <w:t>英国伦敦交易所</w:t>
            </w:r>
          </w:p>
        </w:tc>
        <w:tc>
          <w:tcPr>
            <w:tcW w:w="0" w:type="auto"/>
            <w:vAlign w:val="center"/>
          </w:tcPr>
          <w:p w:rsidR="00CA4759" w:rsidRDefault="0063114E">
            <w:pPr>
              <w:jc w:val="center"/>
            </w:pPr>
            <w:r>
              <w:rPr>
                <w:rFonts w:eastAsiaTheme="minorEastAsia"/>
                <w:szCs w:val="21"/>
              </w:rPr>
              <w:t>英国</w:t>
            </w:r>
          </w:p>
        </w:tc>
        <w:tc>
          <w:tcPr>
            <w:tcW w:w="0" w:type="auto"/>
            <w:vAlign w:val="center"/>
          </w:tcPr>
          <w:p w:rsidR="00CA4759" w:rsidRDefault="0063114E">
            <w:pPr>
              <w:jc w:val="right"/>
            </w:pPr>
            <w:r>
              <w:rPr>
                <w:rFonts w:eastAsiaTheme="minorEastAsia"/>
                <w:szCs w:val="21"/>
              </w:rPr>
              <w:t>12,887</w:t>
            </w:r>
          </w:p>
        </w:tc>
        <w:tc>
          <w:tcPr>
            <w:tcW w:w="0" w:type="auto"/>
            <w:vAlign w:val="center"/>
          </w:tcPr>
          <w:p w:rsidR="00CA4759" w:rsidRDefault="0063114E">
            <w:pPr>
              <w:jc w:val="right"/>
            </w:pPr>
            <w:r>
              <w:rPr>
                <w:rFonts w:eastAsiaTheme="minorEastAsia"/>
                <w:szCs w:val="21"/>
              </w:rPr>
              <w:t>5,524,439.05</w:t>
            </w:r>
          </w:p>
        </w:tc>
        <w:tc>
          <w:tcPr>
            <w:tcW w:w="0" w:type="auto"/>
            <w:vAlign w:val="center"/>
          </w:tcPr>
          <w:p w:rsidR="00CA4759" w:rsidRDefault="0063114E">
            <w:pPr>
              <w:jc w:val="right"/>
            </w:pPr>
            <w:r>
              <w:rPr>
                <w:rFonts w:eastAsiaTheme="minorEastAsia"/>
                <w:szCs w:val="21"/>
              </w:rPr>
              <w:t>5.59</w:t>
            </w:r>
          </w:p>
        </w:tc>
      </w:tr>
      <w:tr w:rsidR="00CA4759">
        <w:tc>
          <w:tcPr>
            <w:tcW w:w="0" w:type="auto"/>
            <w:vAlign w:val="center"/>
          </w:tcPr>
          <w:p w:rsidR="00CA4759" w:rsidRDefault="0063114E">
            <w:pPr>
              <w:jc w:val="center"/>
            </w:pPr>
            <w:r>
              <w:rPr>
                <w:rFonts w:eastAsiaTheme="minorEastAsia"/>
                <w:szCs w:val="21"/>
              </w:rPr>
              <w:t>3</w:t>
            </w:r>
          </w:p>
        </w:tc>
        <w:tc>
          <w:tcPr>
            <w:tcW w:w="0" w:type="auto"/>
            <w:vAlign w:val="center"/>
          </w:tcPr>
          <w:p w:rsidR="00CA4759" w:rsidRDefault="0063114E">
            <w:pPr>
              <w:jc w:val="center"/>
            </w:pPr>
            <w:r>
              <w:rPr>
                <w:rFonts w:eastAsiaTheme="minorEastAsia"/>
                <w:szCs w:val="21"/>
              </w:rPr>
              <w:t>Freeport-McMoRan Inc</w:t>
            </w:r>
          </w:p>
        </w:tc>
        <w:tc>
          <w:tcPr>
            <w:tcW w:w="0" w:type="auto"/>
            <w:vAlign w:val="center"/>
          </w:tcPr>
          <w:p w:rsidR="00CA4759" w:rsidRDefault="0063114E">
            <w:pPr>
              <w:jc w:val="center"/>
            </w:pPr>
            <w:r>
              <w:rPr>
                <w:rFonts w:eastAsiaTheme="minorEastAsia"/>
                <w:szCs w:val="21"/>
              </w:rPr>
              <w:t>自由港迈克墨伦股</w:t>
            </w:r>
            <w:r>
              <w:rPr>
                <w:rFonts w:eastAsiaTheme="minorEastAsia"/>
                <w:szCs w:val="21"/>
              </w:rPr>
              <w:lastRenderedPageBreak/>
              <w:t>份有限公司</w:t>
            </w:r>
          </w:p>
        </w:tc>
        <w:tc>
          <w:tcPr>
            <w:tcW w:w="0" w:type="auto"/>
            <w:vAlign w:val="center"/>
          </w:tcPr>
          <w:p w:rsidR="00CA4759" w:rsidRDefault="0063114E">
            <w:pPr>
              <w:jc w:val="center"/>
            </w:pPr>
            <w:r>
              <w:rPr>
                <w:rFonts w:eastAsiaTheme="minorEastAsia"/>
                <w:szCs w:val="21"/>
              </w:rPr>
              <w:lastRenderedPageBreak/>
              <w:t>FCX</w:t>
            </w:r>
          </w:p>
        </w:tc>
        <w:tc>
          <w:tcPr>
            <w:tcW w:w="0" w:type="auto"/>
            <w:vAlign w:val="center"/>
          </w:tcPr>
          <w:p w:rsidR="00CA4759" w:rsidRDefault="0063114E">
            <w:pPr>
              <w:jc w:val="center"/>
            </w:pPr>
            <w:r>
              <w:rPr>
                <w:rFonts w:eastAsiaTheme="minorEastAsia"/>
                <w:szCs w:val="21"/>
              </w:rPr>
              <w:t>纽约证券</w:t>
            </w:r>
            <w:r>
              <w:rPr>
                <w:rFonts w:eastAsiaTheme="minorEastAsia"/>
                <w:szCs w:val="21"/>
              </w:rPr>
              <w:lastRenderedPageBreak/>
              <w:t>交易所</w:t>
            </w:r>
          </w:p>
        </w:tc>
        <w:tc>
          <w:tcPr>
            <w:tcW w:w="0" w:type="auto"/>
            <w:vAlign w:val="center"/>
          </w:tcPr>
          <w:p w:rsidR="00CA4759" w:rsidRDefault="0063114E">
            <w:pPr>
              <w:jc w:val="center"/>
            </w:pPr>
            <w:r>
              <w:rPr>
                <w:rFonts w:eastAsiaTheme="minorEastAsia"/>
                <w:szCs w:val="21"/>
              </w:rPr>
              <w:lastRenderedPageBreak/>
              <w:t>美国</w:t>
            </w:r>
          </w:p>
        </w:tc>
        <w:tc>
          <w:tcPr>
            <w:tcW w:w="0" w:type="auto"/>
            <w:vAlign w:val="center"/>
          </w:tcPr>
          <w:p w:rsidR="00CA4759" w:rsidRDefault="0063114E">
            <w:pPr>
              <w:jc w:val="right"/>
            </w:pPr>
            <w:r>
              <w:rPr>
                <w:rFonts w:eastAsiaTheme="minorEastAsia"/>
                <w:szCs w:val="21"/>
              </w:rPr>
              <w:t>16,430</w:t>
            </w:r>
          </w:p>
        </w:tc>
        <w:tc>
          <w:tcPr>
            <w:tcW w:w="0" w:type="auto"/>
            <w:vAlign w:val="center"/>
          </w:tcPr>
          <w:p w:rsidR="00CA4759" w:rsidRDefault="0063114E">
            <w:pPr>
              <w:jc w:val="right"/>
            </w:pPr>
            <w:r>
              <w:rPr>
                <w:rFonts w:eastAsiaTheme="minorEastAsia"/>
                <w:szCs w:val="21"/>
              </w:rPr>
              <w:t>4,497,454.09</w:t>
            </w:r>
          </w:p>
        </w:tc>
        <w:tc>
          <w:tcPr>
            <w:tcW w:w="0" w:type="auto"/>
            <w:vAlign w:val="center"/>
          </w:tcPr>
          <w:p w:rsidR="00CA4759" w:rsidRDefault="0063114E">
            <w:pPr>
              <w:jc w:val="right"/>
            </w:pPr>
            <w:r>
              <w:rPr>
                <w:rFonts w:eastAsiaTheme="minorEastAsia"/>
                <w:szCs w:val="21"/>
              </w:rPr>
              <w:t>4.55</w:t>
            </w:r>
          </w:p>
        </w:tc>
      </w:tr>
      <w:tr w:rsidR="00CA4759">
        <w:tc>
          <w:tcPr>
            <w:tcW w:w="0" w:type="auto"/>
            <w:vAlign w:val="center"/>
          </w:tcPr>
          <w:p w:rsidR="00CA4759" w:rsidRDefault="0063114E">
            <w:pPr>
              <w:jc w:val="center"/>
            </w:pPr>
            <w:r>
              <w:rPr>
                <w:rFonts w:eastAsiaTheme="minorEastAsia"/>
                <w:szCs w:val="21"/>
              </w:rPr>
              <w:t>4</w:t>
            </w:r>
          </w:p>
        </w:tc>
        <w:tc>
          <w:tcPr>
            <w:tcW w:w="0" w:type="auto"/>
            <w:vAlign w:val="center"/>
          </w:tcPr>
          <w:p w:rsidR="00CA4759" w:rsidRDefault="0063114E">
            <w:pPr>
              <w:jc w:val="center"/>
            </w:pPr>
            <w:r>
              <w:rPr>
                <w:rFonts w:eastAsiaTheme="minorEastAsia"/>
                <w:szCs w:val="21"/>
              </w:rPr>
              <w:t>SHELL PLC (UK)</w:t>
            </w:r>
          </w:p>
        </w:tc>
        <w:tc>
          <w:tcPr>
            <w:tcW w:w="0" w:type="auto"/>
            <w:vAlign w:val="center"/>
          </w:tcPr>
          <w:p w:rsidR="00CA4759" w:rsidRDefault="0063114E">
            <w:pPr>
              <w:jc w:val="center"/>
            </w:pPr>
            <w:r>
              <w:rPr>
                <w:rFonts w:eastAsiaTheme="minorEastAsia"/>
                <w:szCs w:val="21"/>
              </w:rPr>
              <w:t>壳牌公共有限公司</w:t>
            </w:r>
          </w:p>
        </w:tc>
        <w:tc>
          <w:tcPr>
            <w:tcW w:w="0" w:type="auto"/>
            <w:vAlign w:val="center"/>
          </w:tcPr>
          <w:p w:rsidR="00CA4759" w:rsidRDefault="0063114E">
            <w:pPr>
              <w:jc w:val="center"/>
            </w:pPr>
            <w:r>
              <w:rPr>
                <w:rFonts w:eastAsiaTheme="minorEastAsia"/>
                <w:szCs w:val="21"/>
              </w:rPr>
              <w:t>SHEL</w:t>
            </w:r>
          </w:p>
        </w:tc>
        <w:tc>
          <w:tcPr>
            <w:tcW w:w="0" w:type="auto"/>
            <w:vAlign w:val="center"/>
          </w:tcPr>
          <w:p w:rsidR="00CA4759" w:rsidRDefault="0063114E">
            <w:pPr>
              <w:jc w:val="center"/>
            </w:pPr>
            <w:r>
              <w:rPr>
                <w:rFonts w:eastAsiaTheme="minorEastAsia"/>
                <w:szCs w:val="21"/>
              </w:rPr>
              <w:t>英国伦敦交易所</w:t>
            </w:r>
          </w:p>
        </w:tc>
        <w:tc>
          <w:tcPr>
            <w:tcW w:w="0" w:type="auto"/>
            <w:vAlign w:val="center"/>
          </w:tcPr>
          <w:p w:rsidR="00CA4759" w:rsidRDefault="0063114E">
            <w:pPr>
              <w:jc w:val="center"/>
            </w:pPr>
            <w:r>
              <w:rPr>
                <w:rFonts w:eastAsiaTheme="minorEastAsia"/>
                <w:szCs w:val="21"/>
              </w:rPr>
              <w:t>英国</w:t>
            </w:r>
          </w:p>
        </w:tc>
        <w:tc>
          <w:tcPr>
            <w:tcW w:w="0" w:type="auto"/>
            <w:vAlign w:val="center"/>
          </w:tcPr>
          <w:p w:rsidR="00CA4759" w:rsidRDefault="0063114E">
            <w:pPr>
              <w:jc w:val="right"/>
            </w:pPr>
            <w:r>
              <w:rPr>
                <w:rFonts w:eastAsiaTheme="minorEastAsia"/>
                <w:szCs w:val="21"/>
              </w:rPr>
              <w:t>17,914</w:t>
            </w:r>
          </w:p>
        </w:tc>
        <w:tc>
          <w:tcPr>
            <w:tcW w:w="0" w:type="auto"/>
            <w:vAlign w:val="center"/>
          </w:tcPr>
          <w:p w:rsidR="00CA4759" w:rsidRDefault="0063114E">
            <w:pPr>
              <w:jc w:val="right"/>
            </w:pPr>
            <w:r>
              <w:rPr>
                <w:rFonts w:eastAsiaTheme="minorEastAsia"/>
                <w:szCs w:val="21"/>
              </w:rPr>
              <w:t>4,025,887.38</w:t>
            </w:r>
          </w:p>
        </w:tc>
        <w:tc>
          <w:tcPr>
            <w:tcW w:w="0" w:type="auto"/>
            <w:vAlign w:val="center"/>
          </w:tcPr>
          <w:p w:rsidR="00CA4759" w:rsidRDefault="0063114E">
            <w:pPr>
              <w:jc w:val="right"/>
            </w:pPr>
            <w:r>
              <w:rPr>
                <w:rFonts w:eastAsiaTheme="minorEastAsia"/>
                <w:szCs w:val="21"/>
              </w:rPr>
              <w:t>4.07</w:t>
            </w:r>
          </w:p>
        </w:tc>
      </w:tr>
      <w:tr w:rsidR="00CA4759">
        <w:tc>
          <w:tcPr>
            <w:tcW w:w="0" w:type="auto"/>
            <w:vMerge w:val="restart"/>
            <w:vAlign w:val="center"/>
          </w:tcPr>
          <w:p w:rsidR="00CA4759" w:rsidRDefault="0063114E">
            <w:pPr>
              <w:jc w:val="center"/>
            </w:pPr>
            <w:r>
              <w:rPr>
                <w:rFonts w:eastAsiaTheme="minorEastAsia"/>
                <w:szCs w:val="21"/>
              </w:rPr>
              <w:t>5</w:t>
            </w:r>
          </w:p>
        </w:tc>
        <w:tc>
          <w:tcPr>
            <w:tcW w:w="0" w:type="auto"/>
            <w:vMerge w:val="restart"/>
            <w:vAlign w:val="center"/>
          </w:tcPr>
          <w:p w:rsidR="00CA4759" w:rsidRDefault="0063114E">
            <w:pPr>
              <w:jc w:val="center"/>
            </w:pPr>
            <w:r>
              <w:rPr>
                <w:rFonts w:eastAsiaTheme="minorEastAsia"/>
                <w:szCs w:val="21"/>
              </w:rPr>
              <w:t>BHP GROUP LTD</w:t>
            </w:r>
          </w:p>
        </w:tc>
        <w:tc>
          <w:tcPr>
            <w:tcW w:w="0" w:type="auto"/>
            <w:vMerge w:val="restart"/>
            <w:vAlign w:val="center"/>
          </w:tcPr>
          <w:p w:rsidR="00CA4759" w:rsidRDefault="0063114E">
            <w:pPr>
              <w:jc w:val="center"/>
            </w:pPr>
            <w:r>
              <w:rPr>
                <w:rFonts w:eastAsiaTheme="minorEastAsia"/>
                <w:szCs w:val="21"/>
              </w:rPr>
              <w:t>必和必拓集团</w:t>
            </w:r>
          </w:p>
        </w:tc>
        <w:tc>
          <w:tcPr>
            <w:tcW w:w="0" w:type="auto"/>
            <w:vAlign w:val="center"/>
          </w:tcPr>
          <w:p w:rsidR="00CA4759" w:rsidRDefault="0063114E">
            <w:pPr>
              <w:jc w:val="center"/>
            </w:pPr>
            <w:r>
              <w:rPr>
                <w:rFonts w:eastAsiaTheme="minorEastAsia"/>
                <w:szCs w:val="21"/>
              </w:rPr>
              <w:t>BHP</w:t>
            </w:r>
          </w:p>
        </w:tc>
        <w:tc>
          <w:tcPr>
            <w:tcW w:w="0" w:type="auto"/>
            <w:vAlign w:val="center"/>
          </w:tcPr>
          <w:p w:rsidR="00CA4759" w:rsidRDefault="0063114E">
            <w:pPr>
              <w:jc w:val="center"/>
            </w:pPr>
            <w:r>
              <w:rPr>
                <w:rFonts w:eastAsiaTheme="minorEastAsia"/>
                <w:szCs w:val="21"/>
              </w:rPr>
              <w:t>澳大利亚证券交易所</w:t>
            </w:r>
          </w:p>
        </w:tc>
        <w:tc>
          <w:tcPr>
            <w:tcW w:w="0" w:type="auto"/>
            <w:vAlign w:val="center"/>
          </w:tcPr>
          <w:p w:rsidR="00CA4759" w:rsidRDefault="0063114E">
            <w:pPr>
              <w:jc w:val="center"/>
            </w:pPr>
            <w:r>
              <w:rPr>
                <w:rFonts w:eastAsiaTheme="minorEastAsia"/>
                <w:szCs w:val="21"/>
              </w:rPr>
              <w:t>澳大利亚</w:t>
            </w:r>
          </w:p>
        </w:tc>
        <w:tc>
          <w:tcPr>
            <w:tcW w:w="0" w:type="auto"/>
            <w:vAlign w:val="center"/>
          </w:tcPr>
          <w:p w:rsidR="00CA4759" w:rsidRDefault="0063114E">
            <w:pPr>
              <w:jc w:val="right"/>
            </w:pPr>
            <w:r>
              <w:rPr>
                <w:rFonts w:eastAsiaTheme="minorEastAsia"/>
                <w:szCs w:val="21"/>
              </w:rPr>
              <w:t>14,867</w:t>
            </w:r>
          </w:p>
        </w:tc>
        <w:tc>
          <w:tcPr>
            <w:tcW w:w="0" w:type="auto"/>
            <w:vAlign w:val="center"/>
          </w:tcPr>
          <w:p w:rsidR="00CA4759" w:rsidRDefault="0063114E">
            <w:pPr>
              <w:jc w:val="right"/>
            </w:pPr>
            <w:r>
              <w:rPr>
                <w:rFonts w:eastAsiaTheme="minorEastAsia"/>
                <w:szCs w:val="21"/>
              </w:rPr>
              <w:t>2,616,965.17</w:t>
            </w:r>
          </w:p>
        </w:tc>
        <w:tc>
          <w:tcPr>
            <w:tcW w:w="0" w:type="auto"/>
            <w:vAlign w:val="center"/>
          </w:tcPr>
          <w:p w:rsidR="00CA4759" w:rsidRDefault="0063114E">
            <w:pPr>
              <w:jc w:val="right"/>
            </w:pPr>
            <w:r>
              <w:rPr>
                <w:rFonts w:eastAsiaTheme="minorEastAsia"/>
                <w:szCs w:val="21"/>
              </w:rPr>
              <w:t>2.65</w:t>
            </w:r>
          </w:p>
        </w:tc>
      </w:tr>
      <w:tr w:rsidR="00CA4759">
        <w:tc>
          <w:tcPr>
            <w:tcW w:w="0" w:type="auto"/>
            <w:vMerge/>
          </w:tcPr>
          <w:p w:rsidR="00CA4759" w:rsidRDefault="00CA4759"/>
        </w:tc>
        <w:tc>
          <w:tcPr>
            <w:tcW w:w="0" w:type="auto"/>
            <w:vMerge/>
          </w:tcPr>
          <w:p w:rsidR="00CA4759" w:rsidRDefault="00CA4759"/>
        </w:tc>
        <w:tc>
          <w:tcPr>
            <w:tcW w:w="0" w:type="auto"/>
            <w:vMerge/>
          </w:tcPr>
          <w:p w:rsidR="00CA4759" w:rsidRDefault="00CA4759"/>
        </w:tc>
        <w:tc>
          <w:tcPr>
            <w:tcW w:w="0" w:type="auto"/>
            <w:vAlign w:val="center"/>
          </w:tcPr>
          <w:p w:rsidR="00CA4759" w:rsidRDefault="0063114E">
            <w:pPr>
              <w:jc w:val="center"/>
            </w:pPr>
            <w:r>
              <w:rPr>
                <w:rFonts w:eastAsiaTheme="minorEastAsia"/>
                <w:szCs w:val="21"/>
              </w:rPr>
              <w:t>BHP</w:t>
            </w:r>
          </w:p>
        </w:tc>
        <w:tc>
          <w:tcPr>
            <w:tcW w:w="0" w:type="auto"/>
            <w:vAlign w:val="center"/>
          </w:tcPr>
          <w:p w:rsidR="00CA4759" w:rsidRDefault="0063114E">
            <w:pPr>
              <w:jc w:val="center"/>
            </w:pPr>
            <w:r>
              <w:rPr>
                <w:rFonts w:eastAsiaTheme="minorEastAsia"/>
                <w:szCs w:val="21"/>
              </w:rPr>
              <w:t>英国伦敦交易所</w:t>
            </w:r>
          </w:p>
        </w:tc>
        <w:tc>
          <w:tcPr>
            <w:tcW w:w="0" w:type="auto"/>
            <w:vAlign w:val="center"/>
          </w:tcPr>
          <w:p w:rsidR="00CA4759" w:rsidRDefault="0063114E">
            <w:pPr>
              <w:jc w:val="center"/>
            </w:pPr>
            <w:r>
              <w:rPr>
                <w:rFonts w:eastAsiaTheme="minorEastAsia"/>
                <w:szCs w:val="21"/>
              </w:rPr>
              <w:t>英国</w:t>
            </w:r>
          </w:p>
        </w:tc>
        <w:tc>
          <w:tcPr>
            <w:tcW w:w="0" w:type="auto"/>
            <w:vAlign w:val="center"/>
          </w:tcPr>
          <w:p w:rsidR="00CA4759" w:rsidRDefault="0063114E">
            <w:pPr>
              <w:jc w:val="right"/>
            </w:pPr>
            <w:r>
              <w:rPr>
                <w:rFonts w:eastAsiaTheme="minorEastAsia"/>
                <w:szCs w:val="21"/>
              </w:rPr>
              <w:t>6,023</w:t>
            </w:r>
          </w:p>
        </w:tc>
        <w:tc>
          <w:tcPr>
            <w:tcW w:w="0" w:type="auto"/>
            <w:vAlign w:val="center"/>
          </w:tcPr>
          <w:p w:rsidR="00CA4759" w:rsidRDefault="0063114E">
            <w:pPr>
              <w:jc w:val="right"/>
            </w:pPr>
            <w:r>
              <w:rPr>
                <w:rFonts w:eastAsiaTheme="minorEastAsia"/>
                <w:szCs w:val="21"/>
              </w:rPr>
              <w:t>1,067,114.67</w:t>
            </w:r>
          </w:p>
        </w:tc>
        <w:tc>
          <w:tcPr>
            <w:tcW w:w="0" w:type="auto"/>
            <w:vAlign w:val="center"/>
          </w:tcPr>
          <w:p w:rsidR="00CA4759" w:rsidRDefault="0063114E">
            <w:pPr>
              <w:jc w:val="right"/>
            </w:pPr>
            <w:r>
              <w:rPr>
                <w:rFonts w:eastAsiaTheme="minorEastAsia"/>
                <w:szCs w:val="21"/>
              </w:rPr>
              <w:t>1.08</w:t>
            </w:r>
          </w:p>
        </w:tc>
      </w:tr>
      <w:tr w:rsidR="00CA4759">
        <w:tc>
          <w:tcPr>
            <w:tcW w:w="0" w:type="auto"/>
            <w:vAlign w:val="center"/>
          </w:tcPr>
          <w:p w:rsidR="00CA4759" w:rsidRDefault="0063114E">
            <w:pPr>
              <w:jc w:val="center"/>
            </w:pPr>
            <w:r>
              <w:rPr>
                <w:rFonts w:eastAsiaTheme="minorEastAsia"/>
                <w:szCs w:val="21"/>
              </w:rPr>
              <w:t>6</w:t>
            </w:r>
          </w:p>
        </w:tc>
        <w:tc>
          <w:tcPr>
            <w:tcW w:w="0" w:type="auto"/>
            <w:vAlign w:val="center"/>
          </w:tcPr>
          <w:p w:rsidR="00CA4759" w:rsidRDefault="0063114E">
            <w:pPr>
              <w:jc w:val="center"/>
            </w:pPr>
            <w:r>
              <w:rPr>
                <w:rFonts w:eastAsiaTheme="minorEastAsia"/>
                <w:szCs w:val="21"/>
              </w:rPr>
              <w:t>TOTALENERGIES SE -SPON ADR</w:t>
            </w:r>
          </w:p>
        </w:tc>
        <w:tc>
          <w:tcPr>
            <w:tcW w:w="0" w:type="auto"/>
            <w:vAlign w:val="center"/>
          </w:tcPr>
          <w:p w:rsidR="00CA4759" w:rsidRDefault="0063114E">
            <w:pPr>
              <w:jc w:val="center"/>
            </w:pPr>
            <w:r>
              <w:rPr>
                <w:rFonts w:eastAsiaTheme="minorEastAsia"/>
                <w:szCs w:val="21"/>
              </w:rPr>
              <w:t>道达尔集团</w:t>
            </w:r>
          </w:p>
        </w:tc>
        <w:tc>
          <w:tcPr>
            <w:tcW w:w="0" w:type="auto"/>
            <w:vAlign w:val="center"/>
          </w:tcPr>
          <w:p w:rsidR="00CA4759" w:rsidRDefault="0063114E">
            <w:pPr>
              <w:jc w:val="center"/>
            </w:pPr>
            <w:r>
              <w:rPr>
                <w:rFonts w:eastAsiaTheme="minorEastAsia"/>
                <w:szCs w:val="21"/>
              </w:rPr>
              <w:t>TTE</w:t>
            </w:r>
          </w:p>
        </w:tc>
        <w:tc>
          <w:tcPr>
            <w:tcW w:w="0" w:type="auto"/>
            <w:vAlign w:val="center"/>
          </w:tcPr>
          <w:p w:rsidR="00CA4759" w:rsidRDefault="0063114E">
            <w:pPr>
              <w:jc w:val="center"/>
            </w:pPr>
            <w:r>
              <w:rPr>
                <w:rFonts w:eastAsiaTheme="minorEastAsia"/>
                <w:szCs w:val="21"/>
              </w:rPr>
              <w:t>纽约证券交易所</w:t>
            </w:r>
          </w:p>
        </w:tc>
        <w:tc>
          <w:tcPr>
            <w:tcW w:w="0" w:type="auto"/>
            <w:vAlign w:val="center"/>
          </w:tcPr>
          <w:p w:rsidR="00CA4759" w:rsidRDefault="0063114E">
            <w:pPr>
              <w:jc w:val="center"/>
            </w:pPr>
            <w:r>
              <w:rPr>
                <w:rFonts w:eastAsiaTheme="minorEastAsia"/>
                <w:szCs w:val="21"/>
              </w:rPr>
              <w:t>美国</w:t>
            </w:r>
          </w:p>
        </w:tc>
        <w:tc>
          <w:tcPr>
            <w:tcW w:w="0" w:type="auto"/>
            <w:vAlign w:val="center"/>
          </w:tcPr>
          <w:p w:rsidR="00CA4759" w:rsidRDefault="0063114E">
            <w:pPr>
              <w:jc w:val="right"/>
            </w:pPr>
            <w:r>
              <w:rPr>
                <w:rFonts w:eastAsiaTheme="minorEastAsia"/>
                <w:szCs w:val="21"/>
              </w:rPr>
              <w:t>7,158</w:t>
            </w:r>
          </w:p>
        </w:tc>
        <w:tc>
          <w:tcPr>
            <w:tcW w:w="0" w:type="auto"/>
            <w:vAlign w:val="center"/>
          </w:tcPr>
          <w:p w:rsidR="00CA4759" w:rsidRDefault="0063114E">
            <w:pPr>
              <w:jc w:val="right"/>
            </w:pPr>
            <w:r>
              <w:rPr>
                <w:rFonts w:eastAsiaTheme="minorEastAsia"/>
                <w:szCs w:val="21"/>
              </w:rPr>
              <w:t>2,804,273.91</w:t>
            </w:r>
          </w:p>
        </w:tc>
        <w:tc>
          <w:tcPr>
            <w:tcW w:w="0" w:type="auto"/>
            <w:vAlign w:val="center"/>
          </w:tcPr>
          <w:p w:rsidR="00CA4759" w:rsidRDefault="0063114E">
            <w:pPr>
              <w:jc w:val="right"/>
            </w:pPr>
            <w:r>
              <w:rPr>
                <w:rFonts w:eastAsiaTheme="minorEastAsia"/>
                <w:szCs w:val="21"/>
              </w:rPr>
              <w:t>2.84</w:t>
            </w:r>
          </w:p>
        </w:tc>
      </w:tr>
      <w:tr w:rsidR="00CA4759">
        <w:tc>
          <w:tcPr>
            <w:tcW w:w="0" w:type="auto"/>
            <w:vAlign w:val="center"/>
          </w:tcPr>
          <w:p w:rsidR="00CA4759" w:rsidRDefault="0063114E">
            <w:pPr>
              <w:jc w:val="center"/>
            </w:pPr>
            <w:r>
              <w:rPr>
                <w:rFonts w:eastAsiaTheme="minorEastAsia"/>
                <w:szCs w:val="21"/>
              </w:rPr>
              <w:t>7</w:t>
            </w:r>
          </w:p>
        </w:tc>
        <w:tc>
          <w:tcPr>
            <w:tcW w:w="0" w:type="auto"/>
            <w:vAlign w:val="center"/>
          </w:tcPr>
          <w:p w:rsidR="00CA4759" w:rsidRDefault="0063114E">
            <w:pPr>
              <w:jc w:val="center"/>
            </w:pPr>
            <w:r>
              <w:rPr>
                <w:rFonts w:eastAsiaTheme="minorEastAsia"/>
                <w:szCs w:val="21"/>
              </w:rPr>
              <w:t>CANADIAN NATURAL RESOURCES</w:t>
            </w:r>
          </w:p>
        </w:tc>
        <w:tc>
          <w:tcPr>
            <w:tcW w:w="0" w:type="auto"/>
            <w:vAlign w:val="center"/>
          </w:tcPr>
          <w:p w:rsidR="00CA4759" w:rsidRDefault="0063114E">
            <w:pPr>
              <w:jc w:val="center"/>
            </w:pPr>
            <w:r>
              <w:rPr>
                <w:rFonts w:eastAsiaTheme="minorEastAsia"/>
                <w:szCs w:val="21"/>
              </w:rPr>
              <w:t>加拿大自然资源有限公司</w:t>
            </w:r>
          </w:p>
        </w:tc>
        <w:tc>
          <w:tcPr>
            <w:tcW w:w="0" w:type="auto"/>
            <w:vAlign w:val="center"/>
          </w:tcPr>
          <w:p w:rsidR="00CA4759" w:rsidRDefault="0063114E">
            <w:pPr>
              <w:jc w:val="center"/>
            </w:pPr>
            <w:r>
              <w:rPr>
                <w:rFonts w:eastAsiaTheme="minorEastAsia"/>
                <w:szCs w:val="21"/>
              </w:rPr>
              <w:t>CNQ</w:t>
            </w:r>
          </w:p>
        </w:tc>
        <w:tc>
          <w:tcPr>
            <w:tcW w:w="0" w:type="auto"/>
            <w:vAlign w:val="center"/>
          </w:tcPr>
          <w:p w:rsidR="00CA4759" w:rsidRDefault="0063114E">
            <w:pPr>
              <w:jc w:val="center"/>
            </w:pPr>
            <w:r>
              <w:rPr>
                <w:rFonts w:eastAsiaTheme="minorEastAsia"/>
                <w:szCs w:val="21"/>
              </w:rPr>
              <w:t>加拿大证券交易所</w:t>
            </w:r>
          </w:p>
        </w:tc>
        <w:tc>
          <w:tcPr>
            <w:tcW w:w="0" w:type="auto"/>
            <w:vAlign w:val="center"/>
          </w:tcPr>
          <w:p w:rsidR="00CA4759" w:rsidRDefault="0063114E">
            <w:pPr>
              <w:jc w:val="center"/>
            </w:pPr>
            <w:r>
              <w:rPr>
                <w:rFonts w:eastAsiaTheme="minorEastAsia"/>
                <w:szCs w:val="21"/>
              </w:rPr>
              <w:t>加拿大</w:t>
            </w:r>
          </w:p>
        </w:tc>
        <w:tc>
          <w:tcPr>
            <w:tcW w:w="0" w:type="auto"/>
            <w:vAlign w:val="center"/>
          </w:tcPr>
          <w:p w:rsidR="00CA4759" w:rsidRDefault="0063114E">
            <w:pPr>
              <w:jc w:val="right"/>
            </w:pPr>
            <w:r>
              <w:rPr>
                <w:rFonts w:eastAsiaTheme="minorEastAsia"/>
                <w:szCs w:val="21"/>
              </w:rPr>
              <w:t>12,434</w:t>
            </w:r>
          </w:p>
        </w:tc>
        <w:tc>
          <w:tcPr>
            <w:tcW w:w="0" w:type="auto"/>
            <w:vAlign w:val="center"/>
          </w:tcPr>
          <w:p w:rsidR="00CA4759" w:rsidRDefault="0063114E">
            <w:pPr>
              <w:jc w:val="right"/>
            </w:pPr>
            <w:r>
              <w:rPr>
                <w:rFonts w:eastAsiaTheme="minorEastAsia"/>
                <w:szCs w:val="21"/>
              </w:rPr>
              <w:t>2,758,107.01</w:t>
            </w:r>
          </w:p>
        </w:tc>
        <w:tc>
          <w:tcPr>
            <w:tcW w:w="0" w:type="auto"/>
            <w:vAlign w:val="center"/>
          </w:tcPr>
          <w:p w:rsidR="00CA4759" w:rsidRDefault="0063114E">
            <w:pPr>
              <w:jc w:val="right"/>
            </w:pPr>
            <w:r>
              <w:rPr>
                <w:rFonts w:eastAsiaTheme="minorEastAsia"/>
                <w:szCs w:val="21"/>
              </w:rPr>
              <w:t>2.79</w:t>
            </w:r>
          </w:p>
        </w:tc>
      </w:tr>
      <w:tr w:rsidR="00CA4759">
        <w:tc>
          <w:tcPr>
            <w:tcW w:w="0" w:type="auto"/>
            <w:vAlign w:val="center"/>
          </w:tcPr>
          <w:p w:rsidR="00CA4759" w:rsidRDefault="0063114E">
            <w:pPr>
              <w:jc w:val="center"/>
            </w:pPr>
            <w:r>
              <w:rPr>
                <w:rFonts w:eastAsiaTheme="minorEastAsia"/>
                <w:szCs w:val="21"/>
              </w:rPr>
              <w:t>8</w:t>
            </w:r>
          </w:p>
        </w:tc>
        <w:tc>
          <w:tcPr>
            <w:tcW w:w="0" w:type="auto"/>
            <w:vAlign w:val="center"/>
          </w:tcPr>
          <w:p w:rsidR="00CA4759" w:rsidRDefault="0063114E">
            <w:pPr>
              <w:jc w:val="center"/>
            </w:pPr>
            <w:r>
              <w:rPr>
                <w:rFonts w:eastAsiaTheme="minorEastAsia"/>
                <w:szCs w:val="21"/>
              </w:rPr>
              <w:t>GLENCORE PLC (UK LIST)</w:t>
            </w:r>
          </w:p>
        </w:tc>
        <w:tc>
          <w:tcPr>
            <w:tcW w:w="0" w:type="auto"/>
            <w:vAlign w:val="center"/>
          </w:tcPr>
          <w:p w:rsidR="00CA4759" w:rsidRDefault="0063114E">
            <w:pPr>
              <w:jc w:val="center"/>
            </w:pPr>
            <w:r>
              <w:rPr>
                <w:rFonts w:eastAsiaTheme="minorEastAsia"/>
                <w:szCs w:val="21"/>
              </w:rPr>
              <w:t>嘉能可</w:t>
            </w:r>
          </w:p>
        </w:tc>
        <w:tc>
          <w:tcPr>
            <w:tcW w:w="0" w:type="auto"/>
            <w:vAlign w:val="center"/>
          </w:tcPr>
          <w:p w:rsidR="00CA4759" w:rsidRDefault="0063114E">
            <w:pPr>
              <w:jc w:val="center"/>
            </w:pPr>
            <w:r>
              <w:rPr>
                <w:rFonts w:eastAsiaTheme="minorEastAsia"/>
                <w:szCs w:val="21"/>
              </w:rPr>
              <w:t>GLEN</w:t>
            </w:r>
          </w:p>
        </w:tc>
        <w:tc>
          <w:tcPr>
            <w:tcW w:w="0" w:type="auto"/>
            <w:vAlign w:val="center"/>
          </w:tcPr>
          <w:p w:rsidR="00CA4759" w:rsidRDefault="0063114E">
            <w:pPr>
              <w:jc w:val="center"/>
            </w:pPr>
            <w:r>
              <w:rPr>
                <w:rFonts w:eastAsiaTheme="minorEastAsia"/>
                <w:szCs w:val="21"/>
              </w:rPr>
              <w:t>英国伦</w:t>
            </w:r>
            <w:r>
              <w:rPr>
                <w:rFonts w:eastAsiaTheme="minorEastAsia"/>
                <w:szCs w:val="21"/>
              </w:rPr>
              <w:lastRenderedPageBreak/>
              <w:t>敦交易所</w:t>
            </w:r>
          </w:p>
        </w:tc>
        <w:tc>
          <w:tcPr>
            <w:tcW w:w="0" w:type="auto"/>
            <w:vAlign w:val="center"/>
          </w:tcPr>
          <w:p w:rsidR="00CA4759" w:rsidRDefault="0063114E">
            <w:pPr>
              <w:jc w:val="center"/>
            </w:pPr>
            <w:r>
              <w:rPr>
                <w:rFonts w:eastAsiaTheme="minorEastAsia"/>
                <w:szCs w:val="21"/>
              </w:rPr>
              <w:lastRenderedPageBreak/>
              <w:t>英国</w:t>
            </w:r>
          </w:p>
        </w:tc>
        <w:tc>
          <w:tcPr>
            <w:tcW w:w="0" w:type="auto"/>
            <w:vAlign w:val="center"/>
          </w:tcPr>
          <w:p w:rsidR="00CA4759" w:rsidRDefault="0063114E">
            <w:pPr>
              <w:jc w:val="right"/>
            </w:pPr>
            <w:r>
              <w:rPr>
                <w:rFonts w:eastAsiaTheme="minorEastAsia"/>
                <w:szCs w:val="21"/>
              </w:rPr>
              <w:t>85,318</w:t>
            </w:r>
          </w:p>
        </w:tc>
        <w:tc>
          <w:tcPr>
            <w:tcW w:w="0" w:type="auto"/>
            <w:vAlign w:val="center"/>
          </w:tcPr>
          <w:p w:rsidR="00CA4759" w:rsidRDefault="0063114E">
            <w:pPr>
              <w:jc w:val="right"/>
            </w:pPr>
            <w:r>
              <w:rPr>
                <w:rFonts w:eastAsiaTheme="minorEastAsia"/>
                <w:szCs w:val="21"/>
              </w:rPr>
              <w:t>2,736,690.10</w:t>
            </w:r>
          </w:p>
        </w:tc>
        <w:tc>
          <w:tcPr>
            <w:tcW w:w="0" w:type="auto"/>
            <w:vAlign w:val="center"/>
          </w:tcPr>
          <w:p w:rsidR="00CA4759" w:rsidRDefault="0063114E">
            <w:pPr>
              <w:jc w:val="right"/>
            </w:pPr>
            <w:r>
              <w:rPr>
                <w:rFonts w:eastAsiaTheme="minorEastAsia"/>
                <w:szCs w:val="21"/>
              </w:rPr>
              <w:t>2.77</w:t>
            </w:r>
          </w:p>
        </w:tc>
      </w:tr>
      <w:tr w:rsidR="00CA4759">
        <w:tc>
          <w:tcPr>
            <w:tcW w:w="0" w:type="auto"/>
            <w:vAlign w:val="center"/>
          </w:tcPr>
          <w:p w:rsidR="00CA4759" w:rsidRDefault="0063114E">
            <w:pPr>
              <w:jc w:val="center"/>
            </w:pPr>
            <w:r>
              <w:rPr>
                <w:rFonts w:eastAsiaTheme="minorEastAsia"/>
                <w:szCs w:val="21"/>
              </w:rPr>
              <w:t>9</w:t>
            </w:r>
          </w:p>
        </w:tc>
        <w:tc>
          <w:tcPr>
            <w:tcW w:w="0" w:type="auto"/>
            <w:vAlign w:val="center"/>
          </w:tcPr>
          <w:p w:rsidR="00CA4759" w:rsidRDefault="0063114E">
            <w:pPr>
              <w:jc w:val="center"/>
            </w:pPr>
            <w:r>
              <w:rPr>
                <w:rFonts w:eastAsiaTheme="minorEastAsia"/>
                <w:szCs w:val="21"/>
              </w:rPr>
              <w:t>AGNICO EAGLE MINES LTD</w:t>
            </w:r>
          </w:p>
        </w:tc>
        <w:tc>
          <w:tcPr>
            <w:tcW w:w="0" w:type="auto"/>
            <w:vAlign w:val="center"/>
          </w:tcPr>
          <w:p w:rsidR="00CA4759" w:rsidRDefault="0063114E">
            <w:pPr>
              <w:jc w:val="center"/>
            </w:pPr>
            <w:r>
              <w:rPr>
                <w:rFonts w:eastAsiaTheme="minorEastAsia"/>
                <w:szCs w:val="21"/>
              </w:rPr>
              <w:t>阿哥尼可老鹰矿场有限公司</w:t>
            </w:r>
          </w:p>
        </w:tc>
        <w:tc>
          <w:tcPr>
            <w:tcW w:w="0" w:type="auto"/>
            <w:vAlign w:val="center"/>
          </w:tcPr>
          <w:p w:rsidR="00CA4759" w:rsidRDefault="0063114E">
            <w:pPr>
              <w:jc w:val="center"/>
            </w:pPr>
            <w:r>
              <w:rPr>
                <w:rFonts w:eastAsiaTheme="minorEastAsia"/>
                <w:szCs w:val="21"/>
              </w:rPr>
              <w:t>AEM</w:t>
            </w:r>
          </w:p>
        </w:tc>
        <w:tc>
          <w:tcPr>
            <w:tcW w:w="0" w:type="auto"/>
            <w:vAlign w:val="center"/>
          </w:tcPr>
          <w:p w:rsidR="00CA4759" w:rsidRDefault="0063114E">
            <w:pPr>
              <w:jc w:val="center"/>
            </w:pPr>
            <w:r>
              <w:rPr>
                <w:rFonts w:eastAsiaTheme="minorEastAsia"/>
                <w:szCs w:val="21"/>
              </w:rPr>
              <w:t>加拿大证券交易所</w:t>
            </w:r>
          </w:p>
        </w:tc>
        <w:tc>
          <w:tcPr>
            <w:tcW w:w="0" w:type="auto"/>
            <w:vAlign w:val="center"/>
          </w:tcPr>
          <w:p w:rsidR="00CA4759" w:rsidRDefault="0063114E">
            <w:pPr>
              <w:jc w:val="center"/>
            </w:pPr>
            <w:r>
              <w:rPr>
                <w:rFonts w:eastAsiaTheme="minorEastAsia"/>
                <w:szCs w:val="21"/>
              </w:rPr>
              <w:t>加拿大</w:t>
            </w:r>
          </w:p>
        </w:tc>
        <w:tc>
          <w:tcPr>
            <w:tcW w:w="0" w:type="auto"/>
            <w:vAlign w:val="center"/>
          </w:tcPr>
          <w:p w:rsidR="00CA4759" w:rsidRDefault="0063114E">
            <w:pPr>
              <w:jc w:val="right"/>
            </w:pPr>
            <w:r>
              <w:rPr>
                <w:rFonts w:eastAsiaTheme="minorEastAsia"/>
                <w:szCs w:val="21"/>
              </w:rPr>
              <w:t>4,750</w:t>
            </w:r>
          </w:p>
        </w:tc>
        <w:tc>
          <w:tcPr>
            <w:tcW w:w="0" w:type="auto"/>
            <w:vAlign w:val="center"/>
          </w:tcPr>
          <w:p w:rsidR="00CA4759" w:rsidRDefault="0063114E">
            <w:pPr>
              <w:jc w:val="right"/>
            </w:pPr>
            <w:r>
              <w:rPr>
                <w:rFonts w:eastAsiaTheme="minorEastAsia"/>
                <w:szCs w:val="21"/>
              </w:rPr>
              <w:t>2,669,959.29</w:t>
            </w:r>
          </w:p>
        </w:tc>
        <w:tc>
          <w:tcPr>
            <w:tcW w:w="0" w:type="auto"/>
            <w:vAlign w:val="center"/>
          </w:tcPr>
          <w:p w:rsidR="00CA4759" w:rsidRDefault="0063114E">
            <w:pPr>
              <w:jc w:val="right"/>
            </w:pPr>
            <w:r>
              <w:rPr>
                <w:rFonts w:eastAsiaTheme="minorEastAsia"/>
                <w:szCs w:val="21"/>
              </w:rPr>
              <w:t>2.70</w:t>
            </w:r>
          </w:p>
        </w:tc>
      </w:tr>
      <w:tr w:rsidR="00CA4759">
        <w:tc>
          <w:tcPr>
            <w:tcW w:w="0" w:type="auto"/>
            <w:vAlign w:val="center"/>
          </w:tcPr>
          <w:p w:rsidR="00CA4759" w:rsidRDefault="0063114E">
            <w:pPr>
              <w:jc w:val="center"/>
            </w:pPr>
            <w:r>
              <w:rPr>
                <w:rFonts w:eastAsiaTheme="minorEastAsia"/>
                <w:szCs w:val="21"/>
              </w:rPr>
              <w:t>10</w:t>
            </w:r>
          </w:p>
        </w:tc>
        <w:tc>
          <w:tcPr>
            <w:tcW w:w="0" w:type="auto"/>
            <w:vAlign w:val="center"/>
          </w:tcPr>
          <w:p w:rsidR="00CA4759" w:rsidRDefault="0063114E">
            <w:pPr>
              <w:jc w:val="center"/>
            </w:pPr>
            <w:r>
              <w:rPr>
                <w:rFonts w:eastAsiaTheme="minorEastAsia"/>
                <w:szCs w:val="21"/>
              </w:rPr>
              <w:t>WILLIAMS COS INC</w:t>
            </w:r>
          </w:p>
        </w:tc>
        <w:tc>
          <w:tcPr>
            <w:tcW w:w="0" w:type="auto"/>
            <w:vAlign w:val="center"/>
          </w:tcPr>
          <w:p w:rsidR="00CA4759" w:rsidRDefault="0063114E">
            <w:pPr>
              <w:jc w:val="center"/>
            </w:pPr>
            <w:r>
              <w:rPr>
                <w:rFonts w:eastAsiaTheme="minorEastAsia"/>
                <w:szCs w:val="21"/>
              </w:rPr>
              <w:t>威廉姆斯公司</w:t>
            </w:r>
          </w:p>
        </w:tc>
        <w:tc>
          <w:tcPr>
            <w:tcW w:w="0" w:type="auto"/>
            <w:vAlign w:val="center"/>
          </w:tcPr>
          <w:p w:rsidR="00CA4759" w:rsidRDefault="0063114E">
            <w:pPr>
              <w:jc w:val="center"/>
            </w:pPr>
            <w:r>
              <w:rPr>
                <w:rFonts w:eastAsiaTheme="minorEastAsia"/>
                <w:szCs w:val="21"/>
              </w:rPr>
              <w:t>WMB</w:t>
            </w:r>
          </w:p>
        </w:tc>
        <w:tc>
          <w:tcPr>
            <w:tcW w:w="0" w:type="auto"/>
            <w:vAlign w:val="center"/>
          </w:tcPr>
          <w:p w:rsidR="00CA4759" w:rsidRDefault="0063114E">
            <w:pPr>
              <w:jc w:val="center"/>
            </w:pPr>
            <w:r>
              <w:rPr>
                <w:rFonts w:eastAsiaTheme="minorEastAsia"/>
                <w:szCs w:val="21"/>
              </w:rPr>
              <w:t>纽约证券交易所</w:t>
            </w:r>
          </w:p>
        </w:tc>
        <w:tc>
          <w:tcPr>
            <w:tcW w:w="0" w:type="auto"/>
            <w:vAlign w:val="center"/>
          </w:tcPr>
          <w:p w:rsidR="00CA4759" w:rsidRDefault="0063114E">
            <w:pPr>
              <w:jc w:val="center"/>
            </w:pPr>
            <w:r>
              <w:rPr>
                <w:rFonts w:eastAsiaTheme="minorEastAsia"/>
                <w:szCs w:val="21"/>
              </w:rPr>
              <w:t>美国</w:t>
            </w:r>
          </w:p>
        </w:tc>
        <w:tc>
          <w:tcPr>
            <w:tcW w:w="0" w:type="auto"/>
            <w:vAlign w:val="center"/>
          </w:tcPr>
          <w:p w:rsidR="00CA4759" w:rsidRDefault="0063114E">
            <w:pPr>
              <w:jc w:val="right"/>
            </w:pPr>
            <w:r>
              <w:rPr>
                <w:rFonts w:eastAsiaTheme="minorEastAsia"/>
                <w:szCs w:val="21"/>
              </w:rPr>
              <w:t>6,538</w:t>
            </w:r>
          </w:p>
        </w:tc>
        <w:tc>
          <w:tcPr>
            <w:tcW w:w="0" w:type="auto"/>
            <w:vAlign w:val="center"/>
          </w:tcPr>
          <w:p w:rsidR="00CA4759" w:rsidRDefault="0063114E">
            <w:pPr>
              <w:jc w:val="right"/>
            </w:pPr>
            <w:r>
              <w:rPr>
                <w:rFonts w:eastAsiaTheme="minorEastAsia"/>
                <w:szCs w:val="21"/>
              </w:rPr>
              <w:t>2,543,518.73</w:t>
            </w:r>
          </w:p>
        </w:tc>
        <w:tc>
          <w:tcPr>
            <w:tcW w:w="0" w:type="auto"/>
            <w:vAlign w:val="center"/>
          </w:tcPr>
          <w:p w:rsidR="00CA4759" w:rsidRDefault="0063114E">
            <w:pPr>
              <w:jc w:val="right"/>
            </w:pPr>
            <w:r>
              <w:rPr>
                <w:rFonts w:eastAsiaTheme="minorEastAsia"/>
                <w:szCs w:val="21"/>
              </w:rPr>
              <w:t>2.57</w:t>
            </w:r>
          </w:p>
        </w:tc>
      </w:tr>
    </w:tbl>
    <w:p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本基金本报告期末未持有基金。</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185,313.97</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2,436,542.02</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2,621,855.99</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94,731,281.75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14,210,718.65</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7,380,321.66</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8,653,266.02</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13,066,736.03</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8,864,031.05</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89,044,867.38</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13,999,953.62</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D678E4" w:rsidRPr="00DF18FE" w:rsidRDefault="00D678E4" w:rsidP="00D678E4">
      <w:pPr>
        <w:spacing w:line="360" w:lineRule="auto"/>
        <w:ind w:firstLineChars="200" w:firstLine="480"/>
        <w:rPr>
          <w:color w:val="000000"/>
          <w:sz w:val="24"/>
        </w:rPr>
      </w:pPr>
      <w:r w:rsidRPr="00DF18FE">
        <w:rPr>
          <w:color w:val="000000"/>
          <w:sz w:val="24"/>
        </w:rPr>
        <w:t>无。</w:t>
      </w:r>
    </w:p>
    <w:p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基金合同》；</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托管协议》；</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CA4759" w:rsidRDefault="0063114E">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lastRenderedPageBreak/>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二〇二五年一月二十二日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37BD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37BDD">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37BDD">
      <w:rPr>
        <w:rStyle w:val="a8"/>
        <w:noProof/>
      </w:rPr>
      <w:t>2</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摩根全球天然资源混合型证券投资基金</w:t>
    </w:r>
    <w:r w:rsidRPr="006669C9">
      <w:t>(QDII)2024</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14E"/>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BDD"/>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4759"/>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112</TotalTime>
  <Pages>17</Pages>
  <Words>1439</Words>
  <Characters>8203</Characters>
  <Application>Microsoft Office Word</Application>
  <DocSecurity>0</DocSecurity>
  <Lines>68</Lines>
  <Paragraphs>19</Paragraphs>
  <ScaleCrop>false</ScaleCrop>
  <Company>TRT. Ltd. Co.</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32</cp:revision>
  <cp:lastPrinted>2007-07-19T00:46:00Z</cp:lastPrinted>
  <dcterms:created xsi:type="dcterms:W3CDTF">2014-12-16T02:40:00Z</dcterms:created>
  <dcterms:modified xsi:type="dcterms:W3CDTF">2025-01-21T07:21:00Z</dcterms:modified>
</cp:coreProperties>
</file>