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摩根全球天然资源混合型证券投资基金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二〇二三年四月二十一日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摩根全球天然资源混合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378546</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378546</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2012</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26</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100,591,705.30</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206B34" w:rsidRDefault="00EF1B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全球天然资源的稀缺与人类对其需求的不断增长的矛盾日益突显，这显示了天然资源具有极大的战略价值，该行业的相关上市公司也具有良好的投资机会。本基金将充分</w:t>
            </w:r>
            <w:r>
              <w:rPr>
                <w:rFonts w:eastAsiaTheme="minorEastAsia"/>
                <w:color w:val="000000" w:themeColor="text1"/>
                <w:kern w:val="0"/>
                <w:szCs w:val="21"/>
              </w:rPr>
              <w:lastRenderedPageBreak/>
              <w:t>分享全球天然资源行业未来的高增长成果，审慎把握全球天然资源的投资机会，争取为投资者带来长期稳健回报。</w:t>
            </w:r>
          </w:p>
          <w:p w:rsidR="00206B34" w:rsidRDefault="00EF1B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206B34" w:rsidRDefault="00EF1B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rsidR="00206B34" w:rsidRDefault="00EF1B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206B34" w:rsidRDefault="00EF1B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206B34" w:rsidRDefault="00EF1B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、衍生品投资策略</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本基金将以组合避险或有效管理为目标，本着谨慎原则，进行风险识别，适度参与衍生品投资。</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欧洲货币矿产、黄金及能源指数（</w:t>
            </w:r>
            <w:r w:rsidRPr="00A76A42">
              <w:rPr>
                <w:rFonts w:eastAsiaTheme="minorEastAsia"/>
                <w:color w:val="000000" w:themeColor="text1"/>
                <w:kern w:val="0"/>
                <w:szCs w:val="21"/>
              </w:rPr>
              <w:t>Euromoney Mining, Gold&amp;Energy Index</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206B34" w:rsidRDefault="00EF1BC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A76A42">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EF1BCB" w:rsidRPr="00A76A42" w:rsidTr="00EF1BCB">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EF1BCB" w:rsidRPr="00A76A42" w:rsidTr="00EF1BC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2,416,973.</w:t>
            </w:r>
            <w:r w:rsidR="00EF1BCB">
              <w:rPr>
                <w:rFonts w:eastAsiaTheme="minorEastAsia"/>
                <w:color w:val="000000" w:themeColor="text1"/>
                <w:szCs w:val="21"/>
              </w:rPr>
              <w:t>91</w:t>
            </w:r>
          </w:p>
        </w:tc>
      </w:tr>
      <w:tr w:rsidR="00EF1BCB" w:rsidRPr="00A76A42" w:rsidTr="00EF1BC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-2,696,38</w:t>
            </w:r>
            <w:r w:rsidR="00EF1BCB">
              <w:rPr>
                <w:rFonts w:eastAsiaTheme="minorEastAsia"/>
                <w:color w:val="000000" w:themeColor="text1"/>
                <w:szCs w:val="21"/>
              </w:rPr>
              <w:t>3.90</w:t>
            </w:r>
          </w:p>
        </w:tc>
      </w:tr>
      <w:tr w:rsidR="00EF1BCB" w:rsidRPr="00A76A42" w:rsidTr="00EF1BC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-0.0262</w:t>
            </w:r>
          </w:p>
        </w:tc>
      </w:tr>
      <w:tr w:rsidR="00EF1BCB" w:rsidRPr="00A76A42" w:rsidTr="00EF1BC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97,167,204.06</w:t>
            </w:r>
          </w:p>
        </w:tc>
      </w:tr>
      <w:tr w:rsidR="00EF1BCB" w:rsidRPr="00A76A42" w:rsidTr="00EF1BCB">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0.9660</w:t>
            </w:r>
          </w:p>
        </w:tc>
      </w:tr>
    </w:tbl>
    <w:p w:rsidR="00206B34" w:rsidRDefault="00EF1BC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lastRenderedPageBreak/>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lastRenderedPageBreak/>
              <w:t>业绩比较基准收益</w:t>
            </w:r>
            <w:r w:rsidRPr="00A76A42">
              <w:rPr>
                <w:rFonts w:eastAsiaTheme="minorEastAsia"/>
                <w:color w:val="000000" w:themeColor="text1"/>
                <w:szCs w:val="21"/>
              </w:rPr>
              <w:lastRenderedPageBreak/>
              <w:t>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lastRenderedPageBreak/>
              <w:t>业绩比较基准收益</w:t>
            </w:r>
            <w:r w:rsidRPr="00A76A42">
              <w:rPr>
                <w:rFonts w:eastAsiaTheme="minorEastAsia"/>
                <w:color w:val="000000" w:themeColor="text1"/>
                <w:szCs w:val="21"/>
              </w:rPr>
              <w:lastRenderedPageBreak/>
              <w:t>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lastRenderedPageBreak/>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206B34">
        <w:tc>
          <w:tcPr>
            <w:tcW w:w="1395" w:type="dxa"/>
            <w:vAlign w:val="center"/>
          </w:tcPr>
          <w:p w:rsidR="00206B34" w:rsidRDefault="00EF1BCB">
            <w:pPr>
              <w:jc w:val="left"/>
            </w:pPr>
            <w:r>
              <w:rPr>
                <w:rFonts w:eastAsiaTheme="minorEastAsia"/>
                <w:color w:val="000000" w:themeColor="text1"/>
                <w:szCs w:val="21"/>
              </w:rPr>
              <w:t>过去三个月</w:t>
            </w:r>
          </w:p>
        </w:tc>
        <w:tc>
          <w:tcPr>
            <w:tcW w:w="1092" w:type="dxa"/>
            <w:vAlign w:val="center"/>
          </w:tcPr>
          <w:p w:rsidR="00206B34" w:rsidRDefault="00EF1BCB">
            <w:pPr>
              <w:jc w:val="right"/>
            </w:pPr>
            <w:r>
              <w:rPr>
                <w:rFonts w:eastAsiaTheme="minorEastAsia"/>
                <w:color w:val="000000" w:themeColor="text1"/>
                <w:szCs w:val="21"/>
              </w:rPr>
              <w:t>-2.63%</w:t>
            </w:r>
          </w:p>
        </w:tc>
        <w:tc>
          <w:tcPr>
            <w:tcW w:w="1161" w:type="dxa"/>
            <w:vAlign w:val="center"/>
          </w:tcPr>
          <w:p w:rsidR="00206B34" w:rsidRDefault="00EF1BCB">
            <w:pPr>
              <w:jc w:val="right"/>
            </w:pPr>
            <w:r>
              <w:rPr>
                <w:rFonts w:eastAsiaTheme="minorEastAsia"/>
                <w:color w:val="000000" w:themeColor="text1"/>
                <w:szCs w:val="21"/>
              </w:rPr>
              <w:t>1.28%</w:t>
            </w:r>
          </w:p>
        </w:tc>
        <w:tc>
          <w:tcPr>
            <w:tcW w:w="1181" w:type="dxa"/>
            <w:vAlign w:val="center"/>
          </w:tcPr>
          <w:p w:rsidR="00206B34" w:rsidRDefault="00EF1BCB">
            <w:pPr>
              <w:jc w:val="right"/>
            </w:pPr>
            <w:r>
              <w:rPr>
                <w:rFonts w:eastAsiaTheme="minorEastAsia"/>
                <w:color w:val="000000" w:themeColor="text1"/>
                <w:szCs w:val="21"/>
              </w:rPr>
              <w:t>1.97%</w:t>
            </w:r>
          </w:p>
        </w:tc>
        <w:tc>
          <w:tcPr>
            <w:tcW w:w="1188" w:type="dxa"/>
            <w:vAlign w:val="center"/>
          </w:tcPr>
          <w:p w:rsidR="00206B34" w:rsidRDefault="00EF1BCB">
            <w:pPr>
              <w:jc w:val="right"/>
            </w:pPr>
            <w:r>
              <w:rPr>
                <w:rFonts w:eastAsiaTheme="minorEastAsia"/>
                <w:color w:val="000000" w:themeColor="text1"/>
                <w:szCs w:val="21"/>
              </w:rPr>
              <w:t>1.20%</w:t>
            </w:r>
          </w:p>
        </w:tc>
        <w:tc>
          <w:tcPr>
            <w:tcW w:w="1199" w:type="dxa"/>
            <w:vAlign w:val="center"/>
          </w:tcPr>
          <w:p w:rsidR="00206B34" w:rsidRDefault="00EF1BCB">
            <w:pPr>
              <w:jc w:val="right"/>
            </w:pPr>
            <w:r>
              <w:rPr>
                <w:rFonts w:eastAsiaTheme="minorEastAsia"/>
                <w:color w:val="000000" w:themeColor="text1"/>
                <w:szCs w:val="21"/>
              </w:rPr>
              <w:t>-4.60%</w:t>
            </w:r>
          </w:p>
        </w:tc>
        <w:tc>
          <w:tcPr>
            <w:tcW w:w="1204" w:type="dxa"/>
            <w:vAlign w:val="center"/>
          </w:tcPr>
          <w:p w:rsidR="00206B34" w:rsidRDefault="00EF1BCB">
            <w:pPr>
              <w:jc w:val="right"/>
            </w:pPr>
            <w:r>
              <w:rPr>
                <w:rFonts w:eastAsiaTheme="minorEastAsia"/>
                <w:color w:val="000000" w:themeColor="text1"/>
                <w:szCs w:val="21"/>
              </w:rPr>
              <w:t>0.08%</w:t>
            </w:r>
          </w:p>
        </w:tc>
      </w:tr>
      <w:tr w:rsidR="00206B34">
        <w:tc>
          <w:tcPr>
            <w:tcW w:w="1395" w:type="dxa"/>
            <w:vAlign w:val="center"/>
          </w:tcPr>
          <w:p w:rsidR="00206B34" w:rsidRDefault="00EF1BCB">
            <w:pPr>
              <w:jc w:val="left"/>
            </w:pPr>
            <w:r>
              <w:rPr>
                <w:rFonts w:eastAsiaTheme="minorEastAsia"/>
                <w:color w:val="000000" w:themeColor="text1"/>
                <w:szCs w:val="21"/>
              </w:rPr>
              <w:t>过去六个月</w:t>
            </w:r>
          </w:p>
        </w:tc>
        <w:tc>
          <w:tcPr>
            <w:tcW w:w="1092" w:type="dxa"/>
            <w:vAlign w:val="center"/>
          </w:tcPr>
          <w:p w:rsidR="00206B34" w:rsidRDefault="00EF1BCB">
            <w:pPr>
              <w:jc w:val="right"/>
            </w:pPr>
            <w:r>
              <w:rPr>
                <w:rFonts w:eastAsiaTheme="minorEastAsia"/>
                <w:color w:val="000000" w:themeColor="text1"/>
                <w:szCs w:val="21"/>
              </w:rPr>
              <w:t>11.83%</w:t>
            </w:r>
          </w:p>
        </w:tc>
        <w:tc>
          <w:tcPr>
            <w:tcW w:w="1161" w:type="dxa"/>
            <w:vAlign w:val="center"/>
          </w:tcPr>
          <w:p w:rsidR="00206B34" w:rsidRDefault="00EF1BCB">
            <w:pPr>
              <w:jc w:val="right"/>
            </w:pPr>
            <w:r>
              <w:rPr>
                <w:rFonts w:eastAsiaTheme="minorEastAsia"/>
                <w:color w:val="000000" w:themeColor="text1"/>
                <w:szCs w:val="21"/>
              </w:rPr>
              <w:t>1.48%</w:t>
            </w:r>
          </w:p>
        </w:tc>
        <w:tc>
          <w:tcPr>
            <w:tcW w:w="1181" w:type="dxa"/>
            <w:vAlign w:val="center"/>
          </w:tcPr>
          <w:p w:rsidR="00206B34" w:rsidRDefault="00EF1BCB">
            <w:pPr>
              <w:jc w:val="right"/>
            </w:pPr>
            <w:r>
              <w:rPr>
                <w:rFonts w:eastAsiaTheme="minorEastAsia"/>
                <w:color w:val="000000" w:themeColor="text1"/>
                <w:szCs w:val="21"/>
              </w:rPr>
              <w:t>20.86%</w:t>
            </w:r>
          </w:p>
        </w:tc>
        <w:tc>
          <w:tcPr>
            <w:tcW w:w="1188" w:type="dxa"/>
            <w:vAlign w:val="center"/>
          </w:tcPr>
          <w:p w:rsidR="00206B34" w:rsidRDefault="00EF1BCB">
            <w:pPr>
              <w:jc w:val="right"/>
            </w:pPr>
            <w:r>
              <w:rPr>
                <w:rFonts w:eastAsiaTheme="minorEastAsia"/>
                <w:color w:val="000000" w:themeColor="text1"/>
                <w:szCs w:val="21"/>
              </w:rPr>
              <w:t>1.47%</w:t>
            </w:r>
          </w:p>
        </w:tc>
        <w:tc>
          <w:tcPr>
            <w:tcW w:w="1199" w:type="dxa"/>
            <w:vAlign w:val="center"/>
          </w:tcPr>
          <w:p w:rsidR="00206B34" w:rsidRDefault="00EF1BCB">
            <w:pPr>
              <w:jc w:val="right"/>
            </w:pPr>
            <w:r>
              <w:rPr>
                <w:rFonts w:eastAsiaTheme="minorEastAsia"/>
                <w:color w:val="000000" w:themeColor="text1"/>
                <w:szCs w:val="21"/>
              </w:rPr>
              <w:t>-9.03%</w:t>
            </w:r>
          </w:p>
        </w:tc>
        <w:tc>
          <w:tcPr>
            <w:tcW w:w="1204" w:type="dxa"/>
            <w:vAlign w:val="center"/>
          </w:tcPr>
          <w:p w:rsidR="00206B34" w:rsidRDefault="00EF1BCB">
            <w:pPr>
              <w:jc w:val="right"/>
            </w:pPr>
            <w:r>
              <w:rPr>
                <w:rFonts w:eastAsiaTheme="minorEastAsia"/>
                <w:color w:val="000000" w:themeColor="text1"/>
                <w:szCs w:val="21"/>
              </w:rPr>
              <w:t>0.01%</w:t>
            </w:r>
          </w:p>
        </w:tc>
      </w:tr>
      <w:tr w:rsidR="00206B34">
        <w:tc>
          <w:tcPr>
            <w:tcW w:w="1395" w:type="dxa"/>
            <w:vAlign w:val="center"/>
          </w:tcPr>
          <w:p w:rsidR="00206B34" w:rsidRDefault="00EF1BCB">
            <w:pPr>
              <w:jc w:val="left"/>
            </w:pPr>
            <w:r>
              <w:rPr>
                <w:rFonts w:eastAsiaTheme="minorEastAsia"/>
                <w:color w:val="000000" w:themeColor="text1"/>
                <w:szCs w:val="21"/>
              </w:rPr>
              <w:t>过去一年</w:t>
            </w:r>
          </w:p>
        </w:tc>
        <w:tc>
          <w:tcPr>
            <w:tcW w:w="1092" w:type="dxa"/>
            <w:vAlign w:val="center"/>
          </w:tcPr>
          <w:p w:rsidR="00206B34" w:rsidRDefault="00EF1BCB">
            <w:pPr>
              <w:jc w:val="right"/>
            </w:pPr>
            <w:r>
              <w:rPr>
                <w:rFonts w:eastAsiaTheme="minorEastAsia"/>
                <w:color w:val="000000" w:themeColor="text1"/>
                <w:szCs w:val="21"/>
              </w:rPr>
              <w:t>0.37%</w:t>
            </w:r>
          </w:p>
        </w:tc>
        <w:tc>
          <w:tcPr>
            <w:tcW w:w="1161" w:type="dxa"/>
            <w:vAlign w:val="center"/>
          </w:tcPr>
          <w:p w:rsidR="00206B34" w:rsidRDefault="00EF1BCB">
            <w:pPr>
              <w:jc w:val="right"/>
            </w:pPr>
            <w:r>
              <w:rPr>
                <w:rFonts w:eastAsiaTheme="minorEastAsia"/>
                <w:color w:val="000000" w:themeColor="text1"/>
                <w:szCs w:val="21"/>
              </w:rPr>
              <w:t>1.70%</w:t>
            </w:r>
          </w:p>
        </w:tc>
        <w:tc>
          <w:tcPr>
            <w:tcW w:w="1181" w:type="dxa"/>
            <w:vAlign w:val="center"/>
          </w:tcPr>
          <w:p w:rsidR="00206B34" w:rsidRDefault="00EF1BCB">
            <w:pPr>
              <w:jc w:val="right"/>
            </w:pPr>
            <w:r>
              <w:rPr>
                <w:rFonts w:eastAsiaTheme="minorEastAsia"/>
                <w:color w:val="000000" w:themeColor="text1"/>
                <w:szCs w:val="21"/>
              </w:rPr>
              <w:t>0.76%</w:t>
            </w:r>
          </w:p>
        </w:tc>
        <w:tc>
          <w:tcPr>
            <w:tcW w:w="1188" w:type="dxa"/>
            <w:vAlign w:val="center"/>
          </w:tcPr>
          <w:p w:rsidR="00206B34" w:rsidRDefault="00EF1BCB">
            <w:pPr>
              <w:jc w:val="right"/>
            </w:pPr>
            <w:r>
              <w:rPr>
                <w:rFonts w:eastAsiaTheme="minorEastAsia"/>
                <w:color w:val="000000" w:themeColor="text1"/>
                <w:szCs w:val="21"/>
              </w:rPr>
              <w:t>1.64%</w:t>
            </w:r>
          </w:p>
        </w:tc>
        <w:tc>
          <w:tcPr>
            <w:tcW w:w="1199" w:type="dxa"/>
            <w:vAlign w:val="center"/>
          </w:tcPr>
          <w:p w:rsidR="00206B34" w:rsidRDefault="00EF1BCB">
            <w:pPr>
              <w:jc w:val="right"/>
            </w:pPr>
            <w:r>
              <w:rPr>
                <w:rFonts w:eastAsiaTheme="minorEastAsia"/>
                <w:color w:val="000000" w:themeColor="text1"/>
                <w:szCs w:val="21"/>
              </w:rPr>
              <w:t>-0.39%</w:t>
            </w:r>
          </w:p>
        </w:tc>
        <w:tc>
          <w:tcPr>
            <w:tcW w:w="1204" w:type="dxa"/>
            <w:vAlign w:val="center"/>
          </w:tcPr>
          <w:p w:rsidR="00206B34" w:rsidRDefault="00EF1BCB">
            <w:pPr>
              <w:jc w:val="right"/>
            </w:pPr>
            <w:r>
              <w:rPr>
                <w:rFonts w:eastAsiaTheme="minorEastAsia"/>
                <w:color w:val="000000" w:themeColor="text1"/>
                <w:szCs w:val="21"/>
              </w:rPr>
              <w:t>0.06%</w:t>
            </w:r>
          </w:p>
        </w:tc>
      </w:tr>
      <w:tr w:rsidR="00206B34">
        <w:tc>
          <w:tcPr>
            <w:tcW w:w="1395" w:type="dxa"/>
            <w:vAlign w:val="center"/>
          </w:tcPr>
          <w:p w:rsidR="00206B34" w:rsidRDefault="00EF1BCB">
            <w:pPr>
              <w:jc w:val="left"/>
            </w:pPr>
            <w:r>
              <w:rPr>
                <w:rFonts w:eastAsiaTheme="minorEastAsia"/>
                <w:color w:val="000000" w:themeColor="text1"/>
                <w:szCs w:val="21"/>
              </w:rPr>
              <w:t>过去三年</w:t>
            </w:r>
          </w:p>
        </w:tc>
        <w:tc>
          <w:tcPr>
            <w:tcW w:w="1092" w:type="dxa"/>
            <w:vAlign w:val="center"/>
          </w:tcPr>
          <w:p w:rsidR="00206B34" w:rsidRDefault="00EF1BCB">
            <w:pPr>
              <w:jc w:val="right"/>
            </w:pPr>
            <w:r>
              <w:rPr>
                <w:rFonts w:eastAsiaTheme="minorEastAsia"/>
                <w:color w:val="000000" w:themeColor="text1"/>
                <w:szCs w:val="21"/>
              </w:rPr>
              <w:t>85.77%</w:t>
            </w:r>
          </w:p>
        </w:tc>
        <w:tc>
          <w:tcPr>
            <w:tcW w:w="1161" w:type="dxa"/>
            <w:vAlign w:val="center"/>
          </w:tcPr>
          <w:p w:rsidR="00206B34" w:rsidRDefault="00EF1BCB">
            <w:pPr>
              <w:jc w:val="right"/>
            </w:pPr>
            <w:r>
              <w:rPr>
                <w:rFonts w:eastAsiaTheme="minorEastAsia"/>
                <w:color w:val="000000" w:themeColor="text1"/>
                <w:szCs w:val="21"/>
              </w:rPr>
              <w:t>1.52%</w:t>
            </w:r>
          </w:p>
        </w:tc>
        <w:tc>
          <w:tcPr>
            <w:tcW w:w="1181" w:type="dxa"/>
            <w:vAlign w:val="center"/>
          </w:tcPr>
          <w:p w:rsidR="00206B34" w:rsidRDefault="00EF1BCB">
            <w:pPr>
              <w:jc w:val="right"/>
            </w:pPr>
            <w:r>
              <w:rPr>
                <w:rFonts w:eastAsiaTheme="minorEastAsia"/>
                <w:color w:val="000000" w:themeColor="text1"/>
                <w:szCs w:val="21"/>
              </w:rPr>
              <w:t>107.85%</w:t>
            </w:r>
          </w:p>
        </w:tc>
        <w:tc>
          <w:tcPr>
            <w:tcW w:w="1188" w:type="dxa"/>
            <w:vAlign w:val="center"/>
          </w:tcPr>
          <w:p w:rsidR="00206B34" w:rsidRDefault="00EF1BCB">
            <w:pPr>
              <w:jc w:val="right"/>
            </w:pPr>
            <w:r>
              <w:rPr>
                <w:rFonts w:eastAsiaTheme="minorEastAsia"/>
                <w:color w:val="000000" w:themeColor="text1"/>
                <w:szCs w:val="21"/>
              </w:rPr>
              <w:t>1.52%</w:t>
            </w:r>
          </w:p>
        </w:tc>
        <w:tc>
          <w:tcPr>
            <w:tcW w:w="1199" w:type="dxa"/>
            <w:vAlign w:val="center"/>
          </w:tcPr>
          <w:p w:rsidR="00206B34" w:rsidRDefault="00EF1BCB">
            <w:pPr>
              <w:jc w:val="right"/>
            </w:pPr>
            <w:r>
              <w:rPr>
                <w:rFonts w:eastAsiaTheme="minorEastAsia"/>
                <w:color w:val="000000" w:themeColor="text1"/>
                <w:szCs w:val="21"/>
              </w:rPr>
              <w:t>-22.08%</w:t>
            </w:r>
          </w:p>
        </w:tc>
        <w:tc>
          <w:tcPr>
            <w:tcW w:w="1204" w:type="dxa"/>
            <w:vAlign w:val="center"/>
          </w:tcPr>
          <w:p w:rsidR="00206B34" w:rsidRDefault="00EF1BCB">
            <w:pPr>
              <w:jc w:val="right"/>
            </w:pPr>
            <w:r>
              <w:rPr>
                <w:rFonts w:eastAsiaTheme="minorEastAsia"/>
                <w:color w:val="000000" w:themeColor="text1"/>
                <w:szCs w:val="21"/>
              </w:rPr>
              <w:t>0.00%</w:t>
            </w:r>
          </w:p>
        </w:tc>
      </w:tr>
      <w:tr w:rsidR="00206B34">
        <w:tc>
          <w:tcPr>
            <w:tcW w:w="1395" w:type="dxa"/>
            <w:vAlign w:val="center"/>
          </w:tcPr>
          <w:p w:rsidR="00206B34" w:rsidRDefault="00EF1BCB">
            <w:pPr>
              <w:jc w:val="left"/>
            </w:pPr>
            <w:r>
              <w:rPr>
                <w:rFonts w:eastAsiaTheme="minorEastAsia"/>
                <w:color w:val="000000" w:themeColor="text1"/>
                <w:szCs w:val="21"/>
              </w:rPr>
              <w:t>过去五年</w:t>
            </w:r>
          </w:p>
        </w:tc>
        <w:tc>
          <w:tcPr>
            <w:tcW w:w="1092" w:type="dxa"/>
            <w:vAlign w:val="center"/>
          </w:tcPr>
          <w:p w:rsidR="00206B34" w:rsidRDefault="00EF1BCB">
            <w:pPr>
              <w:jc w:val="right"/>
            </w:pPr>
            <w:r>
              <w:rPr>
                <w:rFonts w:eastAsiaTheme="minorEastAsia"/>
                <w:color w:val="000000" w:themeColor="text1"/>
                <w:szCs w:val="21"/>
              </w:rPr>
              <w:t>44.61%</w:t>
            </w:r>
          </w:p>
        </w:tc>
        <w:tc>
          <w:tcPr>
            <w:tcW w:w="1161" w:type="dxa"/>
            <w:vAlign w:val="center"/>
          </w:tcPr>
          <w:p w:rsidR="00206B34" w:rsidRDefault="00EF1BCB">
            <w:pPr>
              <w:jc w:val="right"/>
            </w:pPr>
            <w:r>
              <w:rPr>
                <w:rFonts w:eastAsiaTheme="minorEastAsia"/>
                <w:color w:val="000000" w:themeColor="text1"/>
                <w:szCs w:val="21"/>
              </w:rPr>
              <w:t>1.47%</w:t>
            </w:r>
          </w:p>
        </w:tc>
        <w:tc>
          <w:tcPr>
            <w:tcW w:w="1181" w:type="dxa"/>
            <w:vAlign w:val="center"/>
          </w:tcPr>
          <w:p w:rsidR="00206B34" w:rsidRDefault="00EF1BCB">
            <w:pPr>
              <w:jc w:val="right"/>
            </w:pPr>
            <w:r>
              <w:rPr>
                <w:rFonts w:eastAsiaTheme="minorEastAsia"/>
                <w:color w:val="000000" w:themeColor="text1"/>
                <w:szCs w:val="21"/>
              </w:rPr>
              <w:t>95.02%</w:t>
            </w:r>
          </w:p>
        </w:tc>
        <w:tc>
          <w:tcPr>
            <w:tcW w:w="1188" w:type="dxa"/>
            <w:vAlign w:val="center"/>
          </w:tcPr>
          <w:p w:rsidR="00206B34" w:rsidRDefault="00EF1BCB">
            <w:pPr>
              <w:jc w:val="right"/>
            </w:pPr>
            <w:r>
              <w:rPr>
                <w:rFonts w:eastAsiaTheme="minorEastAsia"/>
                <w:color w:val="000000" w:themeColor="text1"/>
                <w:szCs w:val="21"/>
              </w:rPr>
              <w:t>1.52%</w:t>
            </w:r>
          </w:p>
        </w:tc>
        <w:tc>
          <w:tcPr>
            <w:tcW w:w="1199" w:type="dxa"/>
            <w:vAlign w:val="center"/>
          </w:tcPr>
          <w:p w:rsidR="00206B34" w:rsidRDefault="00EF1BCB">
            <w:pPr>
              <w:jc w:val="right"/>
            </w:pPr>
            <w:r>
              <w:rPr>
                <w:rFonts w:eastAsiaTheme="minorEastAsia"/>
                <w:color w:val="000000" w:themeColor="text1"/>
                <w:szCs w:val="21"/>
              </w:rPr>
              <w:t>-50.41%</w:t>
            </w:r>
          </w:p>
        </w:tc>
        <w:tc>
          <w:tcPr>
            <w:tcW w:w="1204" w:type="dxa"/>
            <w:vAlign w:val="center"/>
          </w:tcPr>
          <w:p w:rsidR="00206B34" w:rsidRDefault="00EF1BCB">
            <w:pPr>
              <w:jc w:val="right"/>
            </w:pPr>
            <w:r>
              <w:rPr>
                <w:rFonts w:eastAsiaTheme="minorEastAsia"/>
                <w:color w:val="000000" w:themeColor="text1"/>
                <w:szCs w:val="21"/>
              </w:rPr>
              <w:t>-0.05%</w:t>
            </w:r>
          </w:p>
        </w:tc>
      </w:tr>
      <w:tr w:rsidR="00206B34">
        <w:tc>
          <w:tcPr>
            <w:tcW w:w="1395" w:type="dxa"/>
            <w:vAlign w:val="center"/>
          </w:tcPr>
          <w:p w:rsidR="00206B34" w:rsidRDefault="00EF1BCB">
            <w:pPr>
              <w:jc w:val="left"/>
            </w:pPr>
            <w:r>
              <w:rPr>
                <w:rFonts w:eastAsiaTheme="minorEastAsia"/>
                <w:color w:val="000000" w:themeColor="text1"/>
                <w:szCs w:val="21"/>
              </w:rPr>
              <w:t>自基金合同生效起至今</w:t>
            </w:r>
          </w:p>
        </w:tc>
        <w:tc>
          <w:tcPr>
            <w:tcW w:w="1092" w:type="dxa"/>
            <w:vAlign w:val="center"/>
          </w:tcPr>
          <w:p w:rsidR="00206B34" w:rsidRDefault="00EF1BCB">
            <w:pPr>
              <w:jc w:val="right"/>
            </w:pPr>
            <w:r>
              <w:rPr>
                <w:rFonts w:eastAsiaTheme="minorEastAsia"/>
                <w:color w:val="000000" w:themeColor="text1"/>
                <w:szCs w:val="21"/>
              </w:rPr>
              <w:t>-3.40%</w:t>
            </w:r>
          </w:p>
        </w:tc>
        <w:tc>
          <w:tcPr>
            <w:tcW w:w="1161" w:type="dxa"/>
            <w:vAlign w:val="center"/>
          </w:tcPr>
          <w:p w:rsidR="00206B34" w:rsidRDefault="00EF1BCB">
            <w:pPr>
              <w:jc w:val="right"/>
            </w:pPr>
            <w:r>
              <w:rPr>
                <w:rFonts w:eastAsiaTheme="minorEastAsia"/>
                <w:color w:val="000000" w:themeColor="text1"/>
                <w:szCs w:val="21"/>
              </w:rPr>
              <w:t>1.31%</w:t>
            </w:r>
          </w:p>
        </w:tc>
        <w:tc>
          <w:tcPr>
            <w:tcW w:w="1181" w:type="dxa"/>
            <w:vAlign w:val="center"/>
          </w:tcPr>
          <w:p w:rsidR="00206B34" w:rsidRDefault="00EF1BCB">
            <w:pPr>
              <w:jc w:val="right"/>
            </w:pPr>
            <w:r>
              <w:rPr>
                <w:rFonts w:eastAsiaTheme="minorEastAsia"/>
                <w:color w:val="000000" w:themeColor="text1"/>
                <w:szCs w:val="21"/>
              </w:rPr>
              <w:t>63.93%</w:t>
            </w:r>
          </w:p>
        </w:tc>
        <w:tc>
          <w:tcPr>
            <w:tcW w:w="1188" w:type="dxa"/>
            <w:vAlign w:val="center"/>
          </w:tcPr>
          <w:p w:rsidR="00206B34" w:rsidRDefault="00EF1BCB">
            <w:pPr>
              <w:jc w:val="right"/>
            </w:pPr>
            <w:r>
              <w:rPr>
                <w:rFonts w:eastAsiaTheme="minorEastAsia"/>
                <w:color w:val="000000" w:themeColor="text1"/>
                <w:szCs w:val="21"/>
              </w:rPr>
              <w:t>1.42%</w:t>
            </w:r>
          </w:p>
        </w:tc>
        <w:tc>
          <w:tcPr>
            <w:tcW w:w="1199" w:type="dxa"/>
            <w:vAlign w:val="center"/>
          </w:tcPr>
          <w:p w:rsidR="00206B34" w:rsidRDefault="00EF1BCB">
            <w:pPr>
              <w:jc w:val="right"/>
            </w:pPr>
            <w:r>
              <w:rPr>
                <w:rFonts w:eastAsiaTheme="minorEastAsia"/>
                <w:color w:val="000000" w:themeColor="text1"/>
                <w:szCs w:val="21"/>
              </w:rPr>
              <w:t>-67.33%</w:t>
            </w:r>
          </w:p>
        </w:tc>
        <w:tc>
          <w:tcPr>
            <w:tcW w:w="1204" w:type="dxa"/>
            <w:vAlign w:val="center"/>
          </w:tcPr>
          <w:p w:rsidR="00206B34" w:rsidRDefault="00EF1BCB">
            <w:pPr>
              <w:jc w:val="right"/>
            </w:pPr>
            <w:r>
              <w:rPr>
                <w:rFonts w:eastAsiaTheme="minorEastAsia"/>
                <w:color w:val="000000" w:themeColor="text1"/>
                <w:szCs w:val="21"/>
              </w:rPr>
              <w:t>-0.11%</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摩根全球天然资源混合型证券投资基金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2012</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3</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26</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206B34" w:rsidRDefault="00EF1BC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206B34">
        <w:tc>
          <w:tcPr>
            <w:tcW w:w="851" w:type="dxa"/>
            <w:vAlign w:val="center"/>
          </w:tcPr>
          <w:p w:rsidR="00206B34" w:rsidRDefault="00EF1BCB">
            <w:pPr>
              <w:jc w:val="center"/>
            </w:pPr>
            <w:r>
              <w:rPr>
                <w:rFonts w:eastAsiaTheme="minorEastAsia"/>
                <w:color w:val="000000" w:themeColor="text1"/>
                <w:szCs w:val="21"/>
              </w:rPr>
              <w:t>张军</w:t>
            </w:r>
          </w:p>
        </w:tc>
        <w:tc>
          <w:tcPr>
            <w:tcW w:w="850" w:type="dxa"/>
            <w:vAlign w:val="center"/>
          </w:tcPr>
          <w:p w:rsidR="00206B34" w:rsidRDefault="00EF1BCB">
            <w:pPr>
              <w:jc w:val="center"/>
            </w:pPr>
            <w:r>
              <w:rPr>
                <w:rFonts w:eastAsiaTheme="minorEastAsia"/>
                <w:color w:val="000000" w:themeColor="text1"/>
                <w:szCs w:val="21"/>
              </w:rPr>
              <w:t>本基金基金经理</w:t>
            </w:r>
          </w:p>
        </w:tc>
        <w:tc>
          <w:tcPr>
            <w:tcW w:w="1560" w:type="dxa"/>
            <w:vAlign w:val="center"/>
          </w:tcPr>
          <w:p w:rsidR="00206B34" w:rsidRDefault="00EF1BCB">
            <w:pPr>
              <w:jc w:val="center"/>
            </w:pPr>
            <w:r>
              <w:rPr>
                <w:rFonts w:eastAsiaTheme="minorEastAsia"/>
                <w:color w:val="000000" w:themeColor="text1"/>
                <w:szCs w:val="21"/>
              </w:rPr>
              <w:t>2012-03-26</w:t>
            </w:r>
          </w:p>
        </w:tc>
        <w:tc>
          <w:tcPr>
            <w:tcW w:w="1559" w:type="dxa"/>
            <w:vAlign w:val="center"/>
          </w:tcPr>
          <w:p w:rsidR="00206B34" w:rsidRDefault="00EF1BCB">
            <w:pPr>
              <w:jc w:val="center"/>
            </w:pPr>
            <w:r>
              <w:rPr>
                <w:rFonts w:eastAsiaTheme="minorEastAsia"/>
                <w:color w:val="000000" w:themeColor="text1"/>
                <w:szCs w:val="21"/>
              </w:rPr>
              <w:t>-</w:t>
            </w:r>
          </w:p>
        </w:tc>
        <w:tc>
          <w:tcPr>
            <w:tcW w:w="1417" w:type="dxa"/>
            <w:vAlign w:val="center"/>
          </w:tcPr>
          <w:p w:rsidR="00206B34" w:rsidRDefault="00EF1BCB">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2694" w:type="dxa"/>
            <w:vAlign w:val="center"/>
          </w:tcPr>
          <w:p w:rsidR="00206B34" w:rsidRDefault="00EF1BCB">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206B34" w:rsidRDefault="00EF1BC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206B34" w:rsidRDefault="00EF1BCB">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张军先生担任本基金首任基金经理的任职日期为本基金基金合同生效之日；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3,651,056,220.85</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70,437,194.93</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8</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3,721,493,415.78</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473"/>
        <w:gridCol w:w="1470"/>
        <w:gridCol w:w="629"/>
        <w:gridCol w:w="4941"/>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206B34">
        <w:tc>
          <w:tcPr>
            <w:tcW w:w="0" w:type="auto"/>
            <w:vAlign w:val="center"/>
          </w:tcPr>
          <w:p w:rsidR="00206B34" w:rsidRDefault="00EF1BCB">
            <w:pPr>
              <w:jc w:val="center"/>
            </w:pPr>
            <w:r>
              <w:rPr>
                <w:rFonts w:eastAsiaTheme="minorEastAsia"/>
                <w:color w:val="000000" w:themeColor="text1"/>
                <w:szCs w:val="21"/>
              </w:rPr>
              <w:t>Veronika Lysogorskaya</w:t>
            </w:r>
          </w:p>
        </w:tc>
        <w:tc>
          <w:tcPr>
            <w:tcW w:w="0" w:type="auto"/>
            <w:vAlign w:val="center"/>
          </w:tcPr>
          <w:p w:rsidR="00206B34" w:rsidRDefault="00EF1BCB">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执行董事，位于伦敦的新兴市场和亚太股票团队的自</w:t>
            </w:r>
            <w:r>
              <w:rPr>
                <w:rFonts w:eastAsiaTheme="minorEastAsia"/>
                <w:color w:val="000000" w:themeColor="text1"/>
                <w:szCs w:val="21"/>
              </w:rPr>
              <w:lastRenderedPageBreak/>
              <w:t>然资源分析师</w:t>
            </w:r>
          </w:p>
        </w:tc>
        <w:tc>
          <w:tcPr>
            <w:tcW w:w="0" w:type="auto"/>
            <w:vAlign w:val="center"/>
          </w:tcPr>
          <w:p w:rsidR="00206B34" w:rsidRDefault="00EF1BCB">
            <w:pPr>
              <w:jc w:val="center"/>
            </w:pPr>
            <w:r>
              <w:rPr>
                <w:rFonts w:eastAsiaTheme="minorEastAsia"/>
                <w:color w:val="000000" w:themeColor="text1"/>
                <w:szCs w:val="21"/>
              </w:rPr>
              <w:lastRenderedPageBreak/>
              <w:t>18</w:t>
            </w:r>
            <w:r>
              <w:rPr>
                <w:rFonts w:eastAsiaTheme="minorEastAsia"/>
                <w:color w:val="000000" w:themeColor="text1"/>
                <w:szCs w:val="21"/>
              </w:rPr>
              <w:t>年</w:t>
            </w:r>
          </w:p>
        </w:tc>
        <w:tc>
          <w:tcPr>
            <w:tcW w:w="0" w:type="auto"/>
            <w:vAlign w:val="center"/>
          </w:tcPr>
          <w:p w:rsidR="00206B34" w:rsidRDefault="00EF1BCB">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w:t>
            </w:r>
            <w:r>
              <w:rPr>
                <w:rFonts w:eastAsiaTheme="minorEastAsia"/>
                <w:color w:val="000000" w:themeColor="text1"/>
                <w:szCs w:val="21"/>
              </w:rPr>
              <w:lastRenderedPageBreak/>
              <w:t>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206B34">
        <w:tc>
          <w:tcPr>
            <w:tcW w:w="0" w:type="auto"/>
            <w:vAlign w:val="center"/>
          </w:tcPr>
          <w:p w:rsidR="00206B34" w:rsidRDefault="00EF1BCB">
            <w:pPr>
              <w:jc w:val="center"/>
            </w:pPr>
            <w:r>
              <w:rPr>
                <w:rFonts w:eastAsiaTheme="minorEastAsia"/>
                <w:color w:val="000000" w:themeColor="text1"/>
                <w:szCs w:val="21"/>
              </w:rPr>
              <w:lastRenderedPageBreak/>
              <w:t>Christopher Korpan</w:t>
            </w:r>
          </w:p>
        </w:tc>
        <w:tc>
          <w:tcPr>
            <w:tcW w:w="0" w:type="auto"/>
            <w:vAlign w:val="center"/>
          </w:tcPr>
          <w:p w:rsidR="00206B34" w:rsidRDefault="00EF1BCB">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0" w:type="auto"/>
            <w:vAlign w:val="center"/>
          </w:tcPr>
          <w:p w:rsidR="00206B34" w:rsidRDefault="00EF1BCB">
            <w:pPr>
              <w:jc w:val="center"/>
            </w:pPr>
            <w:r>
              <w:rPr>
                <w:rFonts w:eastAsiaTheme="minorEastAsia"/>
                <w:color w:val="000000" w:themeColor="text1"/>
                <w:szCs w:val="21"/>
              </w:rPr>
              <w:t>19</w:t>
            </w:r>
            <w:r>
              <w:rPr>
                <w:rFonts w:eastAsiaTheme="minorEastAsia"/>
                <w:color w:val="000000" w:themeColor="text1"/>
                <w:szCs w:val="21"/>
              </w:rPr>
              <w:t>年</w:t>
            </w:r>
          </w:p>
        </w:tc>
        <w:tc>
          <w:tcPr>
            <w:tcW w:w="0" w:type="auto"/>
            <w:vAlign w:val="center"/>
          </w:tcPr>
          <w:p w:rsidR="00206B34" w:rsidRDefault="00EF1BCB">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w:t>
      </w:r>
      <w:r>
        <w:rPr>
          <w:rFonts w:eastAsiaTheme="minorEastAsia"/>
          <w:color w:val="000000" w:themeColor="text1"/>
          <w:szCs w:val="21"/>
        </w:rPr>
        <w:lastRenderedPageBreak/>
        <w:t>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报告期内，全球资源类股下跌，矿业板块较原油板块表现略好。美联储对加息路径的强势表态，提高了终端利率水平，引发需求不足的担忧。</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油价在区间震荡，价格受到中国需求复苏的支持，然而，全球主要央行加息和对通胀将维持更长时间的预期导致对进一步需求的担忧又限制了油价上涨空间。欧盟、</w:t>
      </w:r>
      <w:r>
        <w:rPr>
          <w:rFonts w:eastAsiaTheme="minorEastAsia"/>
          <w:color w:val="000000" w:themeColor="text1"/>
          <w:szCs w:val="21"/>
        </w:rPr>
        <w:t>G7</w:t>
      </w:r>
      <w:r>
        <w:rPr>
          <w:rFonts w:eastAsiaTheme="minorEastAsia"/>
          <w:color w:val="000000" w:themeColor="text1"/>
          <w:szCs w:val="21"/>
        </w:rPr>
        <w:t>国家和澳大利亚同意对俄罗斯精炼油产品设置价格上限，俄罗斯宣布减产予以反应。石油输出国组织（欧佩克）也指出预计产量将保持紧张。自中国放弃新冠清零政策，并再次开始开放经济以来，大宗商品迎来利好。由于中国钢铁产量上升，下游需求强劲，铁矿石价格上涨。中国的港口库存实际上有所下降，进一步凸显了强劲的需求环境。然而，美元走强削弱对铜的需求。中国铜库存环比上升，进一步增加了对工业金属价格的压力。</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黄金价格走势呈拉锯状，在避险需求和对实际利率上升的担忧两股力量间震荡。</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地缘政治紧张局势升级和高通胀风险奠定了商品价格持续回升的基础。矿业和原油在过去很长时间内不被广大投资者偏好，相关上市企业为了迎合投资者而回购股票或加大现金分红，导致新项目投资被推迟或取消。供应的短缺需要时间来填补。</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如果俄罗斯的原油被排除在市场之外，而其他产油国又面临产能限制，原油供应的短缺风险会更严重。</w:t>
      </w:r>
      <w:r>
        <w:rPr>
          <w:rFonts w:eastAsiaTheme="minorEastAsia"/>
          <w:color w:val="000000" w:themeColor="text1"/>
          <w:szCs w:val="21"/>
        </w:rPr>
        <w:t>OPEC</w:t>
      </w:r>
      <w:r>
        <w:rPr>
          <w:rFonts w:eastAsiaTheme="minorEastAsia"/>
          <w:color w:val="000000" w:themeColor="text1"/>
          <w:szCs w:val="21"/>
        </w:rPr>
        <w:t>组织表现出较强的自律性控制产出，他们的短期目标在于清理库存。长时间较低的投资水平也是未来价格维持高位的因素之一。</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在电动汽车和清洁能源的结构性需求和缺乏新项目的双重推动下，工业金属供不应求。</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总之长期看来，随着人口增长，对商品的需求将增长。过去的投资缺口导致当前的供应紧张，推高价格。本基金致力于投资那些积极管理财务风险，强化资产负债表的资源企业。</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:-2.63%</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:1.97%</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87,861,101.65</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89.30</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81,102,130.16</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82.43</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6,758,971.49</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6.87</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9,754,672.95</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9.91</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775,302.37</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0.79</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98,391,076.97</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lastRenderedPageBreak/>
              <w:t>美国</w:t>
            </w:r>
          </w:p>
        </w:tc>
        <w:tc>
          <w:tcPr>
            <w:tcW w:w="3118" w:type="dxa"/>
            <w:vAlign w:val="center"/>
          </w:tcPr>
          <w:p w:rsidR="00206B34" w:rsidRDefault="00EF1BCB">
            <w:pPr>
              <w:jc w:val="right"/>
            </w:pPr>
            <w:r>
              <w:rPr>
                <w:rFonts w:eastAsiaTheme="minorEastAsia"/>
                <w:color w:val="000000" w:themeColor="text1"/>
                <w:szCs w:val="21"/>
              </w:rPr>
              <w:t>48,945,783.82</w:t>
            </w:r>
          </w:p>
        </w:tc>
        <w:tc>
          <w:tcPr>
            <w:tcW w:w="3076" w:type="dxa"/>
            <w:vAlign w:val="center"/>
          </w:tcPr>
          <w:p w:rsidR="00206B34" w:rsidRDefault="00EF1BCB">
            <w:pPr>
              <w:jc w:val="right"/>
            </w:pPr>
            <w:r>
              <w:rPr>
                <w:rFonts w:eastAsiaTheme="minorEastAsia"/>
                <w:color w:val="000000" w:themeColor="text1"/>
                <w:szCs w:val="21"/>
              </w:rPr>
              <w:t>50.37</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英国</w:t>
            </w:r>
          </w:p>
        </w:tc>
        <w:tc>
          <w:tcPr>
            <w:tcW w:w="3118" w:type="dxa"/>
            <w:vAlign w:val="center"/>
          </w:tcPr>
          <w:p w:rsidR="00206B34" w:rsidRDefault="00EF1BCB">
            <w:pPr>
              <w:jc w:val="right"/>
            </w:pPr>
            <w:r>
              <w:rPr>
                <w:rFonts w:eastAsiaTheme="minorEastAsia"/>
                <w:color w:val="000000" w:themeColor="text1"/>
                <w:szCs w:val="21"/>
              </w:rPr>
              <w:t>22,149,782.43</w:t>
            </w:r>
          </w:p>
        </w:tc>
        <w:tc>
          <w:tcPr>
            <w:tcW w:w="3076" w:type="dxa"/>
            <w:vAlign w:val="center"/>
          </w:tcPr>
          <w:p w:rsidR="00206B34" w:rsidRDefault="00EF1BCB">
            <w:pPr>
              <w:jc w:val="right"/>
            </w:pPr>
            <w:r>
              <w:rPr>
                <w:rFonts w:eastAsiaTheme="minorEastAsia"/>
                <w:color w:val="000000" w:themeColor="text1"/>
                <w:szCs w:val="21"/>
              </w:rPr>
              <w:t>22.80</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加拿大</w:t>
            </w:r>
          </w:p>
        </w:tc>
        <w:tc>
          <w:tcPr>
            <w:tcW w:w="3118" w:type="dxa"/>
            <w:vAlign w:val="center"/>
          </w:tcPr>
          <w:p w:rsidR="00206B34" w:rsidRDefault="00EF1BCB">
            <w:pPr>
              <w:jc w:val="right"/>
            </w:pPr>
            <w:r>
              <w:rPr>
                <w:rFonts w:eastAsiaTheme="minorEastAsia"/>
                <w:color w:val="000000" w:themeColor="text1"/>
                <w:szCs w:val="21"/>
              </w:rPr>
              <w:t>6,114,366.30</w:t>
            </w:r>
          </w:p>
        </w:tc>
        <w:tc>
          <w:tcPr>
            <w:tcW w:w="3076" w:type="dxa"/>
            <w:vAlign w:val="center"/>
          </w:tcPr>
          <w:p w:rsidR="00206B34" w:rsidRDefault="00EF1BCB">
            <w:pPr>
              <w:jc w:val="right"/>
            </w:pPr>
            <w:r>
              <w:rPr>
                <w:rFonts w:eastAsiaTheme="minorEastAsia"/>
                <w:color w:val="000000" w:themeColor="text1"/>
                <w:szCs w:val="21"/>
              </w:rPr>
              <w:t>6.29</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澳大利亚</w:t>
            </w:r>
          </w:p>
        </w:tc>
        <w:tc>
          <w:tcPr>
            <w:tcW w:w="3118" w:type="dxa"/>
            <w:vAlign w:val="center"/>
          </w:tcPr>
          <w:p w:rsidR="00206B34" w:rsidRDefault="00EF1BCB">
            <w:pPr>
              <w:jc w:val="right"/>
            </w:pPr>
            <w:r>
              <w:rPr>
                <w:rFonts w:eastAsiaTheme="minorEastAsia"/>
                <w:color w:val="000000" w:themeColor="text1"/>
                <w:szCs w:val="21"/>
              </w:rPr>
              <w:t>5,311,278.21</w:t>
            </w:r>
          </w:p>
        </w:tc>
        <w:tc>
          <w:tcPr>
            <w:tcW w:w="3076" w:type="dxa"/>
            <w:vAlign w:val="center"/>
          </w:tcPr>
          <w:p w:rsidR="00206B34" w:rsidRDefault="00EF1BCB">
            <w:pPr>
              <w:jc w:val="right"/>
            </w:pPr>
            <w:r>
              <w:rPr>
                <w:rFonts w:eastAsiaTheme="minorEastAsia"/>
                <w:color w:val="000000" w:themeColor="text1"/>
                <w:szCs w:val="21"/>
              </w:rPr>
              <w:t>5.47</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挪威</w:t>
            </w:r>
          </w:p>
        </w:tc>
        <w:tc>
          <w:tcPr>
            <w:tcW w:w="3118" w:type="dxa"/>
            <w:vAlign w:val="center"/>
          </w:tcPr>
          <w:p w:rsidR="00206B34" w:rsidRDefault="00EF1BCB">
            <w:pPr>
              <w:jc w:val="right"/>
            </w:pPr>
            <w:r>
              <w:rPr>
                <w:rFonts w:eastAsiaTheme="minorEastAsia"/>
                <w:color w:val="000000" w:themeColor="text1"/>
                <w:szCs w:val="21"/>
              </w:rPr>
              <w:t>2,130,857.21</w:t>
            </w:r>
          </w:p>
        </w:tc>
        <w:tc>
          <w:tcPr>
            <w:tcW w:w="3076" w:type="dxa"/>
            <w:vAlign w:val="center"/>
          </w:tcPr>
          <w:p w:rsidR="00206B34" w:rsidRDefault="00EF1BCB">
            <w:pPr>
              <w:jc w:val="right"/>
            </w:pPr>
            <w:r>
              <w:rPr>
                <w:rFonts w:eastAsiaTheme="minorEastAsia"/>
                <w:color w:val="000000" w:themeColor="text1"/>
                <w:szCs w:val="21"/>
              </w:rPr>
              <w:t>2.19</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墨西哥</w:t>
            </w:r>
          </w:p>
        </w:tc>
        <w:tc>
          <w:tcPr>
            <w:tcW w:w="3118" w:type="dxa"/>
            <w:vAlign w:val="center"/>
          </w:tcPr>
          <w:p w:rsidR="00206B34" w:rsidRDefault="00EF1BCB">
            <w:pPr>
              <w:jc w:val="right"/>
            </w:pPr>
            <w:r>
              <w:rPr>
                <w:rFonts w:eastAsiaTheme="minorEastAsia"/>
                <w:color w:val="000000" w:themeColor="text1"/>
                <w:szCs w:val="21"/>
              </w:rPr>
              <w:t>1,377,152.20</w:t>
            </w:r>
          </w:p>
        </w:tc>
        <w:tc>
          <w:tcPr>
            <w:tcW w:w="3076" w:type="dxa"/>
            <w:vAlign w:val="center"/>
          </w:tcPr>
          <w:p w:rsidR="00206B34" w:rsidRDefault="00EF1BCB">
            <w:pPr>
              <w:jc w:val="right"/>
            </w:pPr>
            <w:r>
              <w:rPr>
                <w:rFonts w:eastAsiaTheme="minorEastAsia"/>
                <w:color w:val="000000" w:themeColor="text1"/>
                <w:szCs w:val="21"/>
              </w:rPr>
              <w:t>1.42</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瑞典</w:t>
            </w:r>
          </w:p>
        </w:tc>
        <w:tc>
          <w:tcPr>
            <w:tcW w:w="3118" w:type="dxa"/>
            <w:vAlign w:val="center"/>
          </w:tcPr>
          <w:p w:rsidR="00206B34" w:rsidRDefault="00EF1BCB">
            <w:pPr>
              <w:jc w:val="right"/>
            </w:pPr>
            <w:r>
              <w:rPr>
                <w:rFonts w:eastAsiaTheme="minorEastAsia"/>
                <w:color w:val="000000" w:themeColor="text1"/>
                <w:szCs w:val="21"/>
              </w:rPr>
              <w:t>958,101.00</w:t>
            </w:r>
          </w:p>
        </w:tc>
        <w:tc>
          <w:tcPr>
            <w:tcW w:w="3076" w:type="dxa"/>
            <w:vAlign w:val="center"/>
          </w:tcPr>
          <w:p w:rsidR="00206B34" w:rsidRDefault="00EF1BCB">
            <w:pPr>
              <w:jc w:val="right"/>
            </w:pPr>
            <w:r>
              <w:rPr>
                <w:rFonts w:eastAsiaTheme="minorEastAsia"/>
                <w:color w:val="000000" w:themeColor="text1"/>
                <w:szCs w:val="21"/>
              </w:rPr>
              <w:t>0.99</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南非</w:t>
            </w:r>
          </w:p>
        </w:tc>
        <w:tc>
          <w:tcPr>
            <w:tcW w:w="3118" w:type="dxa"/>
            <w:vAlign w:val="center"/>
          </w:tcPr>
          <w:p w:rsidR="00206B34" w:rsidRDefault="00EF1BCB">
            <w:pPr>
              <w:jc w:val="right"/>
            </w:pPr>
            <w:r>
              <w:rPr>
                <w:rFonts w:eastAsiaTheme="minorEastAsia"/>
                <w:color w:val="000000" w:themeColor="text1"/>
                <w:szCs w:val="21"/>
              </w:rPr>
              <w:t>680,899.48</w:t>
            </w:r>
          </w:p>
        </w:tc>
        <w:tc>
          <w:tcPr>
            <w:tcW w:w="3076" w:type="dxa"/>
            <w:vAlign w:val="center"/>
          </w:tcPr>
          <w:p w:rsidR="00206B34" w:rsidRDefault="00EF1BCB">
            <w:pPr>
              <w:jc w:val="right"/>
            </w:pPr>
            <w:r>
              <w:rPr>
                <w:rFonts w:eastAsiaTheme="minorEastAsia"/>
                <w:color w:val="000000" w:themeColor="text1"/>
                <w:szCs w:val="21"/>
              </w:rPr>
              <w:t>0.70</w:t>
            </w:r>
          </w:p>
        </w:tc>
      </w:tr>
      <w:tr w:rsidR="00206B34">
        <w:trPr>
          <w:jc w:val="center"/>
        </w:trPr>
        <w:tc>
          <w:tcPr>
            <w:tcW w:w="2410" w:type="dxa"/>
            <w:vAlign w:val="center"/>
          </w:tcPr>
          <w:p w:rsidR="00206B34" w:rsidRDefault="00EF1BCB">
            <w:pPr>
              <w:jc w:val="left"/>
            </w:pPr>
            <w:r>
              <w:rPr>
                <w:rFonts w:eastAsiaTheme="minorEastAsia"/>
                <w:color w:val="000000" w:themeColor="text1"/>
                <w:szCs w:val="21"/>
              </w:rPr>
              <w:t>奥地利</w:t>
            </w:r>
          </w:p>
        </w:tc>
        <w:tc>
          <w:tcPr>
            <w:tcW w:w="3118" w:type="dxa"/>
            <w:vAlign w:val="center"/>
          </w:tcPr>
          <w:p w:rsidR="00206B34" w:rsidRDefault="00EF1BCB">
            <w:pPr>
              <w:jc w:val="right"/>
            </w:pPr>
            <w:r>
              <w:rPr>
                <w:rFonts w:eastAsiaTheme="minorEastAsia"/>
                <w:color w:val="000000" w:themeColor="text1"/>
                <w:szCs w:val="21"/>
              </w:rPr>
              <w:t>192,881.00</w:t>
            </w:r>
          </w:p>
        </w:tc>
        <w:tc>
          <w:tcPr>
            <w:tcW w:w="3076" w:type="dxa"/>
            <w:vAlign w:val="center"/>
          </w:tcPr>
          <w:p w:rsidR="00206B34" w:rsidRDefault="00EF1BCB">
            <w:pPr>
              <w:jc w:val="right"/>
            </w:pPr>
            <w:r>
              <w:rPr>
                <w:rFonts w:eastAsiaTheme="minorEastAsia"/>
                <w:color w:val="000000" w:themeColor="text1"/>
                <w:szCs w:val="21"/>
              </w:rPr>
              <w:t>0.20</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87,861,101.65</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90.42</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206B34">
        <w:tc>
          <w:tcPr>
            <w:tcW w:w="2787" w:type="dxa"/>
            <w:vAlign w:val="center"/>
          </w:tcPr>
          <w:p w:rsidR="00206B34" w:rsidRDefault="00EF1BCB">
            <w:pPr>
              <w:jc w:val="left"/>
            </w:pPr>
            <w:r>
              <w:rPr>
                <w:rFonts w:eastAsiaTheme="minorEastAsia"/>
                <w:color w:val="000000" w:themeColor="text1"/>
                <w:szCs w:val="21"/>
              </w:rPr>
              <w:t>基础材料</w:t>
            </w:r>
          </w:p>
        </w:tc>
        <w:tc>
          <w:tcPr>
            <w:tcW w:w="2551" w:type="dxa"/>
            <w:vAlign w:val="center"/>
          </w:tcPr>
          <w:p w:rsidR="00206B34" w:rsidRDefault="00EF1BCB">
            <w:pPr>
              <w:jc w:val="right"/>
            </w:pPr>
            <w:r>
              <w:rPr>
                <w:rFonts w:eastAsiaTheme="minorEastAsia"/>
                <w:color w:val="000000" w:themeColor="text1"/>
                <w:szCs w:val="21"/>
              </w:rPr>
              <w:t>44,741,110.23</w:t>
            </w:r>
          </w:p>
        </w:tc>
        <w:tc>
          <w:tcPr>
            <w:tcW w:w="3175" w:type="dxa"/>
            <w:vAlign w:val="center"/>
          </w:tcPr>
          <w:p w:rsidR="00206B34" w:rsidRDefault="00EF1BCB">
            <w:pPr>
              <w:jc w:val="right"/>
            </w:pPr>
            <w:r>
              <w:rPr>
                <w:rFonts w:eastAsiaTheme="minorEastAsia"/>
                <w:color w:val="000000" w:themeColor="text1"/>
                <w:szCs w:val="21"/>
              </w:rPr>
              <w:t>46.05</w:t>
            </w:r>
          </w:p>
        </w:tc>
      </w:tr>
      <w:tr w:rsidR="00206B34">
        <w:tc>
          <w:tcPr>
            <w:tcW w:w="2787" w:type="dxa"/>
            <w:vAlign w:val="center"/>
          </w:tcPr>
          <w:p w:rsidR="00206B34" w:rsidRDefault="00EF1BCB">
            <w:pPr>
              <w:jc w:val="left"/>
            </w:pPr>
            <w:r>
              <w:rPr>
                <w:rFonts w:eastAsiaTheme="minorEastAsia"/>
                <w:color w:val="000000" w:themeColor="text1"/>
                <w:szCs w:val="21"/>
              </w:rPr>
              <w:t>能源</w:t>
            </w:r>
          </w:p>
        </w:tc>
        <w:tc>
          <w:tcPr>
            <w:tcW w:w="2551" w:type="dxa"/>
            <w:vAlign w:val="center"/>
          </w:tcPr>
          <w:p w:rsidR="00206B34" w:rsidRDefault="00EF1BCB">
            <w:pPr>
              <w:jc w:val="right"/>
            </w:pPr>
            <w:r>
              <w:rPr>
                <w:rFonts w:eastAsiaTheme="minorEastAsia"/>
                <w:color w:val="000000" w:themeColor="text1"/>
                <w:szCs w:val="21"/>
              </w:rPr>
              <w:t>43,070,981.69</w:t>
            </w:r>
          </w:p>
        </w:tc>
        <w:tc>
          <w:tcPr>
            <w:tcW w:w="3175" w:type="dxa"/>
            <w:vAlign w:val="center"/>
          </w:tcPr>
          <w:p w:rsidR="00206B34" w:rsidRDefault="00EF1BCB">
            <w:pPr>
              <w:jc w:val="right"/>
            </w:pPr>
            <w:r>
              <w:rPr>
                <w:rFonts w:eastAsiaTheme="minorEastAsia"/>
                <w:color w:val="000000" w:themeColor="text1"/>
                <w:szCs w:val="21"/>
              </w:rPr>
              <w:t>44.33</w:t>
            </w:r>
          </w:p>
        </w:tc>
      </w:tr>
      <w:tr w:rsidR="00206B34">
        <w:tc>
          <w:tcPr>
            <w:tcW w:w="2787" w:type="dxa"/>
            <w:vAlign w:val="center"/>
          </w:tcPr>
          <w:p w:rsidR="00206B34" w:rsidRDefault="00EF1BCB">
            <w:pPr>
              <w:jc w:val="left"/>
            </w:pPr>
            <w:r>
              <w:rPr>
                <w:rFonts w:eastAsiaTheme="minorEastAsia"/>
                <w:color w:val="000000" w:themeColor="text1"/>
                <w:szCs w:val="21"/>
              </w:rPr>
              <w:t>公用事业</w:t>
            </w:r>
          </w:p>
        </w:tc>
        <w:tc>
          <w:tcPr>
            <w:tcW w:w="2551" w:type="dxa"/>
            <w:vAlign w:val="center"/>
          </w:tcPr>
          <w:p w:rsidR="00206B34" w:rsidRDefault="00EF1BCB">
            <w:pPr>
              <w:jc w:val="right"/>
            </w:pPr>
            <w:r>
              <w:rPr>
                <w:rFonts w:eastAsiaTheme="minorEastAsia"/>
                <w:color w:val="000000" w:themeColor="text1"/>
                <w:szCs w:val="21"/>
              </w:rPr>
              <w:t>49,009.73</w:t>
            </w:r>
          </w:p>
        </w:tc>
        <w:tc>
          <w:tcPr>
            <w:tcW w:w="3175" w:type="dxa"/>
            <w:vAlign w:val="center"/>
          </w:tcPr>
          <w:p w:rsidR="00206B34" w:rsidRDefault="00EF1BCB">
            <w:pPr>
              <w:jc w:val="right"/>
            </w:pPr>
            <w:r>
              <w:rPr>
                <w:rFonts w:eastAsiaTheme="minorEastAsia"/>
                <w:color w:val="000000" w:themeColor="text1"/>
                <w:szCs w:val="21"/>
              </w:rPr>
              <w:t>0.05</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87,861,101.65</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90.42</w:t>
            </w:r>
          </w:p>
        </w:tc>
      </w:tr>
    </w:tbl>
    <w:p w:rsidR="001F13F6" w:rsidRDefault="000A521D" w:rsidP="001F13F6">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rsidR="004D1766" w:rsidRPr="001F13F6" w:rsidRDefault="004D1766" w:rsidP="001F13F6">
      <w:pPr>
        <w:autoSpaceDE w:val="0"/>
        <w:autoSpaceDN w:val="0"/>
        <w:adjustRightInd w:val="0"/>
        <w:spacing w:line="360" w:lineRule="auto"/>
        <w:jc w:val="left"/>
        <w:rPr>
          <w:rFonts w:eastAsiaTheme="minorEastAsia"/>
          <w:color w:val="000000" w:themeColor="text1"/>
          <w:szCs w:val="21"/>
        </w:rPr>
      </w:pPr>
      <w:r w:rsidRPr="001F13F6">
        <w:rPr>
          <w:rFonts w:eastAsiaTheme="minorEastAsia"/>
          <w:b/>
          <w:color w:val="000000" w:themeColor="text1"/>
          <w:kern w:val="0"/>
          <w:sz w:val="24"/>
        </w:rPr>
        <w:t xml:space="preserve">5.4 </w:t>
      </w:r>
      <w:r w:rsidRPr="001F13F6">
        <w:rPr>
          <w:rFonts w:eastAsiaTheme="minorEastAsia" w:hint="eastAsia"/>
          <w:b/>
          <w:color w:val="000000" w:themeColor="text1"/>
          <w:kern w:val="0"/>
          <w:sz w:val="24"/>
        </w:rPr>
        <w:t>期末按公允价值占基金资产净值比例大小排序的股票投资明细</w:t>
      </w:r>
      <w:r w:rsidRPr="00252C8D">
        <w:rPr>
          <w:rFonts w:asciiTheme="minorEastAsia" w:eastAsiaTheme="minorEastAsia" w:hAnsiTheme="minorEastAsia" w:hint="eastAsia"/>
          <w:kern w:val="0"/>
        </w:rPr>
        <w:cr/>
      </w:r>
      <w:r w:rsidRPr="00232C30">
        <w:rPr>
          <w:color w:val="000000" w:themeColor="text1"/>
        </w:rPr>
        <w:t>5.</w:t>
      </w:r>
      <w:r>
        <w:rPr>
          <w:color w:val="000000" w:themeColor="text1"/>
        </w:rPr>
        <w:t>4.1</w:t>
      </w:r>
      <w:r w:rsidRPr="00232C30">
        <w:rPr>
          <w:color w:val="000000" w:themeColor="text1"/>
        </w:rPr>
        <w:t xml:space="preserve"> </w:t>
      </w:r>
      <w:r w:rsidRPr="00232C30">
        <w:rPr>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3"/>
        <w:gridCol w:w="2039"/>
        <w:gridCol w:w="732"/>
        <w:gridCol w:w="764"/>
        <w:gridCol w:w="555"/>
        <w:gridCol w:w="680"/>
        <w:gridCol w:w="1064"/>
        <w:gridCol w:w="1319"/>
        <w:gridCol w:w="887"/>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206B34">
        <w:tc>
          <w:tcPr>
            <w:tcW w:w="0" w:type="auto"/>
            <w:vAlign w:val="center"/>
          </w:tcPr>
          <w:p w:rsidR="00206B34" w:rsidRDefault="00EF1BCB">
            <w:pPr>
              <w:jc w:val="center"/>
            </w:pPr>
            <w:r>
              <w:rPr>
                <w:rFonts w:eastAsiaTheme="minorEastAsia"/>
                <w:color w:val="000000" w:themeColor="text1"/>
                <w:szCs w:val="21"/>
              </w:rPr>
              <w:t>1</w:t>
            </w:r>
          </w:p>
        </w:tc>
        <w:tc>
          <w:tcPr>
            <w:tcW w:w="0" w:type="auto"/>
            <w:vAlign w:val="center"/>
          </w:tcPr>
          <w:p w:rsidR="00206B34" w:rsidRDefault="00EF1BCB">
            <w:pPr>
              <w:jc w:val="center"/>
            </w:pPr>
            <w:r>
              <w:rPr>
                <w:rFonts w:eastAsiaTheme="minorEastAsia"/>
                <w:color w:val="000000" w:themeColor="text1"/>
                <w:szCs w:val="21"/>
              </w:rPr>
              <w:t>CHEVRON CORP</w:t>
            </w:r>
          </w:p>
        </w:tc>
        <w:tc>
          <w:tcPr>
            <w:tcW w:w="0" w:type="auto"/>
            <w:vAlign w:val="center"/>
          </w:tcPr>
          <w:p w:rsidR="00206B34" w:rsidRDefault="00EF1BCB">
            <w:pPr>
              <w:jc w:val="center"/>
            </w:pPr>
            <w:r>
              <w:rPr>
                <w:rFonts w:eastAsiaTheme="minorEastAsia"/>
                <w:color w:val="000000" w:themeColor="text1"/>
                <w:szCs w:val="21"/>
              </w:rPr>
              <w:t>雪佛龙</w:t>
            </w:r>
          </w:p>
        </w:tc>
        <w:tc>
          <w:tcPr>
            <w:tcW w:w="0" w:type="auto"/>
            <w:vAlign w:val="center"/>
          </w:tcPr>
          <w:p w:rsidR="00206B34" w:rsidRDefault="00EF1BCB">
            <w:pPr>
              <w:jc w:val="center"/>
            </w:pPr>
            <w:r>
              <w:rPr>
                <w:rFonts w:eastAsiaTheme="minorEastAsia"/>
                <w:color w:val="000000" w:themeColor="text1"/>
                <w:szCs w:val="21"/>
              </w:rPr>
              <w:t>CVX US</w:t>
            </w:r>
          </w:p>
        </w:tc>
        <w:tc>
          <w:tcPr>
            <w:tcW w:w="0" w:type="auto"/>
            <w:vAlign w:val="center"/>
          </w:tcPr>
          <w:p w:rsidR="00206B34" w:rsidRDefault="00EF1BCB">
            <w:pPr>
              <w:jc w:val="center"/>
            </w:pPr>
            <w:r>
              <w:rPr>
                <w:rFonts w:eastAsiaTheme="minorEastAsia"/>
                <w:color w:val="000000" w:themeColor="text1"/>
                <w:szCs w:val="21"/>
              </w:rPr>
              <w:t>纽约证券交易所</w:t>
            </w:r>
          </w:p>
        </w:tc>
        <w:tc>
          <w:tcPr>
            <w:tcW w:w="0" w:type="auto"/>
            <w:vAlign w:val="center"/>
          </w:tcPr>
          <w:p w:rsidR="00206B34" w:rsidRDefault="00EF1BCB">
            <w:pPr>
              <w:jc w:val="center"/>
            </w:pPr>
            <w:r>
              <w:rPr>
                <w:rFonts w:eastAsiaTheme="minorEastAsia"/>
                <w:color w:val="000000" w:themeColor="text1"/>
                <w:szCs w:val="21"/>
              </w:rPr>
              <w:t>美国</w:t>
            </w:r>
          </w:p>
        </w:tc>
        <w:tc>
          <w:tcPr>
            <w:tcW w:w="0" w:type="auto"/>
            <w:vAlign w:val="center"/>
          </w:tcPr>
          <w:p w:rsidR="00206B34" w:rsidRDefault="00EF1BCB">
            <w:pPr>
              <w:jc w:val="right"/>
            </w:pPr>
            <w:r>
              <w:rPr>
                <w:rFonts w:eastAsiaTheme="minorEastAsia"/>
                <w:color w:val="000000" w:themeColor="text1"/>
                <w:szCs w:val="21"/>
              </w:rPr>
              <w:t>5,401.00</w:t>
            </w:r>
          </w:p>
        </w:tc>
        <w:tc>
          <w:tcPr>
            <w:tcW w:w="0" w:type="auto"/>
            <w:vAlign w:val="center"/>
          </w:tcPr>
          <w:p w:rsidR="00206B34" w:rsidRDefault="00EF1BCB">
            <w:pPr>
              <w:jc w:val="right"/>
            </w:pPr>
            <w:r>
              <w:rPr>
                <w:rFonts w:eastAsiaTheme="minorEastAsia"/>
                <w:color w:val="000000" w:themeColor="text1"/>
                <w:szCs w:val="21"/>
              </w:rPr>
              <w:t>6,055,528.68</w:t>
            </w:r>
          </w:p>
        </w:tc>
        <w:tc>
          <w:tcPr>
            <w:tcW w:w="0" w:type="auto"/>
            <w:vAlign w:val="center"/>
          </w:tcPr>
          <w:p w:rsidR="00206B34" w:rsidRDefault="00EF1BCB">
            <w:pPr>
              <w:jc w:val="right"/>
            </w:pPr>
            <w:r>
              <w:rPr>
                <w:rFonts w:eastAsiaTheme="minorEastAsia"/>
                <w:color w:val="000000" w:themeColor="text1"/>
                <w:szCs w:val="21"/>
              </w:rPr>
              <w:t>6.23</w:t>
            </w:r>
          </w:p>
        </w:tc>
      </w:tr>
      <w:tr w:rsidR="00206B34">
        <w:tc>
          <w:tcPr>
            <w:tcW w:w="0" w:type="auto"/>
            <w:vAlign w:val="center"/>
          </w:tcPr>
          <w:p w:rsidR="00206B34" w:rsidRDefault="00EF1BCB">
            <w:pPr>
              <w:jc w:val="center"/>
            </w:pPr>
            <w:r>
              <w:rPr>
                <w:rFonts w:eastAsiaTheme="minorEastAsia"/>
                <w:color w:val="000000" w:themeColor="text1"/>
                <w:szCs w:val="21"/>
              </w:rPr>
              <w:lastRenderedPageBreak/>
              <w:t>2</w:t>
            </w:r>
          </w:p>
        </w:tc>
        <w:tc>
          <w:tcPr>
            <w:tcW w:w="0" w:type="auto"/>
            <w:vAlign w:val="center"/>
          </w:tcPr>
          <w:p w:rsidR="00206B34" w:rsidRDefault="00EF1BCB">
            <w:pPr>
              <w:jc w:val="center"/>
            </w:pPr>
            <w:r>
              <w:rPr>
                <w:rFonts w:eastAsiaTheme="minorEastAsia"/>
                <w:color w:val="000000" w:themeColor="text1"/>
                <w:szCs w:val="21"/>
              </w:rPr>
              <w:t>RIO TINTO PLC</w:t>
            </w:r>
          </w:p>
        </w:tc>
        <w:tc>
          <w:tcPr>
            <w:tcW w:w="0" w:type="auto"/>
            <w:vAlign w:val="center"/>
          </w:tcPr>
          <w:p w:rsidR="00206B34" w:rsidRDefault="00EF1BCB">
            <w:pPr>
              <w:jc w:val="center"/>
            </w:pPr>
            <w:r>
              <w:rPr>
                <w:rFonts w:eastAsiaTheme="minorEastAsia"/>
                <w:color w:val="000000" w:themeColor="text1"/>
                <w:szCs w:val="21"/>
              </w:rPr>
              <w:t>力拓有限公司</w:t>
            </w:r>
          </w:p>
        </w:tc>
        <w:tc>
          <w:tcPr>
            <w:tcW w:w="0" w:type="auto"/>
            <w:vAlign w:val="center"/>
          </w:tcPr>
          <w:p w:rsidR="00206B34" w:rsidRDefault="00EF1BCB">
            <w:pPr>
              <w:jc w:val="center"/>
            </w:pPr>
            <w:r>
              <w:rPr>
                <w:rFonts w:eastAsiaTheme="minorEastAsia"/>
                <w:color w:val="000000" w:themeColor="text1"/>
                <w:szCs w:val="21"/>
              </w:rPr>
              <w:t>RIO LN</w:t>
            </w:r>
          </w:p>
        </w:tc>
        <w:tc>
          <w:tcPr>
            <w:tcW w:w="0" w:type="auto"/>
            <w:vAlign w:val="center"/>
          </w:tcPr>
          <w:p w:rsidR="00206B34" w:rsidRDefault="00EF1BCB">
            <w:pPr>
              <w:jc w:val="center"/>
            </w:pPr>
            <w:r>
              <w:rPr>
                <w:rFonts w:eastAsiaTheme="minorEastAsia"/>
                <w:color w:val="000000" w:themeColor="text1"/>
                <w:szCs w:val="21"/>
              </w:rPr>
              <w:t>伦敦证券交易所</w:t>
            </w:r>
          </w:p>
        </w:tc>
        <w:tc>
          <w:tcPr>
            <w:tcW w:w="0" w:type="auto"/>
            <w:vAlign w:val="center"/>
          </w:tcPr>
          <w:p w:rsidR="00206B34" w:rsidRDefault="00EF1BCB">
            <w:pPr>
              <w:jc w:val="center"/>
            </w:pPr>
            <w:r>
              <w:rPr>
                <w:rFonts w:eastAsiaTheme="minorEastAsia"/>
                <w:color w:val="000000" w:themeColor="text1"/>
                <w:szCs w:val="21"/>
              </w:rPr>
              <w:t>英国</w:t>
            </w:r>
          </w:p>
        </w:tc>
        <w:tc>
          <w:tcPr>
            <w:tcW w:w="0" w:type="auto"/>
            <w:vAlign w:val="center"/>
          </w:tcPr>
          <w:p w:rsidR="00206B34" w:rsidRDefault="00EF1BCB">
            <w:pPr>
              <w:jc w:val="right"/>
            </w:pPr>
            <w:r>
              <w:rPr>
                <w:rFonts w:eastAsiaTheme="minorEastAsia"/>
                <w:color w:val="000000" w:themeColor="text1"/>
                <w:szCs w:val="21"/>
              </w:rPr>
              <w:t>12,037.00</w:t>
            </w:r>
          </w:p>
        </w:tc>
        <w:tc>
          <w:tcPr>
            <w:tcW w:w="0" w:type="auto"/>
            <w:vAlign w:val="center"/>
          </w:tcPr>
          <w:p w:rsidR="00206B34" w:rsidRDefault="00EF1BCB">
            <w:pPr>
              <w:jc w:val="right"/>
            </w:pPr>
            <w:r>
              <w:rPr>
                <w:rFonts w:eastAsiaTheme="minorEastAsia"/>
                <w:color w:val="000000" w:themeColor="text1"/>
                <w:szCs w:val="21"/>
              </w:rPr>
              <w:t>5,613,162.52</w:t>
            </w:r>
          </w:p>
        </w:tc>
        <w:tc>
          <w:tcPr>
            <w:tcW w:w="0" w:type="auto"/>
            <w:vAlign w:val="center"/>
          </w:tcPr>
          <w:p w:rsidR="00206B34" w:rsidRDefault="00EF1BCB">
            <w:pPr>
              <w:jc w:val="right"/>
            </w:pPr>
            <w:r>
              <w:rPr>
                <w:rFonts w:eastAsiaTheme="minorEastAsia"/>
                <w:color w:val="000000" w:themeColor="text1"/>
                <w:szCs w:val="21"/>
              </w:rPr>
              <w:t>5.78</w:t>
            </w:r>
          </w:p>
        </w:tc>
      </w:tr>
      <w:tr w:rsidR="00206B34">
        <w:tc>
          <w:tcPr>
            <w:tcW w:w="0" w:type="auto"/>
            <w:vAlign w:val="center"/>
          </w:tcPr>
          <w:p w:rsidR="00206B34" w:rsidRDefault="00EF1BCB">
            <w:pPr>
              <w:jc w:val="center"/>
            </w:pPr>
            <w:r>
              <w:rPr>
                <w:rFonts w:eastAsiaTheme="minorEastAsia"/>
                <w:color w:val="000000" w:themeColor="text1"/>
                <w:szCs w:val="21"/>
              </w:rPr>
              <w:t>3</w:t>
            </w:r>
          </w:p>
        </w:tc>
        <w:tc>
          <w:tcPr>
            <w:tcW w:w="0" w:type="auto"/>
            <w:vAlign w:val="center"/>
          </w:tcPr>
          <w:p w:rsidR="00206B34" w:rsidRDefault="00EF1BCB">
            <w:pPr>
              <w:jc w:val="center"/>
            </w:pPr>
            <w:r>
              <w:rPr>
                <w:rFonts w:eastAsiaTheme="minorEastAsia"/>
                <w:color w:val="000000" w:themeColor="text1"/>
                <w:szCs w:val="21"/>
              </w:rPr>
              <w:t>BHP GROUP LTD</w:t>
            </w:r>
          </w:p>
        </w:tc>
        <w:tc>
          <w:tcPr>
            <w:tcW w:w="0" w:type="auto"/>
            <w:vAlign w:val="center"/>
          </w:tcPr>
          <w:p w:rsidR="00206B34" w:rsidRDefault="00EF1BCB">
            <w:pPr>
              <w:jc w:val="center"/>
            </w:pPr>
            <w:r>
              <w:rPr>
                <w:rFonts w:eastAsiaTheme="minorEastAsia"/>
                <w:color w:val="000000" w:themeColor="text1"/>
                <w:szCs w:val="21"/>
              </w:rPr>
              <w:t>必和必拓</w:t>
            </w:r>
          </w:p>
        </w:tc>
        <w:tc>
          <w:tcPr>
            <w:tcW w:w="0" w:type="auto"/>
            <w:vAlign w:val="center"/>
          </w:tcPr>
          <w:p w:rsidR="00206B34" w:rsidRDefault="00EF1BCB">
            <w:pPr>
              <w:jc w:val="center"/>
            </w:pPr>
            <w:r>
              <w:rPr>
                <w:rFonts w:eastAsiaTheme="minorEastAsia"/>
                <w:color w:val="000000" w:themeColor="text1"/>
                <w:szCs w:val="21"/>
              </w:rPr>
              <w:t>BHP LN</w:t>
            </w:r>
          </w:p>
        </w:tc>
        <w:tc>
          <w:tcPr>
            <w:tcW w:w="0" w:type="auto"/>
            <w:vAlign w:val="center"/>
          </w:tcPr>
          <w:p w:rsidR="00206B34" w:rsidRDefault="00EF1BCB">
            <w:pPr>
              <w:jc w:val="center"/>
            </w:pPr>
            <w:r>
              <w:rPr>
                <w:rFonts w:eastAsiaTheme="minorEastAsia"/>
                <w:color w:val="000000" w:themeColor="text1"/>
                <w:szCs w:val="21"/>
              </w:rPr>
              <w:t>伦敦证券交易所</w:t>
            </w:r>
          </w:p>
        </w:tc>
        <w:tc>
          <w:tcPr>
            <w:tcW w:w="0" w:type="auto"/>
            <w:vAlign w:val="center"/>
          </w:tcPr>
          <w:p w:rsidR="00206B34" w:rsidRDefault="00EF1BCB">
            <w:pPr>
              <w:jc w:val="center"/>
            </w:pPr>
            <w:r>
              <w:rPr>
                <w:rFonts w:eastAsiaTheme="minorEastAsia"/>
                <w:color w:val="000000" w:themeColor="text1"/>
                <w:szCs w:val="21"/>
              </w:rPr>
              <w:t>英国</w:t>
            </w:r>
          </w:p>
        </w:tc>
        <w:tc>
          <w:tcPr>
            <w:tcW w:w="0" w:type="auto"/>
            <w:vAlign w:val="center"/>
          </w:tcPr>
          <w:p w:rsidR="00206B34" w:rsidRDefault="00EF1BCB">
            <w:pPr>
              <w:jc w:val="right"/>
            </w:pPr>
            <w:r>
              <w:rPr>
                <w:rFonts w:eastAsiaTheme="minorEastAsia"/>
                <w:color w:val="000000" w:themeColor="text1"/>
                <w:szCs w:val="21"/>
              </w:rPr>
              <w:t>25,034.00</w:t>
            </w:r>
          </w:p>
        </w:tc>
        <w:tc>
          <w:tcPr>
            <w:tcW w:w="0" w:type="auto"/>
            <w:vAlign w:val="center"/>
          </w:tcPr>
          <w:p w:rsidR="00206B34" w:rsidRDefault="00EF1BCB">
            <w:pPr>
              <w:jc w:val="right"/>
            </w:pPr>
            <w:r>
              <w:rPr>
                <w:rFonts w:eastAsiaTheme="minorEastAsia"/>
                <w:color w:val="000000" w:themeColor="text1"/>
                <w:szCs w:val="21"/>
              </w:rPr>
              <w:t>5,454,471.92</w:t>
            </w:r>
          </w:p>
        </w:tc>
        <w:tc>
          <w:tcPr>
            <w:tcW w:w="0" w:type="auto"/>
            <w:vAlign w:val="center"/>
          </w:tcPr>
          <w:p w:rsidR="00206B34" w:rsidRDefault="00EF1BCB">
            <w:pPr>
              <w:jc w:val="right"/>
            </w:pPr>
            <w:r>
              <w:rPr>
                <w:rFonts w:eastAsiaTheme="minorEastAsia"/>
                <w:color w:val="000000" w:themeColor="text1"/>
                <w:szCs w:val="21"/>
              </w:rPr>
              <w:t>5.61</w:t>
            </w:r>
          </w:p>
        </w:tc>
      </w:tr>
      <w:tr w:rsidR="00206B34">
        <w:tc>
          <w:tcPr>
            <w:tcW w:w="0" w:type="auto"/>
            <w:vAlign w:val="center"/>
          </w:tcPr>
          <w:p w:rsidR="00206B34" w:rsidRDefault="00EF1BCB">
            <w:pPr>
              <w:jc w:val="center"/>
            </w:pPr>
            <w:r>
              <w:rPr>
                <w:rFonts w:eastAsiaTheme="minorEastAsia"/>
                <w:color w:val="000000" w:themeColor="text1"/>
                <w:szCs w:val="21"/>
              </w:rPr>
              <w:t>4</w:t>
            </w:r>
          </w:p>
        </w:tc>
        <w:tc>
          <w:tcPr>
            <w:tcW w:w="0" w:type="auto"/>
            <w:vAlign w:val="center"/>
          </w:tcPr>
          <w:p w:rsidR="00206B34" w:rsidRDefault="00EF1BCB">
            <w:pPr>
              <w:jc w:val="center"/>
            </w:pPr>
            <w:r>
              <w:rPr>
                <w:rFonts w:eastAsiaTheme="minorEastAsia"/>
                <w:color w:val="000000" w:themeColor="text1"/>
                <w:szCs w:val="21"/>
              </w:rPr>
              <w:t>SHELL PLC (UK)</w:t>
            </w:r>
          </w:p>
        </w:tc>
        <w:tc>
          <w:tcPr>
            <w:tcW w:w="0" w:type="auto"/>
            <w:vAlign w:val="center"/>
          </w:tcPr>
          <w:p w:rsidR="00206B34" w:rsidRDefault="00EF1BCB">
            <w:pPr>
              <w:jc w:val="center"/>
            </w:pPr>
            <w:r>
              <w:rPr>
                <w:rFonts w:eastAsiaTheme="minorEastAsia"/>
                <w:color w:val="000000" w:themeColor="text1"/>
                <w:szCs w:val="21"/>
              </w:rPr>
              <w:t>荷兰皇家壳牌</w:t>
            </w:r>
          </w:p>
        </w:tc>
        <w:tc>
          <w:tcPr>
            <w:tcW w:w="0" w:type="auto"/>
            <w:vAlign w:val="center"/>
          </w:tcPr>
          <w:p w:rsidR="00206B34" w:rsidRDefault="00EF1BCB">
            <w:pPr>
              <w:jc w:val="center"/>
            </w:pPr>
            <w:r>
              <w:rPr>
                <w:rFonts w:eastAsiaTheme="minorEastAsia"/>
                <w:color w:val="000000" w:themeColor="text1"/>
                <w:szCs w:val="21"/>
              </w:rPr>
              <w:t>SHEL LN</w:t>
            </w:r>
          </w:p>
        </w:tc>
        <w:tc>
          <w:tcPr>
            <w:tcW w:w="0" w:type="auto"/>
            <w:vAlign w:val="center"/>
          </w:tcPr>
          <w:p w:rsidR="00206B34" w:rsidRDefault="00EF1BCB">
            <w:pPr>
              <w:jc w:val="center"/>
            </w:pPr>
            <w:r>
              <w:rPr>
                <w:rFonts w:eastAsiaTheme="minorEastAsia"/>
                <w:color w:val="000000" w:themeColor="text1"/>
                <w:szCs w:val="21"/>
              </w:rPr>
              <w:t>伦敦证券交易所</w:t>
            </w:r>
          </w:p>
        </w:tc>
        <w:tc>
          <w:tcPr>
            <w:tcW w:w="0" w:type="auto"/>
            <w:vAlign w:val="center"/>
          </w:tcPr>
          <w:p w:rsidR="00206B34" w:rsidRDefault="00EF1BCB">
            <w:pPr>
              <w:jc w:val="center"/>
            </w:pPr>
            <w:r>
              <w:rPr>
                <w:rFonts w:eastAsiaTheme="minorEastAsia"/>
                <w:color w:val="000000" w:themeColor="text1"/>
                <w:szCs w:val="21"/>
              </w:rPr>
              <w:t>英国</w:t>
            </w:r>
          </w:p>
        </w:tc>
        <w:tc>
          <w:tcPr>
            <w:tcW w:w="0" w:type="auto"/>
            <w:vAlign w:val="center"/>
          </w:tcPr>
          <w:p w:rsidR="00206B34" w:rsidRDefault="00EF1BCB">
            <w:pPr>
              <w:jc w:val="right"/>
            </w:pPr>
            <w:r>
              <w:rPr>
                <w:rFonts w:eastAsiaTheme="minorEastAsia"/>
                <w:color w:val="000000" w:themeColor="text1"/>
                <w:szCs w:val="21"/>
              </w:rPr>
              <w:t>26,471.00</w:t>
            </w:r>
          </w:p>
        </w:tc>
        <w:tc>
          <w:tcPr>
            <w:tcW w:w="0" w:type="auto"/>
            <w:vAlign w:val="center"/>
          </w:tcPr>
          <w:p w:rsidR="00206B34" w:rsidRDefault="00EF1BCB">
            <w:pPr>
              <w:jc w:val="right"/>
            </w:pPr>
            <w:r>
              <w:rPr>
                <w:rFonts w:eastAsiaTheme="minorEastAsia"/>
                <w:color w:val="000000" w:themeColor="text1"/>
                <w:szCs w:val="21"/>
              </w:rPr>
              <w:t>5,201,966.59</w:t>
            </w:r>
          </w:p>
        </w:tc>
        <w:tc>
          <w:tcPr>
            <w:tcW w:w="0" w:type="auto"/>
            <w:vAlign w:val="center"/>
          </w:tcPr>
          <w:p w:rsidR="00206B34" w:rsidRDefault="00EF1BCB">
            <w:pPr>
              <w:jc w:val="right"/>
            </w:pPr>
            <w:r>
              <w:rPr>
                <w:rFonts w:eastAsiaTheme="minorEastAsia"/>
                <w:color w:val="000000" w:themeColor="text1"/>
                <w:szCs w:val="21"/>
              </w:rPr>
              <w:t>5.35</w:t>
            </w:r>
          </w:p>
        </w:tc>
      </w:tr>
      <w:tr w:rsidR="00206B34">
        <w:tc>
          <w:tcPr>
            <w:tcW w:w="0" w:type="auto"/>
            <w:vAlign w:val="center"/>
          </w:tcPr>
          <w:p w:rsidR="00206B34" w:rsidRDefault="00EF1BCB">
            <w:pPr>
              <w:jc w:val="center"/>
            </w:pPr>
            <w:r>
              <w:rPr>
                <w:rFonts w:eastAsiaTheme="minorEastAsia"/>
                <w:color w:val="000000" w:themeColor="text1"/>
                <w:szCs w:val="21"/>
              </w:rPr>
              <w:t>5</w:t>
            </w:r>
          </w:p>
        </w:tc>
        <w:tc>
          <w:tcPr>
            <w:tcW w:w="0" w:type="auto"/>
            <w:vAlign w:val="center"/>
          </w:tcPr>
          <w:p w:rsidR="00206B34" w:rsidRDefault="00EF1BCB">
            <w:pPr>
              <w:jc w:val="center"/>
            </w:pPr>
            <w:r>
              <w:rPr>
                <w:rFonts w:eastAsiaTheme="minorEastAsia"/>
                <w:color w:val="000000" w:themeColor="text1"/>
                <w:szCs w:val="21"/>
              </w:rPr>
              <w:t>Freeport-McMoRan Inc</w:t>
            </w:r>
          </w:p>
        </w:tc>
        <w:tc>
          <w:tcPr>
            <w:tcW w:w="0" w:type="auto"/>
            <w:vAlign w:val="center"/>
          </w:tcPr>
          <w:p w:rsidR="00206B34" w:rsidRDefault="00EF1BCB">
            <w:pPr>
              <w:jc w:val="center"/>
            </w:pPr>
            <w:r>
              <w:rPr>
                <w:rFonts w:eastAsiaTheme="minorEastAsia"/>
                <w:color w:val="000000" w:themeColor="text1"/>
                <w:szCs w:val="21"/>
              </w:rPr>
              <w:t>自由港麦克莫兰</w:t>
            </w:r>
          </w:p>
        </w:tc>
        <w:tc>
          <w:tcPr>
            <w:tcW w:w="0" w:type="auto"/>
            <w:vAlign w:val="center"/>
          </w:tcPr>
          <w:p w:rsidR="00206B34" w:rsidRDefault="00EF1BCB">
            <w:pPr>
              <w:jc w:val="center"/>
            </w:pPr>
            <w:r>
              <w:rPr>
                <w:rFonts w:eastAsiaTheme="minorEastAsia"/>
                <w:color w:val="000000" w:themeColor="text1"/>
                <w:szCs w:val="21"/>
              </w:rPr>
              <w:t>FCX US</w:t>
            </w:r>
          </w:p>
        </w:tc>
        <w:tc>
          <w:tcPr>
            <w:tcW w:w="0" w:type="auto"/>
            <w:vAlign w:val="center"/>
          </w:tcPr>
          <w:p w:rsidR="00206B34" w:rsidRDefault="00EF1BCB">
            <w:pPr>
              <w:jc w:val="center"/>
            </w:pPr>
            <w:r>
              <w:rPr>
                <w:rFonts w:eastAsiaTheme="minorEastAsia"/>
                <w:color w:val="000000" w:themeColor="text1"/>
                <w:szCs w:val="21"/>
              </w:rPr>
              <w:t>纽约证券交易所</w:t>
            </w:r>
          </w:p>
        </w:tc>
        <w:tc>
          <w:tcPr>
            <w:tcW w:w="0" w:type="auto"/>
            <w:vAlign w:val="center"/>
          </w:tcPr>
          <w:p w:rsidR="00206B34" w:rsidRDefault="00EF1BCB">
            <w:pPr>
              <w:jc w:val="center"/>
            </w:pPr>
            <w:r>
              <w:rPr>
                <w:rFonts w:eastAsiaTheme="minorEastAsia"/>
                <w:color w:val="000000" w:themeColor="text1"/>
                <w:szCs w:val="21"/>
              </w:rPr>
              <w:t>美国</w:t>
            </w:r>
          </w:p>
        </w:tc>
        <w:tc>
          <w:tcPr>
            <w:tcW w:w="0" w:type="auto"/>
            <w:vAlign w:val="center"/>
          </w:tcPr>
          <w:p w:rsidR="00206B34" w:rsidRDefault="00EF1BCB">
            <w:pPr>
              <w:jc w:val="right"/>
            </w:pPr>
            <w:r>
              <w:rPr>
                <w:rFonts w:eastAsiaTheme="minorEastAsia"/>
                <w:color w:val="000000" w:themeColor="text1"/>
                <w:szCs w:val="21"/>
              </w:rPr>
              <w:t>17,520.00</w:t>
            </w:r>
          </w:p>
        </w:tc>
        <w:tc>
          <w:tcPr>
            <w:tcW w:w="0" w:type="auto"/>
            <w:vAlign w:val="center"/>
          </w:tcPr>
          <w:p w:rsidR="00206B34" w:rsidRDefault="00EF1BCB">
            <w:pPr>
              <w:jc w:val="right"/>
            </w:pPr>
            <w:r>
              <w:rPr>
                <w:rFonts w:eastAsiaTheme="minorEastAsia"/>
                <w:color w:val="000000" w:themeColor="text1"/>
                <w:szCs w:val="21"/>
              </w:rPr>
              <w:t>4,925,244.25</w:t>
            </w:r>
          </w:p>
        </w:tc>
        <w:tc>
          <w:tcPr>
            <w:tcW w:w="0" w:type="auto"/>
            <w:vAlign w:val="center"/>
          </w:tcPr>
          <w:p w:rsidR="00206B34" w:rsidRDefault="00EF1BCB">
            <w:pPr>
              <w:jc w:val="right"/>
            </w:pPr>
            <w:r>
              <w:rPr>
                <w:rFonts w:eastAsiaTheme="minorEastAsia"/>
                <w:color w:val="000000" w:themeColor="text1"/>
                <w:szCs w:val="21"/>
              </w:rPr>
              <w:t>5.07</w:t>
            </w:r>
          </w:p>
        </w:tc>
      </w:tr>
      <w:tr w:rsidR="00206B34">
        <w:tc>
          <w:tcPr>
            <w:tcW w:w="0" w:type="auto"/>
            <w:vAlign w:val="center"/>
          </w:tcPr>
          <w:p w:rsidR="00206B34" w:rsidRDefault="00EF1BCB">
            <w:pPr>
              <w:jc w:val="center"/>
            </w:pPr>
            <w:r>
              <w:rPr>
                <w:rFonts w:eastAsiaTheme="minorEastAsia"/>
                <w:color w:val="000000" w:themeColor="text1"/>
                <w:szCs w:val="21"/>
              </w:rPr>
              <w:t>6</w:t>
            </w:r>
          </w:p>
        </w:tc>
        <w:tc>
          <w:tcPr>
            <w:tcW w:w="0" w:type="auto"/>
            <w:vAlign w:val="center"/>
          </w:tcPr>
          <w:p w:rsidR="00206B34" w:rsidRDefault="00EF1BCB">
            <w:pPr>
              <w:jc w:val="center"/>
            </w:pPr>
            <w:r>
              <w:rPr>
                <w:rFonts w:eastAsiaTheme="minorEastAsia"/>
                <w:color w:val="000000" w:themeColor="text1"/>
                <w:szCs w:val="21"/>
              </w:rPr>
              <w:t>EXXON MOBIL CORP</w:t>
            </w:r>
          </w:p>
        </w:tc>
        <w:tc>
          <w:tcPr>
            <w:tcW w:w="0" w:type="auto"/>
            <w:vAlign w:val="center"/>
          </w:tcPr>
          <w:p w:rsidR="00206B34" w:rsidRDefault="00EF1BCB">
            <w:pPr>
              <w:jc w:val="center"/>
            </w:pPr>
            <w:r>
              <w:rPr>
                <w:rFonts w:eastAsiaTheme="minorEastAsia"/>
                <w:color w:val="000000" w:themeColor="text1"/>
                <w:szCs w:val="21"/>
              </w:rPr>
              <w:t>埃克森美孚</w:t>
            </w:r>
          </w:p>
        </w:tc>
        <w:tc>
          <w:tcPr>
            <w:tcW w:w="0" w:type="auto"/>
            <w:vAlign w:val="center"/>
          </w:tcPr>
          <w:p w:rsidR="00206B34" w:rsidRDefault="00EF1BCB">
            <w:pPr>
              <w:jc w:val="center"/>
            </w:pPr>
            <w:r>
              <w:rPr>
                <w:rFonts w:eastAsiaTheme="minorEastAsia"/>
                <w:color w:val="000000" w:themeColor="text1"/>
                <w:szCs w:val="21"/>
              </w:rPr>
              <w:t>XOM US</w:t>
            </w:r>
          </w:p>
        </w:tc>
        <w:tc>
          <w:tcPr>
            <w:tcW w:w="0" w:type="auto"/>
            <w:vAlign w:val="center"/>
          </w:tcPr>
          <w:p w:rsidR="00206B34" w:rsidRDefault="00EF1BCB">
            <w:pPr>
              <w:jc w:val="center"/>
            </w:pPr>
            <w:r>
              <w:rPr>
                <w:rFonts w:eastAsiaTheme="minorEastAsia"/>
                <w:color w:val="000000" w:themeColor="text1"/>
                <w:szCs w:val="21"/>
              </w:rPr>
              <w:t>纽约证券交易所</w:t>
            </w:r>
          </w:p>
        </w:tc>
        <w:tc>
          <w:tcPr>
            <w:tcW w:w="0" w:type="auto"/>
            <w:vAlign w:val="center"/>
          </w:tcPr>
          <w:p w:rsidR="00206B34" w:rsidRDefault="00EF1BCB">
            <w:pPr>
              <w:jc w:val="center"/>
            </w:pPr>
            <w:r>
              <w:rPr>
                <w:rFonts w:eastAsiaTheme="minorEastAsia"/>
                <w:color w:val="000000" w:themeColor="text1"/>
                <w:szCs w:val="21"/>
              </w:rPr>
              <w:t>美国</w:t>
            </w:r>
          </w:p>
        </w:tc>
        <w:tc>
          <w:tcPr>
            <w:tcW w:w="0" w:type="auto"/>
            <w:vAlign w:val="center"/>
          </w:tcPr>
          <w:p w:rsidR="00206B34" w:rsidRDefault="00EF1BCB">
            <w:pPr>
              <w:jc w:val="right"/>
            </w:pPr>
            <w:r>
              <w:rPr>
                <w:rFonts w:eastAsiaTheme="minorEastAsia"/>
                <w:color w:val="000000" w:themeColor="text1"/>
                <w:szCs w:val="21"/>
              </w:rPr>
              <w:t>6,121.00</w:t>
            </w:r>
          </w:p>
        </w:tc>
        <w:tc>
          <w:tcPr>
            <w:tcW w:w="0" w:type="auto"/>
            <w:vAlign w:val="center"/>
          </w:tcPr>
          <w:p w:rsidR="00206B34" w:rsidRDefault="00EF1BCB">
            <w:pPr>
              <w:jc w:val="right"/>
            </w:pPr>
            <w:r>
              <w:rPr>
                <w:rFonts w:eastAsiaTheme="minorEastAsia"/>
                <w:color w:val="000000" w:themeColor="text1"/>
                <w:szCs w:val="21"/>
              </w:rPr>
              <w:t>4,612,483.36</w:t>
            </w:r>
          </w:p>
        </w:tc>
        <w:tc>
          <w:tcPr>
            <w:tcW w:w="0" w:type="auto"/>
            <w:vAlign w:val="center"/>
          </w:tcPr>
          <w:p w:rsidR="00206B34" w:rsidRDefault="00EF1BCB">
            <w:pPr>
              <w:jc w:val="right"/>
            </w:pPr>
            <w:r>
              <w:rPr>
                <w:rFonts w:eastAsiaTheme="minorEastAsia"/>
                <w:color w:val="000000" w:themeColor="text1"/>
                <w:szCs w:val="21"/>
              </w:rPr>
              <w:t>4.75</w:t>
            </w:r>
          </w:p>
        </w:tc>
      </w:tr>
      <w:tr w:rsidR="00206B34">
        <w:tc>
          <w:tcPr>
            <w:tcW w:w="0" w:type="auto"/>
            <w:vAlign w:val="center"/>
          </w:tcPr>
          <w:p w:rsidR="00206B34" w:rsidRDefault="00EF1BCB">
            <w:pPr>
              <w:jc w:val="center"/>
            </w:pPr>
            <w:r>
              <w:rPr>
                <w:rFonts w:eastAsiaTheme="minorEastAsia"/>
                <w:color w:val="000000" w:themeColor="text1"/>
                <w:szCs w:val="21"/>
              </w:rPr>
              <w:t>7</w:t>
            </w:r>
          </w:p>
        </w:tc>
        <w:tc>
          <w:tcPr>
            <w:tcW w:w="0" w:type="auto"/>
            <w:vAlign w:val="center"/>
          </w:tcPr>
          <w:p w:rsidR="00206B34" w:rsidRDefault="00EF1BCB">
            <w:pPr>
              <w:jc w:val="center"/>
            </w:pPr>
            <w:r>
              <w:rPr>
                <w:rFonts w:eastAsiaTheme="minorEastAsia"/>
                <w:color w:val="000000" w:themeColor="text1"/>
                <w:szCs w:val="21"/>
              </w:rPr>
              <w:t>TOTALENERGIES SE -SPON ADR</w:t>
            </w:r>
          </w:p>
        </w:tc>
        <w:tc>
          <w:tcPr>
            <w:tcW w:w="0" w:type="auto"/>
            <w:vAlign w:val="center"/>
          </w:tcPr>
          <w:p w:rsidR="00206B34" w:rsidRDefault="00EF1BCB">
            <w:pPr>
              <w:jc w:val="center"/>
            </w:pPr>
            <w:r>
              <w:rPr>
                <w:rFonts w:eastAsiaTheme="minorEastAsia"/>
                <w:color w:val="000000" w:themeColor="text1"/>
                <w:szCs w:val="21"/>
              </w:rPr>
              <w:t>道达尔</w:t>
            </w:r>
          </w:p>
        </w:tc>
        <w:tc>
          <w:tcPr>
            <w:tcW w:w="0" w:type="auto"/>
            <w:vAlign w:val="center"/>
          </w:tcPr>
          <w:p w:rsidR="00206B34" w:rsidRDefault="00EF1BCB">
            <w:pPr>
              <w:jc w:val="center"/>
            </w:pPr>
            <w:r>
              <w:rPr>
                <w:rFonts w:eastAsiaTheme="minorEastAsia"/>
                <w:color w:val="000000" w:themeColor="text1"/>
                <w:szCs w:val="21"/>
              </w:rPr>
              <w:t>TTE US</w:t>
            </w:r>
          </w:p>
        </w:tc>
        <w:tc>
          <w:tcPr>
            <w:tcW w:w="0" w:type="auto"/>
            <w:vAlign w:val="center"/>
          </w:tcPr>
          <w:p w:rsidR="00206B34" w:rsidRDefault="00EF1BCB">
            <w:pPr>
              <w:jc w:val="center"/>
            </w:pPr>
            <w:r>
              <w:rPr>
                <w:rFonts w:eastAsiaTheme="minorEastAsia"/>
                <w:color w:val="000000" w:themeColor="text1"/>
                <w:szCs w:val="21"/>
              </w:rPr>
              <w:t>纽约证券交易所</w:t>
            </w:r>
          </w:p>
        </w:tc>
        <w:tc>
          <w:tcPr>
            <w:tcW w:w="0" w:type="auto"/>
            <w:vAlign w:val="center"/>
          </w:tcPr>
          <w:p w:rsidR="00206B34" w:rsidRDefault="00EF1BCB">
            <w:pPr>
              <w:jc w:val="center"/>
            </w:pPr>
            <w:r>
              <w:rPr>
                <w:rFonts w:eastAsiaTheme="minorEastAsia"/>
                <w:color w:val="000000" w:themeColor="text1"/>
                <w:szCs w:val="21"/>
              </w:rPr>
              <w:t>美国</w:t>
            </w:r>
          </w:p>
        </w:tc>
        <w:tc>
          <w:tcPr>
            <w:tcW w:w="0" w:type="auto"/>
            <w:vAlign w:val="center"/>
          </w:tcPr>
          <w:p w:rsidR="00206B34" w:rsidRDefault="00EF1BCB">
            <w:pPr>
              <w:jc w:val="right"/>
            </w:pPr>
            <w:r>
              <w:rPr>
                <w:rFonts w:eastAsiaTheme="minorEastAsia"/>
                <w:color w:val="000000" w:themeColor="text1"/>
                <w:szCs w:val="21"/>
              </w:rPr>
              <w:t>9,590.00</w:t>
            </w:r>
          </w:p>
        </w:tc>
        <w:tc>
          <w:tcPr>
            <w:tcW w:w="0" w:type="auto"/>
            <w:vAlign w:val="center"/>
          </w:tcPr>
          <w:p w:rsidR="00206B34" w:rsidRDefault="00EF1BCB">
            <w:pPr>
              <w:jc w:val="right"/>
            </w:pPr>
            <w:r>
              <w:rPr>
                <w:rFonts w:eastAsiaTheme="minorEastAsia"/>
                <w:color w:val="000000" w:themeColor="text1"/>
                <w:szCs w:val="21"/>
              </w:rPr>
              <w:t>3,891,371.56</w:t>
            </w:r>
          </w:p>
        </w:tc>
        <w:tc>
          <w:tcPr>
            <w:tcW w:w="0" w:type="auto"/>
            <w:vAlign w:val="center"/>
          </w:tcPr>
          <w:p w:rsidR="00206B34" w:rsidRDefault="00EF1BCB">
            <w:pPr>
              <w:jc w:val="right"/>
            </w:pPr>
            <w:r>
              <w:rPr>
                <w:rFonts w:eastAsiaTheme="minorEastAsia"/>
                <w:color w:val="000000" w:themeColor="text1"/>
                <w:szCs w:val="21"/>
              </w:rPr>
              <w:t>4.00</w:t>
            </w:r>
          </w:p>
        </w:tc>
      </w:tr>
      <w:tr w:rsidR="00206B34">
        <w:tc>
          <w:tcPr>
            <w:tcW w:w="0" w:type="auto"/>
            <w:vAlign w:val="center"/>
          </w:tcPr>
          <w:p w:rsidR="00206B34" w:rsidRDefault="00EF1BCB">
            <w:pPr>
              <w:jc w:val="center"/>
            </w:pPr>
            <w:r>
              <w:rPr>
                <w:rFonts w:eastAsiaTheme="minorEastAsia"/>
                <w:color w:val="000000" w:themeColor="text1"/>
                <w:szCs w:val="21"/>
              </w:rPr>
              <w:t>8</w:t>
            </w:r>
          </w:p>
        </w:tc>
        <w:tc>
          <w:tcPr>
            <w:tcW w:w="0" w:type="auto"/>
            <w:vAlign w:val="center"/>
          </w:tcPr>
          <w:p w:rsidR="00206B34" w:rsidRDefault="00EF1BCB">
            <w:pPr>
              <w:jc w:val="center"/>
            </w:pPr>
            <w:r>
              <w:rPr>
                <w:rFonts w:eastAsiaTheme="minorEastAsia"/>
                <w:color w:val="000000" w:themeColor="text1"/>
                <w:szCs w:val="21"/>
              </w:rPr>
              <w:t>NEWMONT CORP</w:t>
            </w:r>
          </w:p>
        </w:tc>
        <w:tc>
          <w:tcPr>
            <w:tcW w:w="0" w:type="auto"/>
            <w:vAlign w:val="center"/>
          </w:tcPr>
          <w:p w:rsidR="00206B34" w:rsidRDefault="00EF1BCB">
            <w:pPr>
              <w:jc w:val="center"/>
            </w:pPr>
            <w:r>
              <w:rPr>
                <w:rFonts w:eastAsiaTheme="minorEastAsia"/>
                <w:color w:val="000000" w:themeColor="text1"/>
                <w:szCs w:val="21"/>
              </w:rPr>
              <w:t>纽蒙特黄</w:t>
            </w:r>
            <w:r>
              <w:rPr>
                <w:rFonts w:eastAsiaTheme="minorEastAsia"/>
                <w:color w:val="000000" w:themeColor="text1"/>
                <w:szCs w:val="21"/>
              </w:rPr>
              <w:lastRenderedPageBreak/>
              <w:t>金公司</w:t>
            </w:r>
          </w:p>
        </w:tc>
        <w:tc>
          <w:tcPr>
            <w:tcW w:w="0" w:type="auto"/>
            <w:vAlign w:val="center"/>
          </w:tcPr>
          <w:p w:rsidR="00206B34" w:rsidRDefault="00EF1BCB">
            <w:pPr>
              <w:jc w:val="center"/>
            </w:pPr>
            <w:r>
              <w:rPr>
                <w:rFonts w:eastAsiaTheme="minorEastAsia"/>
                <w:color w:val="000000" w:themeColor="text1"/>
                <w:szCs w:val="21"/>
              </w:rPr>
              <w:lastRenderedPageBreak/>
              <w:t>NEM US</w:t>
            </w:r>
          </w:p>
        </w:tc>
        <w:tc>
          <w:tcPr>
            <w:tcW w:w="0" w:type="auto"/>
            <w:vAlign w:val="center"/>
          </w:tcPr>
          <w:p w:rsidR="00206B34" w:rsidRDefault="00EF1BCB">
            <w:pPr>
              <w:jc w:val="center"/>
            </w:pPr>
            <w:r>
              <w:rPr>
                <w:rFonts w:eastAsiaTheme="minorEastAsia"/>
                <w:color w:val="000000" w:themeColor="text1"/>
                <w:szCs w:val="21"/>
              </w:rPr>
              <w:t>纽约</w:t>
            </w:r>
            <w:r>
              <w:rPr>
                <w:rFonts w:eastAsiaTheme="minorEastAsia"/>
                <w:color w:val="000000" w:themeColor="text1"/>
                <w:szCs w:val="21"/>
              </w:rPr>
              <w:lastRenderedPageBreak/>
              <w:t>证券交易所</w:t>
            </w:r>
          </w:p>
        </w:tc>
        <w:tc>
          <w:tcPr>
            <w:tcW w:w="0" w:type="auto"/>
            <w:vAlign w:val="center"/>
          </w:tcPr>
          <w:p w:rsidR="00206B34" w:rsidRDefault="00EF1BCB">
            <w:pPr>
              <w:jc w:val="center"/>
            </w:pPr>
            <w:r>
              <w:rPr>
                <w:rFonts w:eastAsiaTheme="minorEastAsia"/>
                <w:color w:val="000000" w:themeColor="text1"/>
                <w:szCs w:val="21"/>
              </w:rPr>
              <w:lastRenderedPageBreak/>
              <w:t>美国</w:t>
            </w:r>
          </w:p>
        </w:tc>
        <w:tc>
          <w:tcPr>
            <w:tcW w:w="0" w:type="auto"/>
            <w:vAlign w:val="center"/>
          </w:tcPr>
          <w:p w:rsidR="00206B34" w:rsidRDefault="00EF1BCB">
            <w:pPr>
              <w:jc w:val="right"/>
            </w:pPr>
            <w:r>
              <w:rPr>
                <w:rFonts w:eastAsiaTheme="minorEastAsia"/>
                <w:color w:val="000000" w:themeColor="text1"/>
                <w:szCs w:val="21"/>
              </w:rPr>
              <w:t>9,033.00</w:t>
            </w:r>
          </w:p>
        </w:tc>
        <w:tc>
          <w:tcPr>
            <w:tcW w:w="0" w:type="auto"/>
            <w:vAlign w:val="center"/>
          </w:tcPr>
          <w:p w:rsidR="00206B34" w:rsidRDefault="00EF1BCB">
            <w:pPr>
              <w:jc w:val="right"/>
            </w:pPr>
            <w:r>
              <w:rPr>
                <w:rFonts w:eastAsiaTheme="minorEastAsia"/>
                <w:color w:val="000000" w:themeColor="text1"/>
                <w:szCs w:val="21"/>
              </w:rPr>
              <w:t>3,042,772.68</w:t>
            </w:r>
          </w:p>
        </w:tc>
        <w:tc>
          <w:tcPr>
            <w:tcW w:w="0" w:type="auto"/>
            <w:vAlign w:val="center"/>
          </w:tcPr>
          <w:p w:rsidR="00206B34" w:rsidRDefault="00EF1BCB">
            <w:pPr>
              <w:jc w:val="right"/>
            </w:pPr>
            <w:r>
              <w:rPr>
                <w:rFonts w:eastAsiaTheme="minorEastAsia"/>
                <w:color w:val="000000" w:themeColor="text1"/>
                <w:szCs w:val="21"/>
              </w:rPr>
              <w:t>3.13</w:t>
            </w:r>
          </w:p>
        </w:tc>
      </w:tr>
      <w:tr w:rsidR="00206B34">
        <w:tc>
          <w:tcPr>
            <w:tcW w:w="0" w:type="auto"/>
            <w:vAlign w:val="center"/>
          </w:tcPr>
          <w:p w:rsidR="00206B34" w:rsidRDefault="00EF1BCB">
            <w:pPr>
              <w:jc w:val="center"/>
            </w:pPr>
            <w:r>
              <w:rPr>
                <w:rFonts w:eastAsiaTheme="minorEastAsia"/>
                <w:color w:val="000000" w:themeColor="text1"/>
                <w:szCs w:val="21"/>
              </w:rPr>
              <w:t>9</w:t>
            </w:r>
          </w:p>
        </w:tc>
        <w:tc>
          <w:tcPr>
            <w:tcW w:w="0" w:type="auto"/>
            <w:vAlign w:val="center"/>
          </w:tcPr>
          <w:p w:rsidR="00206B34" w:rsidRDefault="00EF1BCB">
            <w:pPr>
              <w:jc w:val="center"/>
            </w:pPr>
            <w:r>
              <w:rPr>
                <w:rFonts w:eastAsiaTheme="minorEastAsia"/>
                <w:color w:val="000000" w:themeColor="text1"/>
                <w:szCs w:val="21"/>
              </w:rPr>
              <w:t>ANGLO AMERICAN PLC</w:t>
            </w:r>
          </w:p>
        </w:tc>
        <w:tc>
          <w:tcPr>
            <w:tcW w:w="0" w:type="auto"/>
            <w:vAlign w:val="center"/>
          </w:tcPr>
          <w:p w:rsidR="00206B34" w:rsidRDefault="00EF1BCB">
            <w:pPr>
              <w:jc w:val="center"/>
            </w:pPr>
            <w:r>
              <w:rPr>
                <w:rFonts w:eastAsiaTheme="minorEastAsia"/>
                <w:color w:val="000000" w:themeColor="text1"/>
                <w:szCs w:val="21"/>
              </w:rPr>
              <w:t>英美资源集团</w:t>
            </w:r>
          </w:p>
        </w:tc>
        <w:tc>
          <w:tcPr>
            <w:tcW w:w="0" w:type="auto"/>
            <w:vAlign w:val="center"/>
          </w:tcPr>
          <w:p w:rsidR="00206B34" w:rsidRDefault="00EF1BCB">
            <w:pPr>
              <w:jc w:val="center"/>
            </w:pPr>
            <w:r>
              <w:rPr>
                <w:rFonts w:eastAsiaTheme="minorEastAsia"/>
                <w:color w:val="000000" w:themeColor="text1"/>
                <w:szCs w:val="21"/>
              </w:rPr>
              <w:t>AAL</w:t>
            </w:r>
          </w:p>
        </w:tc>
        <w:tc>
          <w:tcPr>
            <w:tcW w:w="0" w:type="auto"/>
            <w:vAlign w:val="center"/>
          </w:tcPr>
          <w:p w:rsidR="00206B34" w:rsidRDefault="00EF1BCB">
            <w:pPr>
              <w:jc w:val="center"/>
            </w:pPr>
            <w:r>
              <w:rPr>
                <w:rFonts w:eastAsiaTheme="minorEastAsia"/>
                <w:color w:val="000000" w:themeColor="text1"/>
                <w:szCs w:val="21"/>
              </w:rPr>
              <w:t>伦敦证券交易所</w:t>
            </w:r>
          </w:p>
        </w:tc>
        <w:tc>
          <w:tcPr>
            <w:tcW w:w="0" w:type="auto"/>
            <w:vAlign w:val="center"/>
          </w:tcPr>
          <w:p w:rsidR="00206B34" w:rsidRDefault="00EF1BCB">
            <w:pPr>
              <w:jc w:val="center"/>
            </w:pPr>
            <w:r>
              <w:rPr>
                <w:rFonts w:eastAsiaTheme="minorEastAsia"/>
                <w:color w:val="000000" w:themeColor="text1"/>
                <w:szCs w:val="21"/>
              </w:rPr>
              <w:t>英国</w:t>
            </w:r>
          </w:p>
        </w:tc>
        <w:tc>
          <w:tcPr>
            <w:tcW w:w="0" w:type="auto"/>
            <w:vAlign w:val="center"/>
          </w:tcPr>
          <w:p w:rsidR="00206B34" w:rsidRDefault="00EF1BCB">
            <w:pPr>
              <w:jc w:val="right"/>
            </w:pPr>
            <w:r>
              <w:rPr>
                <w:rFonts w:eastAsiaTheme="minorEastAsia"/>
                <w:color w:val="000000" w:themeColor="text1"/>
                <w:szCs w:val="21"/>
              </w:rPr>
              <w:t>13,342.00</w:t>
            </w:r>
          </w:p>
        </w:tc>
        <w:tc>
          <w:tcPr>
            <w:tcW w:w="0" w:type="auto"/>
            <w:vAlign w:val="center"/>
          </w:tcPr>
          <w:p w:rsidR="00206B34" w:rsidRDefault="00EF1BCB">
            <w:pPr>
              <w:jc w:val="right"/>
            </w:pPr>
            <w:r>
              <w:rPr>
                <w:rFonts w:eastAsiaTheme="minorEastAsia"/>
                <w:color w:val="000000" w:themeColor="text1"/>
                <w:szCs w:val="21"/>
              </w:rPr>
              <w:t>3,041,577.15</w:t>
            </w:r>
          </w:p>
        </w:tc>
        <w:tc>
          <w:tcPr>
            <w:tcW w:w="0" w:type="auto"/>
            <w:vAlign w:val="center"/>
          </w:tcPr>
          <w:p w:rsidR="00206B34" w:rsidRDefault="00EF1BCB">
            <w:pPr>
              <w:jc w:val="right"/>
            </w:pPr>
            <w:r>
              <w:rPr>
                <w:rFonts w:eastAsiaTheme="minorEastAsia"/>
                <w:color w:val="000000" w:themeColor="text1"/>
                <w:szCs w:val="21"/>
              </w:rPr>
              <w:t>3.13</w:t>
            </w:r>
          </w:p>
        </w:tc>
      </w:tr>
      <w:tr w:rsidR="00206B34">
        <w:tc>
          <w:tcPr>
            <w:tcW w:w="0" w:type="auto"/>
            <w:vAlign w:val="center"/>
          </w:tcPr>
          <w:p w:rsidR="00206B34" w:rsidRDefault="00EF1BCB">
            <w:pPr>
              <w:jc w:val="center"/>
            </w:pPr>
            <w:r>
              <w:rPr>
                <w:rFonts w:eastAsiaTheme="minorEastAsia"/>
                <w:color w:val="000000" w:themeColor="text1"/>
                <w:szCs w:val="21"/>
              </w:rPr>
              <w:t>10</w:t>
            </w:r>
          </w:p>
        </w:tc>
        <w:tc>
          <w:tcPr>
            <w:tcW w:w="0" w:type="auto"/>
            <w:vAlign w:val="center"/>
          </w:tcPr>
          <w:p w:rsidR="00206B34" w:rsidRDefault="00EF1BCB">
            <w:pPr>
              <w:jc w:val="center"/>
            </w:pPr>
            <w:r>
              <w:rPr>
                <w:rFonts w:eastAsiaTheme="minorEastAsia"/>
                <w:color w:val="000000" w:themeColor="text1"/>
                <w:szCs w:val="21"/>
              </w:rPr>
              <w:t>HESS CORP</w:t>
            </w:r>
          </w:p>
        </w:tc>
        <w:tc>
          <w:tcPr>
            <w:tcW w:w="0" w:type="auto"/>
            <w:vAlign w:val="center"/>
          </w:tcPr>
          <w:p w:rsidR="00206B34" w:rsidRDefault="00EF1BCB">
            <w:pPr>
              <w:jc w:val="center"/>
            </w:pPr>
            <w:r>
              <w:rPr>
                <w:rFonts w:eastAsiaTheme="minorEastAsia"/>
                <w:color w:val="000000" w:themeColor="text1"/>
                <w:szCs w:val="21"/>
              </w:rPr>
              <w:t>赫斯公司</w:t>
            </w:r>
          </w:p>
        </w:tc>
        <w:tc>
          <w:tcPr>
            <w:tcW w:w="0" w:type="auto"/>
            <w:vAlign w:val="center"/>
          </w:tcPr>
          <w:p w:rsidR="00206B34" w:rsidRDefault="00EF1BCB">
            <w:pPr>
              <w:jc w:val="center"/>
            </w:pPr>
            <w:r>
              <w:rPr>
                <w:rFonts w:eastAsiaTheme="minorEastAsia"/>
                <w:color w:val="000000" w:themeColor="text1"/>
                <w:szCs w:val="21"/>
              </w:rPr>
              <w:t>HES US</w:t>
            </w:r>
          </w:p>
        </w:tc>
        <w:tc>
          <w:tcPr>
            <w:tcW w:w="0" w:type="auto"/>
            <w:vAlign w:val="center"/>
          </w:tcPr>
          <w:p w:rsidR="00206B34" w:rsidRDefault="00EF1BCB">
            <w:pPr>
              <w:jc w:val="center"/>
            </w:pPr>
            <w:r>
              <w:rPr>
                <w:rFonts w:eastAsiaTheme="minorEastAsia"/>
                <w:color w:val="000000" w:themeColor="text1"/>
                <w:szCs w:val="21"/>
              </w:rPr>
              <w:t>纽约证券交易所</w:t>
            </w:r>
          </w:p>
        </w:tc>
        <w:tc>
          <w:tcPr>
            <w:tcW w:w="0" w:type="auto"/>
            <w:vAlign w:val="center"/>
          </w:tcPr>
          <w:p w:rsidR="00206B34" w:rsidRDefault="00EF1BCB">
            <w:pPr>
              <w:jc w:val="center"/>
            </w:pPr>
            <w:r>
              <w:rPr>
                <w:rFonts w:eastAsiaTheme="minorEastAsia"/>
                <w:color w:val="000000" w:themeColor="text1"/>
                <w:szCs w:val="21"/>
              </w:rPr>
              <w:t>美国</w:t>
            </w:r>
          </w:p>
        </w:tc>
        <w:tc>
          <w:tcPr>
            <w:tcW w:w="0" w:type="auto"/>
            <w:vAlign w:val="center"/>
          </w:tcPr>
          <w:p w:rsidR="00206B34" w:rsidRDefault="00EF1BCB">
            <w:pPr>
              <w:jc w:val="right"/>
            </w:pPr>
            <w:r>
              <w:rPr>
                <w:rFonts w:eastAsiaTheme="minorEastAsia"/>
                <w:color w:val="000000" w:themeColor="text1"/>
                <w:szCs w:val="21"/>
              </w:rPr>
              <w:t>3,195.00</w:t>
            </w:r>
          </w:p>
        </w:tc>
        <w:tc>
          <w:tcPr>
            <w:tcW w:w="0" w:type="auto"/>
            <w:vAlign w:val="center"/>
          </w:tcPr>
          <w:p w:rsidR="00206B34" w:rsidRDefault="00EF1BCB">
            <w:pPr>
              <w:jc w:val="right"/>
            </w:pPr>
            <w:r>
              <w:rPr>
                <w:rFonts w:eastAsiaTheme="minorEastAsia"/>
                <w:color w:val="000000" w:themeColor="text1"/>
                <w:szCs w:val="21"/>
              </w:rPr>
              <w:t>2,905,535.49</w:t>
            </w:r>
          </w:p>
        </w:tc>
        <w:tc>
          <w:tcPr>
            <w:tcW w:w="0" w:type="auto"/>
            <w:vAlign w:val="center"/>
          </w:tcPr>
          <w:p w:rsidR="00206B34" w:rsidRDefault="00EF1BCB">
            <w:pPr>
              <w:jc w:val="right"/>
            </w:pPr>
            <w:r>
              <w:rPr>
                <w:rFonts w:eastAsiaTheme="minorEastAsia"/>
                <w:color w:val="000000" w:themeColor="text1"/>
                <w:szCs w:val="21"/>
              </w:rPr>
              <w:t>2.99</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532,921.25</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242,381.12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775,302.37</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107,045,512.75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16,117,265.12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22,571,072.57</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100,591,705.30</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206B34" w:rsidRDefault="00EF1BCB">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7</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二〇二三年四月二十一日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C7" w:rsidRDefault="00506AC7">
      <w:r>
        <w:separator/>
      </w:r>
    </w:p>
  </w:endnote>
  <w:endnote w:type="continuationSeparator" w:id="0">
    <w:p w:rsidR="00506AC7" w:rsidRDefault="0050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16699B">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16699B">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16699B">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C7" w:rsidRDefault="00506AC7">
      <w:r>
        <w:separator/>
      </w:r>
    </w:p>
  </w:footnote>
  <w:footnote w:type="continuationSeparator" w:id="0">
    <w:p w:rsidR="00506AC7" w:rsidRDefault="0050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摩根全球天然资源混合型证券投资基金</w:t>
    </w:r>
    <w:r w:rsidRPr="006669C9">
      <w:t>(QDII)2023</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6699B"/>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13F6"/>
    <w:rsid w:val="001F26C1"/>
    <w:rsid w:val="001F3C28"/>
    <w:rsid w:val="001F3CC6"/>
    <w:rsid w:val="001F4530"/>
    <w:rsid w:val="002010DE"/>
    <w:rsid w:val="00202968"/>
    <w:rsid w:val="00202C32"/>
    <w:rsid w:val="00203AEF"/>
    <w:rsid w:val="00206B34"/>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1BCB"/>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48</TotalTime>
  <Pages>15</Pages>
  <Words>1213</Words>
  <Characters>6917</Characters>
  <Application>Microsoft Office Word</Application>
  <DocSecurity>0</DocSecurity>
  <Lines>57</Lines>
  <Paragraphs>16</Paragraphs>
  <ScaleCrop>false</ScaleCrop>
  <Company>TRT. Ltd. Co.</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22</cp:revision>
  <cp:lastPrinted>2007-07-19T00:46:00Z</cp:lastPrinted>
  <dcterms:created xsi:type="dcterms:W3CDTF">2014-12-16T02:40:00Z</dcterms:created>
  <dcterms:modified xsi:type="dcterms:W3CDTF">2023-04-20T06:49:00Z</dcterms:modified>
</cp:coreProperties>
</file>