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上投摩根成长先锋混合型证券投资基金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3</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9</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报告送出日期：二〇二一年十月二十七日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2A1A59" w:rsidRDefault="00360B42">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2A1A59" w:rsidRDefault="00360B42">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26</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2A1A59" w:rsidRDefault="00360B42">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2A1A59" w:rsidRDefault="00360B42">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2A1A59" w:rsidRDefault="00360B42">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上投摩根成长先锋混合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378010</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378010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2006</w:t>
            </w:r>
            <w:r w:rsidRPr="00FF6B9A">
              <w:rPr>
                <w:rFonts w:eastAsiaTheme="minorEastAsia"/>
                <w:color w:val="000000" w:themeColor="text1"/>
                <w:kern w:val="0"/>
              </w:rPr>
              <w:t>年</w:t>
            </w:r>
            <w:r w:rsidRPr="00FF6B9A">
              <w:rPr>
                <w:rFonts w:eastAsiaTheme="minorEastAsia"/>
                <w:color w:val="000000" w:themeColor="text1"/>
                <w:kern w:val="0"/>
              </w:rPr>
              <w:t>9</w:t>
            </w:r>
            <w:r w:rsidRPr="00FF6B9A">
              <w:rPr>
                <w:rFonts w:eastAsiaTheme="minorEastAsia"/>
                <w:color w:val="000000" w:themeColor="text1"/>
                <w:kern w:val="0"/>
              </w:rPr>
              <w:t>月</w:t>
            </w:r>
            <w:r w:rsidRPr="00FF6B9A">
              <w:rPr>
                <w:rFonts w:eastAsiaTheme="minorEastAsia"/>
                <w:color w:val="000000" w:themeColor="text1"/>
                <w:kern w:val="0"/>
              </w:rPr>
              <w:t>20</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1,190,276,808.87</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本基金主要投资于国内市场上展现最佳成长特质的股票，积极捕捉高成长性上市公司所带来的投资机会，努力实现基金资产长期稳健增值。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2A1A59" w:rsidRDefault="00360B42">
            <w:pPr>
              <w:adjustRightInd w:val="0"/>
              <w:spacing w:before="29" w:line="360" w:lineRule="auto"/>
              <w:ind w:left="17"/>
              <w:rPr>
                <w:rFonts w:eastAsiaTheme="minorEastAsia"/>
                <w:color w:val="000000" w:themeColor="text1"/>
              </w:rPr>
            </w:pPr>
            <w:r>
              <w:rPr>
                <w:rFonts w:eastAsiaTheme="minorEastAsia"/>
                <w:color w:val="000000" w:themeColor="text1"/>
                <w:kern w:val="0"/>
              </w:rPr>
              <w:t>（</w:t>
            </w:r>
            <w:r>
              <w:rPr>
                <w:rFonts w:eastAsiaTheme="minorEastAsia"/>
                <w:color w:val="000000" w:themeColor="text1"/>
                <w:kern w:val="0"/>
              </w:rPr>
              <w:t>1</w:t>
            </w:r>
            <w:r>
              <w:rPr>
                <w:rFonts w:eastAsiaTheme="minorEastAsia"/>
                <w:color w:val="000000" w:themeColor="text1"/>
                <w:kern w:val="0"/>
              </w:rPr>
              <w:t>）股票投资策略</w:t>
            </w:r>
            <w:r>
              <w:rPr>
                <w:rFonts w:eastAsiaTheme="minorEastAsia"/>
                <w:color w:val="000000" w:themeColor="text1"/>
                <w:kern w:val="0"/>
              </w:rPr>
              <w:t xml:space="preserve"> </w:t>
            </w:r>
            <w:r>
              <w:rPr>
                <w:rFonts w:eastAsiaTheme="minorEastAsia"/>
                <w:color w:val="000000" w:themeColor="text1"/>
                <w:kern w:val="0"/>
              </w:rPr>
              <w:t>本基金采取定量分析与定性分析相结合方式，挖掘具有突出成长潜力且被当前市场低估的上市公司，主动出击、积极管理将是本基金运作的重要特色。</w:t>
            </w:r>
          </w:p>
          <w:p w:rsidR="002A1A59" w:rsidRDefault="00360B42">
            <w:pPr>
              <w:adjustRightInd w:val="0"/>
              <w:spacing w:before="29" w:line="360" w:lineRule="auto"/>
              <w:ind w:left="17"/>
              <w:rPr>
                <w:rFonts w:eastAsiaTheme="minorEastAsia"/>
                <w:color w:val="000000" w:themeColor="text1"/>
              </w:rPr>
            </w:pPr>
            <w:r>
              <w:rPr>
                <w:rFonts w:eastAsiaTheme="minorEastAsia"/>
                <w:color w:val="000000" w:themeColor="text1"/>
                <w:kern w:val="0"/>
              </w:rPr>
              <w:t>（</w:t>
            </w:r>
            <w:r>
              <w:rPr>
                <w:rFonts w:eastAsiaTheme="minorEastAsia"/>
                <w:color w:val="000000" w:themeColor="text1"/>
                <w:kern w:val="0"/>
              </w:rPr>
              <w:t>2</w:t>
            </w:r>
            <w:r>
              <w:rPr>
                <w:rFonts w:eastAsiaTheme="minorEastAsia"/>
                <w:color w:val="000000" w:themeColor="text1"/>
                <w:kern w:val="0"/>
              </w:rPr>
              <w:t>）固定收益类投资策略</w:t>
            </w:r>
            <w:r>
              <w:rPr>
                <w:rFonts w:eastAsiaTheme="minorEastAsia"/>
                <w:color w:val="000000" w:themeColor="text1"/>
                <w:kern w:val="0"/>
              </w:rPr>
              <w:t xml:space="preserve"> </w:t>
            </w:r>
            <w:r>
              <w:rPr>
                <w:rFonts w:eastAsiaTheme="minorEastAsia"/>
                <w:color w:val="000000" w:themeColor="text1"/>
                <w:kern w:val="0"/>
              </w:rPr>
              <w:t>本基金以股票投资为主，一般</w:t>
            </w:r>
            <w:r>
              <w:rPr>
                <w:rFonts w:eastAsiaTheme="minorEastAsia"/>
                <w:color w:val="000000" w:themeColor="text1"/>
                <w:kern w:val="0"/>
              </w:rPr>
              <w:lastRenderedPageBreak/>
              <w:t>市场情况下，基金管理人不会积极追求大类资产配置，但为进一步控制投资风险，优化组合流动性管理，本基金将适度防御性资产配置，进行债券、货币市场工具等品种投资。</w:t>
            </w:r>
            <w:r>
              <w:rPr>
                <w:rFonts w:eastAsiaTheme="minorEastAsia"/>
                <w:color w:val="000000" w:themeColor="text1"/>
                <w:kern w:val="0"/>
              </w:rPr>
              <w:t xml:space="preserve"> </w:t>
            </w:r>
            <w:r>
              <w:rPr>
                <w:rFonts w:eastAsiaTheme="minorEastAsia"/>
                <w:color w:val="000000" w:themeColor="text1"/>
                <w:kern w:val="0"/>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w:t>
            </w:r>
            <w:r w:rsidRPr="00FF6B9A">
              <w:rPr>
                <w:rFonts w:eastAsiaTheme="minorEastAsia"/>
                <w:color w:val="000000" w:themeColor="text1"/>
                <w:kern w:val="0"/>
              </w:rPr>
              <w:t>3</w:t>
            </w:r>
            <w:r w:rsidRPr="00FF6B9A">
              <w:rPr>
                <w:rFonts w:eastAsiaTheme="minorEastAsia"/>
                <w:color w:val="000000" w:themeColor="text1"/>
                <w:kern w:val="0"/>
              </w:rPr>
              <w:t>）存托凭证投资策略</w:t>
            </w:r>
            <w:r w:rsidRPr="00FF6B9A">
              <w:rPr>
                <w:rFonts w:eastAsiaTheme="minorEastAsia"/>
                <w:color w:val="000000" w:themeColor="text1"/>
                <w:kern w:val="0"/>
              </w:rPr>
              <w:t xml:space="preserve"> </w:t>
            </w:r>
            <w:r w:rsidRPr="00FF6B9A">
              <w:rPr>
                <w:rFonts w:eastAsiaTheme="minorEastAsia"/>
                <w:color w:val="000000" w:themeColor="text1"/>
                <w:kern w:val="0"/>
              </w:rPr>
              <w:t>本基金将根据本基金的投资目标和股票投资策略，基于对基础证券投资价值的深入研究判断，进行存托凭证的投资。</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沪深</w:t>
            </w:r>
            <w:r w:rsidRPr="00FF6B9A">
              <w:rPr>
                <w:rFonts w:eastAsiaTheme="minorEastAsia"/>
                <w:color w:val="000000" w:themeColor="text1"/>
                <w:kern w:val="0"/>
              </w:rPr>
              <w:t>300</w:t>
            </w:r>
            <w:r w:rsidRPr="00FF6B9A">
              <w:rPr>
                <w:rFonts w:eastAsiaTheme="minorEastAsia"/>
                <w:color w:val="000000" w:themeColor="text1"/>
                <w:kern w:val="0"/>
              </w:rPr>
              <w:t>指数收益率</w:t>
            </w:r>
            <w:r w:rsidRPr="00FF6B9A">
              <w:rPr>
                <w:rFonts w:eastAsiaTheme="minorEastAsia"/>
                <w:color w:val="000000" w:themeColor="text1"/>
                <w:kern w:val="0"/>
              </w:rPr>
              <w:t>×80%+</w:t>
            </w:r>
            <w:r w:rsidRPr="00FF6B9A">
              <w:rPr>
                <w:rFonts w:eastAsiaTheme="minorEastAsia"/>
                <w:color w:val="000000" w:themeColor="text1"/>
                <w:kern w:val="0"/>
              </w:rPr>
              <w:t>中债总指数收益率</w:t>
            </w:r>
            <w:r w:rsidRPr="00FF6B9A">
              <w:rPr>
                <w:rFonts w:eastAsiaTheme="minorEastAsia"/>
                <w:color w:val="000000" w:themeColor="text1"/>
                <w:kern w:val="0"/>
              </w:rPr>
              <w:t>×20%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2A1A59" w:rsidRDefault="00360B42">
            <w:pPr>
              <w:adjustRightInd w:val="0"/>
              <w:spacing w:before="29" w:line="360" w:lineRule="auto"/>
              <w:ind w:left="17"/>
              <w:rPr>
                <w:rFonts w:eastAsiaTheme="minorEastAsia"/>
                <w:color w:val="000000" w:themeColor="text1"/>
              </w:rPr>
            </w:pPr>
            <w:r>
              <w:rPr>
                <w:rFonts w:eastAsiaTheme="minorEastAsia"/>
                <w:color w:val="000000" w:themeColor="text1"/>
                <w:kern w:val="0"/>
              </w:rPr>
              <w:t>本基金是主动型混合型基金，属于证券投资基金的较高风险品种，预期风险收益水平低于股票型基金，高于</w:t>
            </w:r>
            <w:r>
              <w:rPr>
                <w:rFonts w:eastAsiaTheme="minorEastAsia"/>
                <w:color w:val="000000" w:themeColor="text1"/>
                <w:kern w:val="0"/>
              </w:rPr>
              <w:t>债券基金和货币市场基金。</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360B42" w:rsidRPr="00FF6B9A" w:rsidTr="00360B42">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lastRenderedPageBreak/>
              <w:t>(2021</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360B42" w:rsidRPr="00FF6B9A" w:rsidTr="00360B42">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lastRenderedPageBreak/>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121,406,254.11</w:t>
            </w:r>
          </w:p>
        </w:tc>
      </w:tr>
      <w:tr w:rsidR="00360B42" w:rsidRPr="00FF6B9A" w:rsidTr="00360B42">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38,140,661.00</w:t>
            </w:r>
          </w:p>
        </w:tc>
      </w:tr>
      <w:tr w:rsidR="00360B42" w:rsidRPr="00FF6B9A" w:rsidTr="00360B42">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0.0326</w:t>
            </w:r>
          </w:p>
        </w:tc>
      </w:tr>
      <w:tr w:rsidR="00360B42" w:rsidRPr="00FF6B9A" w:rsidTr="00360B42">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2,364,493,651.39</w:t>
            </w:r>
          </w:p>
        </w:tc>
      </w:tr>
      <w:tr w:rsidR="00360B42" w:rsidRPr="00FF6B9A" w:rsidTr="00360B42">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1.9865</w:t>
            </w:r>
          </w:p>
        </w:tc>
      </w:tr>
    </w:tbl>
    <w:p w:rsidR="002A1A59" w:rsidRDefault="00360B42">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2A1A59">
        <w:tc>
          <w:tcPr>
            <w:tcW w:w="1395" w:type="dxa"/>
            <w:vAlign w:val="center"/>
          </w:tcPr>
          <w:p w:rsidR="002A1A59" w:rsidRDefault="00360B42">
            <w:pPr>
              <w:jc w:val="left"/>
            </w:pPr>
            <w:r>
              <w:rPr>
                <w:rFonts w:eastAsiaTheme="minorEastAsia"/>
                <w:color w:val="000000" w:themeColor="text1"/>
                <w:kern w:val="0"/>
              </w:rPr>
              <w:t>过去三个月</w:t>
            </w:r>
          </w:p>
        </w:tc>
        <w:tc>
          <w:tcPr>
            <w:tcW w:w="1092" w:type="dxa"/>
            <w:vAlign w:val="center"/>
          </w:tcPr>
          <w:p w:rsidR="002A1A59" w:rsidRDefault="00360B42">
            <w:pPr>
              <w:jc w:val="center"/>
            </w:pPr>
            <w:r>
              <w:rPr>
                <w:rFonts w:eastAsiaTheme="minorEastAsia"/>
                <w:color w:val="000000" w:themeColor="text1"/>
                <w:kern w:val="0"/>
              </w:rPr>
              <w:t>1.81%</w:t>
            </w:r>
          </w:p>
        </w:tc>
        <w:tc>
          <w:tcPr>
            <w:tcW w:w="1161" w:type="dxa"/>
            <w:vAlign w:val="center"/>
          </w:tcPr>
          <w:p w:rsidR="002A1A59" w:rsidRDefault="00360B42">
            <w:pPr>
              <w:jc w:val="center"/>
            </w:pPr>
            <w:r>
              <w:rPr>
                <w:rFonts w:eastAsiaTheme="minorEastAsia"/>
                <w:color w:val="000000" w:themeColor="text1"/>
                <w:kern w:val="0"/>
              </w:rPr>
              <w:t>1.75%</w:t>
            </w:r>
          </w:p>
        </w:tc>
        <w:tc>
          <w:tcPr>
            <w:tcW w:w="1181" w:type="dxa"/>
            <w:vAlign w:val="center"/>
          </w:tcPr>
          <w:p w:rsidR="002A1A59" w:rsidRDefault="00360B42">
            <w:pPr>
              <w:jc w:val="center"/>
            </w:pPr>
            <w:r>
              <w:rPr>
                <w:rFonts w:eastAsiaTheme="minorEastAsia"/>
                <w:color w:val="000000" w:themeColor="text1"/>
                <w:kern w:val="0"/>
              </w:rPr>
              <w:t>-5.23%</w:t>
            </w:r>
          </w:p>
        </w:tc>
        <w:tc>
          <w:tcPr>
            <w:tcW w:w="1188" w:type="dxa"/>
            <w:vAlign w:val="center"/>
          </w:tcPr>
          <w:p w:rsidR="002A1A59" w:rsidRDefault="00360B42">
            <w:pPr>
              <w:jc w:val="center"/>
            </w:pPr>
            <w:r>
              <w:rPr>
                <w:rFonts w:eastAsiaTheme="minorEastAsia"/>
                <w:color w:val="000000" w:themeColor="text1"/>
                <w:kern w:val="0"/>
              </w:rPr>
              <w:t>0.96%</w:t>
            </w:r>
          </w:p>
        </w:tc>
        <w:tc>
          <w:tcPr>
            <w:tcW w:w="1199" w:type="dxa"/>
            <w:vAlign w:val="center"/>
          </w:tcPr>
          <w:p w:rsidR="002A1A59" w:rsidRDefault="00360B42">
            <w:pPr>
              <w:jc w:val="center"/>
            </w:pPr>
            <w:r>
              <w:rPr>
                <w:rFonts w:eastAsiaTheme="minorEastAsia"/>
                <w:color w:val="000000" w:themeColor="text1"/>
                <w:kern w:val="0"/>
              </w:rPr>
              <w:t>7.04%</w:t>
            </w:r>
          </w:p>
        </w:tc>
        <w:tc>
          <w:tcPr>
            <w:tcW w:w="1204" w:type="dxa"/>
            <w:vAlign w:val="center"/>
          </w:tcPr>
          <w:p w:rsidR="002A1A59" w:rsidRDefault="00360B42">
            <w:pPr>
              <w:jc w:val="center"/>
            </w:pPr>
            <w:r>
              <w:rPr>
                <w:rFonts w:eastAsiaTheme="minorEastAsia"/>
                <w:color w:val="000000" w:themeColor="text1"/>
                <w:kern w:val="0"/>
              </w:rPr>
              <w:t>0.79%</w:t>
            </w:r>
          </w:p>
        </w:tc>
      </w:tr>
      <w:tr w:rsidR="002A1A59">
        <w:tc>
          <w:tcPr>
            <w:tcW w:w="1395" w:type="dxa"/>
            <w:vAlign w:val="center"/>
          </w:tcPr>
          <w:p w:rsidR="002A1A59" w:rsidRDefault="00360B42">
            <w:pPr>
              <w:jc w:val="left"/>
            </w:pPr>
            <w:r>
              <w:rPr>
                <w:rFonts w:eastAsiaTheme="minorEastAsia"/>
                <w:color w:val="000000" w:themeColor="text1"/>
                <w:kern w:val="0"/>
              </w:rPr>
              <w:t>过去六个月</w:t>
            </w:r>
          </w:p>
        </w:tc>
        <w:tc>
          <w:tcPr>
            <w:tcW w:w="1092" w:type="dxa"/>
            <w:vAlign w:val="center"/>
          </w:tcPr>
          <w:p w:rsidR="002A1A59" w:rsidRDefault="00360B42">
            <w:pPr>
              <w:jc w:val="center"/>
            </w:pPr>
            <w:r>
              <w:rPr>
                <w:rFonts w:eastAsiaTheme="minorEastAsia"/>
                <w:color w:val="000000" w:themeColor="text1"/>
                <w:kern w:val="0"/>
              </w:rPr>
              <w:t>15.17%</w:t>
            </w:r>
          </w:p>
        </w:tc>
        <w:tc>
          <w:tcPr>
            <w:tcW w:w="1161" w:type="dxa"/>
            <w:vAlign w:val="center"/>
          </w:tcPr>
          <w:p w:rsidR="002A1A59" w:rsidRDefault="00360B42">
            <w:pPr>
              <w:jc w:val="center"/>
            </w:pPr>
            <w:r>
              <w:rPr>
                <w:rFonts w:eastAsiaTheme="minorEastAsia"/>
                <w:color w:val="000000" w:themeColor="text1"/>
                <w:kern w:val="0"/>
              </w:rPr>
              <w:t>1.47%</w:t>
            </w:r>
          </w:p>
        </w:tc>
        <w:tc>
          <w:tcPr>
            <w:tcW w:w="1181" w:type="dxa"/>
            <w:vAlign w:val="center"/>
          </w:tcPr>
          <w:p w:rsidR="002A1A59" w:rsidRDefault="00360B42">
            <w:pPr>
              <w:jc w:val="center"/>
            </w:pPr>
            <w:r>
              <w:rPr>
                <w:rFonts w:eastAsiaTheme="minorEastAsia"/>
                <w:color w:val="000000" w:themeColor="text1"/>
                <w:kern w:val="0"/>
              </w:rPr>
              <w:t>-2.54%</w:t>
            </w:r>
          </w:p>
        </w:tc>
        <w:tc>
          <w:tcPr>
            <w:tcW w:w="1188" w:type="dxa"/>
            <w:vAlign w:val="center"/>
          </w:tcPr>
          <w:p w:rsidR="002A1A59" w:rsidRDefault="00360B42">
            <w:pPr>
              <w:jc w:val="center"/>
            </w:pPr>
            <w:r>
              <w:rPr>
                <w:rFonts w:eastAsiaTheme="minorEastAsia"/>
                <w:color w:val="000000" w:themeColor="text1"/>
                <w:kern w:val="0"/>
              </w:rPr>
              <w:t>0.88%</w:t>
            </w:r>
          </w:p>
        </w:tc>
        <w:tc>
          <w:tcPr>
            <w:tcW w:w="1199" w:type="dxa"/>
            <w:vAlign w:val="center"/>
          </w:tcPr>
          <w:p w:rsidR="002A1A59" w:rsidRDefault="00360B42">
            <w:pPr>
              <w:jc w:val="center"/>
            </w:pPr>
            <w:r>
              <w:rPr>
                <w:rFonts w:eastAsiaTheme="minorEastAsia"/>
                <w:color w:val="000000" w:themeColor="text1"/>
                <w:kern w:val="0"/>
              </w:rPr>
              <w:t>17.71%</w:t>
            </w:r>
          </w:p>
        </w:tc>
        <w:tc>
          <w:tcPr>
            <w:tcW w:w="1204" w:type="dxa"/>
            <w:vAlign w:val="center"/>
          </w:tcPr>
          <w:p w:rsidR="002A1A59" w:rsidRDefault="00360B42">
            <w:pPr>
              <w:jc w:val="center"/>
            </w:pPr>
            <w:r>
              <w:rPr>
                <w:rFonts w:eastAsiaTheme="minorEastAsia"/>
                <w:color w:val="000000" w:themeColor="text1"/>
                <w:kern w:val="0"/>
              </w:rPr>
              <w:t>0.59%</w:t>
            </w:r>
          </w:p>
        </w:tc>
      </w:tr>
      <w:tr w:rsidR="002A1A59">
        <w:tc>
          <w:tcPr>
            <w:tcW w:w="1395" w:type="dxa"/>
            <w:vAlign w:val="center"/>
          </w:tcPr>
          <w:p w:rsidR="002A1A59" w:rsidRDefault="00360B42">
            <w:pPr>
              <w:jc w:val="left"/>
            </w:pPr>
            <w:r>
              <w:rPr>
                <w:rFonts w:eastAsiaTheme="minorEastAsia"/>
                <w:color w:val="000000" w:themeColor="text1"/>
                <w:kern w:val="0"/>
              </w:rPr>
              <w:t>过去一年</w:t>
            </w:r>
          </w:p>
        </w:tc>
        <w:tc>
          <w:tcPr>
            <w:tcW w:w="1092" w:type="dxa"/>
            <w:vAlign w:val="center"/>
          </w:tcPr>
          <w:p w:rsidR="002A1A59" w:rsidRDefault="00360B42">
            <w:pPr>
              <w:jc w:val="center"/>
            </w:pPr>
            <w:r>
              <w:rPr>
                <w:rFonts w:eastAsiaTheme="minorEastAsia"/>
                <w:color w:val="000000" w:themeColor="text1"/>
                <w:kern w:val="0"/>
              </w:rPr>
              <w:t>26.22%</w:t>
            </w:r>
          </w:p>
        </w:tc>
        <w:tc>
          <w:tcPr>
            <w:tcW w:w="1161" w:type="dxa"/>
            <w:vAlign w:val="center"/>
          </w:tcPr>
          <w:p w:rsidR="002A1A59" w:rsidRDefault="00360B42">
            <w:pPr>
              <w:jc w:val="center"/>
            </w:pPr>
            <w:r>
              <w:rPr>
                <w:rFonts w:eastAsiaTheme="minorEastAsia"/>
                <w:color w:val="000000" w:themeColor="text1"/>
                <w:kern w:val="0"/>
              </w:rPr>
              <w:t>1.47%</w:t>
            </w:r>
          </w:p>
        </w:tc>
        <w:tc>
          <w:tcPr>
            <w:tcW w:w="1181" w:type="dxa"/>
            <w:vAlign w:val="center"/>
          </w:tcPr>
          <w:p w:rsidR="002A1A59" w:rsidRDefault="00360B42">
            <w:pPr>
              <w:jc w:val="center"/>
            </w:pPr>
            <w:r>
              <w:rPr>
                <w:rFonts w:eastAsiaTheme="minorEastAsia"/>
                <w:color w:val="000000" w:themeColor="text1"/>
                <w:kern w:val="0"/>
              </w:rPr>
              <w:t>5.37%</w:t>
            </w:r>
          </w:p>
        </w:tc>
        <w:tc>
          <w:tcPr>
            <w:tcW w:w="1188" w:type="dxa"/>
            <w:vAlign w:val="center"/>
          </w:tcPr>
          <w:p w:rsidR="002A1A59" w:rsidRDefault="00360B42">
            <w:pPr>
              <w:jc w:val="center"/>
            </w:pPr>
            <w:r>
              <w:rPr>
                <w:rFonts w:eastAsiaTheme="minorEastAsia"/>
                <w:color w:val="000000" w:themeColor="text1"/>
                <w:kern w:val="0"/>
              </w:rPr>
              <w:t>0.97%</w:t>
            </w:r>
          </w:p>
        </w:tc>
        <w:tc>
          <w:tcPr>
            <w:tcW w:w="1199" w:type="dxa"/>
            <w:vAlign w:val="center"/>
          </w:tcPr>
          <w:p w:rsidR="002A1A59" w:rsidRDefault="00360B42">
            <w:pPr>
              <w:jc w:val="center"/>
            </w:pPr>
            <w:r>
              <w:rPr>
                <w:rFonts w:eastAsiaTheme="minorEastAsia"/>
                <w:color w:val="000000" w:themeColor="text1"/>
                <w:kern w:val="0"/>
              </w:rPr>
              <w:t>20.85%</w:t>
            </w:r>
          </w:p>
        </w:tc>
        <w:tc>
          <w:tcPr>
            <w:tcW w:w="1204" w:type="dxa"/>
            <w:vAlign w:val="center"/>
          </w:tcPr>
          <w:p w:rsidR="002A1A59" w:rsidRDefault="00360B42">
            <w:pPr>
              <w:jc w:val="center"/>
            </w:pPr>
            <w:r>
              <w:rPr>
                <w:rFonts w:eastAsiaTheme="minorEastAsia"/>
                <w:color w:val="000000" w:themeColor="text1"/>
                <w:kern w:val="0"/>
              </w:rPr>
              <w:t>0.50%</w:t>
            </w:r>
          </w:p>
        </w:tc>
      </w:tr>
      <w:tr w:rsidR="002A1A59">
        <w:tc>
          <w:tcPr>
            <w:tcW w:w="1395" w:type="dxa"/>
            <w:vAlign w:val="center"/>
          </w:tcPr>
          <w:p w:rsidR="002A1A59" w:rsidRDefault="00360B42">
            <w:pPr>
              <w:jc w:val="left"/>
            </w:pPr>
            <w:r>
              <w:rPr>
                <w:rFonts w:eastAsiaTheme="minorEastAsia"/>
                <w:color w:val="000000" w:themeColor="text1"/>
                <w:kern w:val="0"/>
              </w:rPr>
              <w:t>过去三年</w:t>
            </w:r>
          </w:p>
        </w:tc>
        <w:tc>
          <w:tcPr>
            <w:tcW w:w="1092" w:type="dxa"/>
            <w:vAlign w:val="center"/>
          </w:tcPr>
          <w:p w:rsidR="002A1A59" w:rsidRDefault="00360B42">
            <w:pPr>
              <w:jc w:val="center"/>
            </w:pPr>
            <w:r>
              <w:rPr>
                <w:rFonts w:eastAsiaTheme="minorEastAsia"/>
                <w:color w:val="000000" w:themeColor="text1"/>
                <w:kern w:val="0"/>
              </w:rPr>
              <w:t>133.18%</w:t>
            </w:r>
          </w:p>
        </w:tc>
        <w:tc>
          <w:tcPr>
            <w:tcW w:w="1161" w:type="dxa"/>
            <w:vAlign w:val="center"/>
          </w:tcPr>
          <w:p w:rsidR="002A1A59" w:rsidRDefault="00360B42">
            <w:pPr>
              <w:jc w:val="center"/>
            </w:pPr>
            <w:r>
              <w:rPr>
                <w:rFonts w:eastAsiaTheme="minorEastAsia"/>
                <w:color w:val="000000" w:themeColor="text1"/>
                <w:kern w:val="0"/>
              </w:rPr>
              <w:t>1.44%</w:t>
            </w:r>
          </w:p>
        </w:tc>
        <w:tc>
          <w:tcPr>
            <w:tcW w:w="1181" w:type="dxa"/>
            <w:vAlign w:val="center"/>
          </w:tcPr>
          <w:p w:rsidR="002A1A59" w:rsidRDefault="00360B42">
            <w:pPr>
              <w:jc w:val="center"/>
            </w:pPr>
            <w:r>
              <w:rPr>
                <w:rFonts w:eastAsiaTheme="minorEastAsia"/>
                <w:color w:val="000000" w:themeColor="text1"/>
                <w:kern w:val="0"/>
              </w:rPr>
              <w:t>34.29%</w:t>
            </w:r>
          </w:p>
        </w:tc>
        <w:tc>
          <w:tcPr>
            <w:tcW w:w="1188" w:type="dxa"/>
            <w:vAlign w:val="center"/>
          </w:tcPr>
          <w:p w:rsidR="002A1A59" w:rsidRDefault="00360B42">
            <w:pPr>
              <w:jc w:val="center"/>
            </w:pPr>
            <w:r>
              <w:rPr>
                <w:rFonts w:eastAsiaTheme="minorEastAsia"/>
                <w:color w:val="000000" w:themeColor="text1"/>
                <w:kern w:val="0"/>
              </w:rPr>
              <w:t>1.08%</w:t>
            </w:r>
          </w:p>
        </w:tc>
        <w:tc>
          <w:tcPr>
            <w:tcW w:w="1199" w:type="dxa"/>
            <w:vAlign w:val="center"/>
          </w:tcPr>
          <w:p w:rsidR="002A1A59" w:rsidRDefault="00360B42">
            <w:pPr>
              <w:jc w:val="center"/>
            </w:pPr>
            <w:r>
              <w:rPr>
                <w:rFonts w:eastAsiaTheme="minorEastAsia"/>
                <w:color w:val="000000" w:themeColor="text1"/>
                <w:kern w:val="0"/>
              </w:rPr>
              <w:t>98.89%</w:t>
            </w:r>
          </w:p>
        </w:tc>
        <w:tc>
          <w:tcPr>
            <w:tcW w:w="1204" w:type="dxa"/>
            <w:vAlign w:val="center"/>
          </w:tcPr>
          <w:p w:rsidR="002A1A59" w:rsidRDefault="00360B42">
            <w:pPr>
              <w:jc w:val="center"/>
            </w:pPr>
            <w:r>
              <w:rPr>
                <w:rFonts w:eastAsiaTheme="minorEastAsia"/>
                <w:color w:val="000000" w:themeColor="text1"/>
                <w:kern w:val="0"/>
              </w:rPr>
              <w:t>0.36%</w:t>
            </w:r>
          </w:p>
        </w:tc>
      </w:tr>
      <w:tr w:rsidR="002A1A59">
        <w:tc>
          <w:tcPr>
            <w:tcW w:w="1395" w:type="dxa"/>
            <w:vAlign w:val="center"/>
          </w:tcPr>
          <w:p w:rsidR="002A1A59" w:rsidRDefault="00360B42">
            <w:pPr>
              <w:jc w:val="left"/>
            </w:pPr>
            <w:r>
              <w:rPr>
                <w:rFonts w:eastAsiaTheme="minorEastAsia"/>
                <w:color w:val="000000" w:themeColor="text1"/>
                <w:kern w:val="0"/>
              </w:rPr>
              <w:t>过去五年</w:t>
            </w:r>
          </w:p>
        </w:tc>
        <w:tc>
          <w:tcPr>
            <w:tcW w:w="1092" w:type="dxa"/>
            <w:vAlign w:val="center"/>
          </w:tcPr>
          <w:p w:rsidR="002A1A59" w:rsidRDefault="00360B42">
            <w:pPr>
              <w:jc w:val="center"/>
            </w:pPr>
            <w:r>
              <w:rPr>
                <w:rFonts w:eastAsiaTheme="minorEastAsia"/>
                <w:color w:val="000000" w:themeColor="text1"/>
                <w:kern w:val="0"/>
              </w:rPr>
              <w:t>166.20%</w:t>
            </w:r>
          </w:p>
        </w:tc>
        <w:tc>
          <w:tcPr>
            <w:tcW w:w="1161" w:type="dxa"/>
            <w:vAlign w:val="center"/>
          </w:tcPr>
          <w:p w:rsidR="002A1A59" w:rsidRDefault="00360B42">
            <w:pPr>
              <w:jc w:val="center"/>
            </w:pPr>
            <w:r>
              <w:rPr>
                <w:rFonts w:eastAsiaTheme="minorEastAsia"/>
                <w:color w:val="000000" w:themeColor="text1"/>
                <w:kern w:val="0"/>
              </w:rPr>
              <w:t>1.26%</w:t>
            </w:r>
          </w:p>
        </w:tc>
        <w:tc>
          <w:tcPr>
            <w:tcW w:w="1181" w:type="dxa"/>
            <w:vAlign w:val="center"/>
          </w:tcPr>
          <w:p w:rsidR="002A1A59" w:rsidRDefault="00360B42">
            <w:pPr>
              <w:jc w:val="center"/>
            </w:pPr>
            <w:r>
              <w:rPr>
                <w:rFonts w:eastAsiaTheme="minorEastAsia"/>
                <w:color w:val="000000" w:themeColor="text1"/>
                <w:kern w:val="0"/>
              </w:rPr>
              <w:t>39.96%</w:t>
            </w:r>
          </w:p>
        </w:tc>
        <w:tc>
          <w:tcPr>
            <w:tcW w:w="1188" w:type="dxa"/>
            <w:vAlign w:val="center"/>
          </w:tcPr>
          <w:p w:rsidR="002A1A59" w:rsidRDefault="00360B42">
            <w:pPr>
              <w:jc w:val="center"/>
            </w:pPr>
            <w:r>
              <w:rPr>
                <w:rFonts w:eastAsiaTheme="minorEastAsia"/>
                <w:color w:val="000000" w:themeColor="text1"/>
                <w:kern w:val="0"/>
              </w:rPr>
              <w:t>0.95%</w:t>
            </w:r>
          </w:p>
        </w:tc>
        <w:tc>
          <w:tcPr>
            <w:tcW w:w="1199" w:type="dxa"/>
            <w:vAlign w:val="center"/>
          </w:tcPr>
          <w:p w:rsidR="002A1A59" w:rsidRDefault="00360B42">
            <w:pPr>
              <w:jc w:val="center"/>
            </w:pPr>
            <w:r>
              <w:rPr>
                <w:rFonts w:eastAsiaTheme="minorEastAsia"/>
                <w:color w:val="000000" w:themeColor="text1"/>
                <w:kern w:val="0"/>
              </w:rPr>
              <w:t>126.24%</w:t>
            </w:r>
          </w:p>
        </w:tc>
        <w:tc>
          <w:tcPr>
            <w:tcW w:w="1204" w:type="dxa"/>
            <w:vAlign w:val="center"/>
          </w:tcPr>
          <w:p w:rsidR="002A1A59" w:rsidRDefault="00360B42">
            <w:pPr>
              <w:jc w:val="center"/>
            </w:pPr>
            <w:r>
              <w:rPr>
                <w:rFonts w:eastAsiaTheme="minorEastAsia"/>
                <w:color w:val="000000" w:themeColor="text1"/>
                <w:kern w:val="0"/>
              </w:rPr>
              <w:t>0.31%</w:t>
            </w:r>
          </w:p>
        </w:tc>
      </w:tr>
      <w:tr w:rsidR="002A1A59">
        <w:tc>
          <w:tcPr>
            <w:tcW w:w="1395" w:type="dxa"/>
            <w:vAlign w:val="center"/>
          </w:tcPr>
          <w:p w:rsidR="002A1A59" w:rsidRDefault="00360B42">
            <w:pPr>
              <w:jc w:val="left"/>
            </w:pPr>
            <w:r>
              <w:rPr>
                <w:rFonts w:eastAsiaTheme="minorEastAsia"/>
                <w:color w:val="000000" w:themeColor="text1"/>
                <w:kern w:val="0"/>
              </w:rPr>
              <w:t>自基金合同生效起至今</w:t>
            </w:r>
          </w:p>
        </w:tc>
        <w:tc>
          <w:tcPr>
            <w:tcW w:w="1092" w:type="dxa"/>
            <w:vAlign w:val="center"/>
          </w:tcPr>
          <w:p w:rsidR="002A1A59" w:rsidRDefault="00360B42">
            <w:pPr>
              <w:jc w:val="center"/>
            </w:pPr>
            <w:r>
              <w:rPr>
                <w:rFonts w:eastAsiaTheme="minorEastAsia"/>
                <w:color w:val="000000" w:themeColor="text1"/>
                <w:kern w:val="0"/>
              </w:rPr>
              <w:t>367.62%</w:t>
            </w:r>
          </w:p>
        </w:tc>
        <w:tc>
          <w:tcPr>
            <w:tcW w:w="1161" w:type="dxa"/>
            <w:vAlign w:val="center"/>
          </w:tcPr>
          <w:p w:rsidR="002A1A59" w:rsidRDefault="00360B42">
            <w:pPr>
              <w:jc w:val="center"/>
            </w:pPr>
            <w:r>
              <w:rPr>
                <w:rFonts w:eastAsiaTheme="minorEastAsia"/>
                <w:color w:val="000000" w:themeColor="text1"/>
                <w:kern w:val="0"/>
              </w:rPr>
              <w:t>1.62%</w:t>
            </w:r>
          </w:p>
        </w:tc>
        <w:tc>
          <w:tcPr>
            <w:tcW w:w="1181" w:type="dxa"/>
            <w:vAlign w:val="center"/>
          </w:tcPr>
          <w:p w:rsidR="002A1A59" w:rsidRDefault="00360B42">
            <w:pPr>
              <w:jc w:val="center"/>
            </w:pPr>
            <w:r>
              <w:rPr>
                <w:rFonts w:eastAsiaTheme="minorEastAsia"/>
                <w:color w:val="000000" w:themeColor="text1"/>
                <w:kern w:val="0"/>
              </w:rPr>
              <w:t>181.36%</w:t>
            </w:r>
          </w:p>
        </w:tc>
        <w:tc>
          <w:tcPr>
            <w:tcW w:w="1188" w:type="dxa"/>
            <w:vAlign w:val="center"/>
          </w:tcPr>
          <w:p w:rsidR="002A1A59" w:rsidRDefault="00360B42">
            <w:pPr>
              <w:jc w:val="center"/>
            </w:pPr>
            <w:r>
              <w:rPr>
                <w:rFonts w:eastAsiaTheme="minorEastAsia"/>
                <w:color w:val="000000" w:themeColor="text1"/>
                <w:kern w:val="0"/>
              </w:rPr>
              <w:t>1.37%</w:t>
            </w:r>
          </w:p>
        </w:tc>
        <w:tc>
          <w:tcPr>
            <w:tcW w:w="1199" w:type="dxa"/>
            <w:vAlign w:val="center"/>
          </w:tcPr>
          <w:p w:rsidR="002A1A59" w:rsidRDefault="00360B42">
            <w:pPr>
              <w:jc w:val="center"/>
            </w:pPr>
            <w:r>
              <w:rPr>
                <w:rFonts w:eastAsiaTheme="minorEastAsia"/>
                <w:color w:val="000000" w:themeColor="text1"/>
                <w:kern w:val="0"/>
              </w:rPr>
              <w:t>186.26%</w:t>
            </w:r>
          </w:p>
        </w:tc>
        <w:tc>
          <w:tcPr>
            <w:tcW w:w="1204" w:type="dxa"/>
            <w:vAlign w:val="center"/>
          </w:tcPr>
          <w:p w:rsidR="002A1A59" w:rsidRDefault="00360B42">
            <w:pPr>
              <w:jc w:val="center"/>
            </w:pPr>
            <w:r>
              <w:rPr>
                <w:rFonts w:eastAsiaTheme="minorEastAsia"/>
                <w:color w:val="000000" w:themeColor="text1"/>
                <w:kern w:val="0"/>
              </w:rPr>
              <w:t>0.25%</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上投摩根成长先锋混合型证券投资基金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(2006</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20</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2A1A59" w:rsidRDefault="00360B42">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2006</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w:t>
      </w:r>
      <w:r>
        <w:rPr>
          <w:rFonts w:eastAsiaTheme="minorEastAsia"/>
          <w:color w:val="000000" w:themeColor="text1"/>
        </w:rPr>
        <w:t>20</w:t>
      </w:r>
      <w:r>
        <w:rPr>
          <w:rFonts w:eastAsiaTheme="minorEastAsia"/>
          <w:color w:val="000000" w:themeColor="text1"/>
        </w:rPr>
        <w:t>日，图示的时间段为合同生效日至本报告期末。</w:t>
      </w:r>
    </w:p>
    <w:p w:rsidR="002A1A59" w:rsidRDefault="00360B42">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本基金建仓期为本基金合同生效日起</w:t>
      </w:r>
      <w:r>
        <w:rPr>
          <w:rFonts w:eastAsiaTheme="minorEastAsia"/>
          <w:color w:val="000000" w:themeColor="text1"/>
        </w:rPr>
        <w:t>6</w:t>
      </w:r>
      <w:r>
        <w:rPr>
          <w:rFonts w:eastAsiaTheme="minorEastAsia"/>
          <w:color w:val="000000" w:themeColor="text1"/>
        </w:rPr>
        <w:t>个月，建仓期结束时资产配置比例符合本基金基金合同规定。</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本基金的业绩比较基准于</w:t>
      </w:r>
      <w:r w:rsidRPr="00FF6B9A">
        <w:rPr>
          <w:rFonts w:eastAsiaTheme="minorEastAsia"/>
          <w:color w:val="000000" w:themeColor="text1"/>
        </w:rPr>
        <w:t>2013</w:t>
      </w:r>
      <w:r w:rsidRPr="00FF6B9A">
        <w:rPr>
          <w:rFonts w:eastAsiaTheme="minorEastAsia"/>
          <w:color w:val="000000" w:themeColor="text1"/>
        </w:rPr>
        <w:t>年</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7</w:t>
      </w:r>
      <w:r w:rsidRPr="00FF6B9A">
        <w:rPr>
          <w:rFonts w:eastAsiaTheme="minorEastAsia"/>
          <w:color w:val="000000" w:themeColor="text1"/>
        </w:rPr>
        <w:t>日由原</w:t>
      </w:r>
      <w:r w:rsidRPr="00FF6B9A">
        <w:rPr>
          <w:rFonts w:eastAsiaTheme="minorEastAsia"/>
          <w:color w:val="000000" w:themeColor="text1"/>
        </w:rPr>
        <w:t>“</w:t>
      </w:r>
      <w:r w:rsidRPr="00FF6B9A">
        <w:rPr>
          <w:rFonts w:eastAsiaTheme="minorEastAsia"/>
          <w:color w:val="000000" w:themeColor="text1"/>
        </w:rPr>
        <w:t>富时中国</w:t>
      </w:r>
      <w:r w:rsidRPr="00FF6B9A">
        <w:rPr>
          <w:rFonts w:eastAsiaTheme="minorEastAsia"/>
          <w:color w:val="000000" w:themeColor="text1"/>
        </w:rPr>
        <w:t>A600</w:t>
      </w:r>
      <w:r w:rsidRPr="00FF6B9A">
        <w:rPr>
          <w:rFonts w:eastAsiaTheme="minorEastAsia"/>
          <w:color w:val="000000" w:themeColor="text1"/>
        </w:rPr>
        <w:t>成长指数</w:t>
      </w:r>
      <w:r w:rsidRPr="00FF6B9A">
        <w:rPr>
          <w:rFonts w:eastAsiaTheme="minorEastAsia"/>
          <w:color w:val="000000" w:themeColor="text1"/>
        </w:rPr>
        <w:t>×80%+</w:t>
      </w:r>
      <w:r w:rsidRPr="00FF6B9A">
        <w:rPr>
          <w:rFonts w:eastAsiaTheme="minorEastAsia"/>
          <w:color w:val="000000" w:themeColor="text1"/>
        </w:rPr>
        <w:t>同业存款利率</w:t>
      </w:r>
      <w:r w:rsidRPr="00FF6B9A">
        <w:rPr>
          <w:rFonts w:eastAsiaTheme="minorEastAsia"/>
          <w:color w:val="000000" w:themeColor="text1"/>
        </w:rPr>
        <w:t>×20%”</w:t>
      </w:r>
      <w:r w:rsidRPr="00FF6B9A">
        <w:rPr>
          <w:rFonts w:eastAsiaTheme="minorEastAsia"/>
          <w:color w:val="000000" w:themeColor="text1"/>
        </w:rPr>
        <w:t>变更为</w:t>
      </w:r>
      <w:r w:rsidRPr="00FF6B9A">
        <w:rPr>
          <w:rFonts w:eastAsiaTheme="minorEastAsia"/>
          <w:color w:val="000000" w:themeColor="text1"/>
        </w:rPr>
        <w:t>“</w:t>
      </w:r>
      <w:r w:rsidRPr="00FF6B9A">
        <w:rPr>
          <w:rFonts w:eastAsiaTheme="minorEastAsia"/>
          <w:color w:val="000000" w:themeColor="text1"/>
        </w:rPr>
        <w:t>沪深</w:t>
      </w:r>
      <w:r w:rsidRPr="00FF6B9A">
        <w:rPr>
          <w:rFonts w:eastAsiaTheme="minorEastAsia"/>
          <w:color w:val="000000" w:themeColor="text1"/>
        </w:rPr>
        <w:t>300</w:t>
      </w:r>
      <w:r w:rsidRPr="00FF6B9A">
        <w:rPr>
          <w:rFonts w:eastAsiaTheme="minorEastAsia"/>
          <w:color w:val="000000" w:themeColor="text1"/>
        </w:rPr>
        <w:t>指数收益率</w:t>
      </w:r>
      <w:r w:rsidRPr="00FF6B9A">
        <w:rPr>
          <w:rFonts w:eastAsiaTheme="minorEastAsia"/>
          <w:color w:val="000000" w:themeColor="text1"/>
        </w:rPr>
        <w:t>×80%+</w:t>
      </w:r>
      <w:r w:rsidRPr="00FF6B9A">
        <w:rPr>
          <w:rFonts w:eastAsiaTheme="minorEastAsia"/>
          <w:color w:val="000000" w:themeColor="text1"/>
        </w:rPr>
        <w:t>中债总指数收益率</w:t>
      </w:r>
      <w:r w:rsidRPr="00FF6B9A">
        <w:rPr>
          <w:rFonts w:eastAsiaTheme="minorEastAsia"/>
          <w:color w:val="000000" w:themeColor="text1"/>
        </w:rPr>
        <w:t>×20%”</w:t>
      </w:r>
      <w:r w:rsidRPr="00FF6B9A">
        <w:rPr>
          <w:rFonts w:eastAsiaTheme="minorEastAsia"/>
          <w:color w:val="000000" w:themeColor="text1"/>
        </w:rPr>
        <w:t>。</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2A1A59">
        <w:tc>
          <w:tcPr>
            <w:tcW w:w="851" w:type="dxa"/>
            <w:vAlign w:val="center"/>
          </w:tcPr>
          <w:p w:rsidR="002A1A59" w:rsidRDefault="00360B42">
            <w:pPr>
              <w:jc w:val="center"/>
            </w:pPr>
            <w:r>
              <w:rPr>
                <w:rFonts w:eastAsiaTheme="minorEastAsia"/>
                <w:color w:val="000000" w:themeColor="text1"/>
              </w:rPr>
              <w:t>倪权生</w:t>
            </w:r>
          </w:p>
        </w:tc>
        <w:tc>
          <w:tcPr>
            <w:tcW w:w="850" w:type="dxa"/>
            <w:vAlign w:val="center"/>
          </w:tcPr>
          <w:p w:rsidR="002A1A59" w:rsidRDefault="00360B42">
            <w:pPr>
              <w:jc w:val="center"/>
            </w:pPr>
            <w:r>
              <w:rPr>
                <w:rFonts w:eastAsiaTheme="minorEastAsia"/>
                <w:color w:val="000000" w:themeColor="text1"/>
              </w:rPr>
              <w:t>本基金基金经理</w:t>
            </w:r>
          </w:p>
        </w:tc>
        <w:tc>
          <w:tcPr>
            <w:tcW w:w="1560" w:type="dxa"/>
            <w:vAlign w:val="center"/>
          </w:tcPr>
          <w:p w:rsidR="002A1A59" w:rsidRDefault="00360B42">
            <w:pPr>
              <w:jc w:val="center"/>
            </w:pPr>
            <w:r>
              <w:rPr>
                <w:rFonts w:eastAsiaTheme="minorEastAsia"/>
                <w:color w:val="000000" w:themeColor="text1"/>
              </w:rPr>
              <w:t>2019-12-27</w:t>
            </w:r>
          </w:p>
        </w:tc>
        <w:tc>
          <w:tcPr>
            <w:tcW w:w="1559" w:type="dxa"/>
            <w:vAlign w:val="center"/>
          </w:tcPr>
          <w:p w:rsidR="002A1A59" w:rsidRDefault="00360B42">
            <w:pPr>
              <w:jc w:val="center"/>
            </w:pPr>
            <w:r>
              <w:rPr>
                <w:rFonts w:eastAsiaTheme="minorEastAsia"/>
                <w:color w:val="000000" w:themeColor="text1"/>
              </w:rPr>
              <w:t>-</w:t>
            </w:r>
          </w:p>
        </w:tc>
        <w:tc>
          <w:tcPr>
            <w:tcW w:w="1417" w:type="dxa"/>
            <w:vAlign w:val="center"/>
          </w:tcPr>
          <w:p w:rsidR="002A1A59" w:rsidRDefault="00360B42">
            <w:pPr>
              <w:jc w:val="center"/>
            </w:pPr>
            <w:r>
              <w:rPr>
                <w:rFonts w:eastAsiaTheme="minorEastAsia"/>
                <w:color w:val="000000" w:themeColor="text1"/>
              </w:rPr>
              <w:t>10</w:t>
            </w:r>
            <w:r>
              <w:rPr>
                <w:rFonts w:eastAsiaTheme="minorEastAsia"/>
                <w:color w:val="000000" w:themeColor="text1"/>
              </w:rPr>
              <w:t>年</w:t>
            </w:r>
          </w:p>
        </w:tc>
        <w:tc>
          <w:tcPr>
            <w:tcW w:w="2694" w:type="dxa"/>
            <w:vAlign w:val="center"/>
          </w:tcPr>
          <w:p w:rsidR="002A1A59" w:rsidRDefault="00360B42">
            <w:r>
              <w:rPr>
                <w:rFonts w:eastAsiaTheme="minorEastAsia"/>
                <w:color w:val="000000" w:themeColor="text1"/>
              </w:rPr>
              <w:t>倪权生先生，上海交通大学金融学博士。自</w:t>
            </w:r>
            <w:r>
              <w:rPr>
                <w:rFonts w:eastAsiaTheme="minorEastAsia"/>
                <w:color w:val="000000" w:themeColor="text1"/>
              </w:rPr>
              <w:t>2011</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月，在博时基金管理有限公司任高级研究员；</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月至</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月，在浙商基金管理有限公司历任投资经理助理、基金经理</w:t>
            </w:r>
            <w:r>
              <w:rPr>
                <w:rFonts w:eastAsiaTheme="minorEastAsia"/>
                <w:color w:val="000000" w:themeColor="text1"/>
              </w:rPr>
              <w:t>/</w:t>
            </w:r>
            <w:r>
              <w:rPr>
                <w:rFonts w:eastAsiaTheme="minorEastAsia"/>
                <w:color w:val="000000" w:themeColor="text1"/>
              </w:rPr>
              <w:t>股票投资部副总经理；</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月起加入上投摩根基金管理有限公司，</w:t>
            </w:r>
            <w:r>
              <w:rPr>
                <w:rFonts w:eastAsiaTheme="minorEastAsia"/>
                <w:color w:val="000000" w:themeColor="text1"/>
              </w:rPr>
              <w:lastRenderedPageBreak/>
              <w:t>现任国内权益投资部领先组副组长兼资深基金经理。自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月起任上投摩根成长先锋混合型证券投资基金基金经理。自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月起同时担任上投摩根均衡优选混合型证券投资基金基金经理。</w:t>
            </w:r>
          </w:p>
        </w:tc>
      </w:tr>
    </w:tbl>
    <w:p w:rsidR="002A1A59" w:rsidRDefault="00360B42">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证券从业的含义遵从行业协会《证券业从业人员资格管理办法》的相关规定。</w:t>
      </w:r>
    </w:p>
    <w:p w:rsidR="00454D20" w:rsidRPr="00FF6B9A" w:rsidRDefault="00454D20" w:rsidP="00454D20">
      <w:pPr>
        <w:autoSpaceDE w:val="0"/>
        <w:autoSpaceDN w:val="0"/>
        <w:adjustRightInd w:val="0"/>
        <w:spacing w:line="360" w:lineRule="auto"/>
        <w:jc w:val="left"/>
        <w:rPr>
          <w:rFonts w:eastAsia="Times New Roman"/>
          <w:b/>
          <w:color w:val="000000"/>
          <w:kern w:val="0"/>
          <w:sz w:val="24"/>
        </w:rPr>
      </w:pPr>
      <w:bookmarkStart w:id="1" w:name="_Hlk44921484"/>
      <w:r w:rsidRPr="00FF6B9A">
        <w:rPr>
          <w:b/>
          <w:color w:val="000000"/>
          <w:kern w:val="0"/>
          <w:sz w:val="24"/>
        </w:rPr>
        <w:t>4</w:t>
      </w:r>
      <w:r w:rsidRPr="00FF6B9A">
        <w:rPr>
          <w:rFonts w:eastAsia="Times New Roman"/>
          <w:b/>
          <w:color w:val="000000"/>
          <w:kern w:val="0"/>
          <w:sz w:val="24"/>
        </w:rPr>
        <w:t>.</w:t>
      </w:r>
      <w:r w:rsidRPr="00FF6B9A">
        <w:rPr>
          <w:b/>
          <w:color w:val="000000"/>
          <w:kern w:val="0"/>
          <w:sz w:val="24"/>
        </w:rPr>
        <w:t xml:space="preserve">1.1 </w:t>
      </w:r>
      <w:r w:rsidRPr="00FF6B9A">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454D20" w:rsidRPr="00FF6B9A" w:rsidTr="00454D20">
        <w:tc>
          <w:tcPr>
            <w:tcW w:w="959"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资产净值</w:t>
            </w:r>
            <w:r w:rsidRPr="00FF6B9A">
              <w:rPr>
                <w:rFonts w:eastAsiaTheme="minorEastAsia"/>
                <w:color w:val="000000"/>
              </w:rPr>
              <w:t>(</w:t>
            </w:r>
            <w:r w:rsidRPr="00FF6B9A">
              <w:rPr>
                <w:rFonts w:eastAsiaTheme="minorEastAsia"/>
                <w:color w:val="000000"/>
              </w:rPr>
              <w:t>元</w:t>
            </w: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任职时间</w:t>
            </w:r>
          </w:p>
        </w:tc>
      </w:tr>
      <w:tr w:rsidR="00454D20" w:rsidRPr="00FF6B9A" w:rsidTr="00454D20">
        <w:tc>
          <w:tcPr>
            <w:tcW w:w="959" w:type="dxa"/>
            <w:vMerge w:val="restart"/>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倪权生</w:t>
            </w: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公募基金</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3,462,414,383.49</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2015-03-30</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970,273,411.63</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2021-04-12</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其他组合</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合计</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4</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4,432,687,795.12</w:t>
            </w:r>
          </w:p>
        </w:tc>
        <w:tc>
          <w:tcPr>
            <w:tcW w:w="1381" w:type="dxa"/>
            <w:tcBorders>
              <w:top w:val="single" w:sz="4" w:space="0" w:color="auto"/>
              <w:left w:val="single" w:sz="4" w:space="0" w:color="auto"/>
              <w:bottom w:val="single" w:sz="4" w:space="0" w:color="auto"/>
              <w:right w:val="single" w:sz="4" w:space="0" w:color="auto"/>
            </w:tcBorders>
          </w:tcPr>
          <w:p w:rsidR="00454D20" w:rsidRPr="00FF6B9A" w:rsidRDefault="00454D20">
            <w:pPr>
              <w:spacing w:line="288" w:lineRule="auto"/>
              <w:jc w:val="left"/>
              <w:rPr>
                <w:rFonts w:eastAsiaTheme="minorEastAsia"/>
                <w:color w:val="000000"/>
              </w:rPr>
            </w:pPr>
          </w:p>
        </w:tc>
      </w:tr>
    </w:tbl>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成长先锋混合型证券投资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2A1A59" w:rsidRDefault="00360B42">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w:t>
      </w:r>
      <w:r>
        <w:rPr>
          <w:rFonts w:eastAsiaTheme="minorEastAsia"/>
          <w:color w:val="000000" w:themeColor="text1"/>
        </w:rPr>
        <w:t>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A1A59" w:rsidRDefault="00360B42">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w:t>
      </w:r>
      <w:r>
        <w:rPr>
          <w:rFonts w:eastAsiaTheme="minorEastAsia"/>
          <w:color w:val="000000" w:themeColor="text1"/>
        </w:rPr>
        <w:lastRenderedPageBreak/>
        <w:t>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2A1A59" w:rsidRDefault="00360B42">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2A1A59" w:rsidRDefault="00360B42">
      <w:pPr>
        <w:spacing w:line="360" w:lineRule="auto"/>
        <w:ind w:firstLineChars="200" w:firstLine="420"/>
        <w:rPr>
          <w:rFonts w:eastAsiaTheme="minorEastAsia"/>
          <w:color w:val="000000" w:themeColor="text1"/>
        </w:rPr>
      </w:pPr>
      <w:r>
        <w:rPr>
          <w:rFonts w:eastAsiaTheme="minorEastAsia"/>
          <w:color w:val="000000" w:themeColor="text1"/>
        </w:rPr>
        <w:t>宏观经济方面，制造业高景气和上游资源及能源供给的阶段性不匹配自三季度以来进一步加剧，一方面由于出口持续处于高景气，带动对上游原材料和能源的需求提升，另一方面，由于限产、减耗等政策影响，以及过去几年对火电、大宗原材料加工等行业资本开支的投入不足，导致制造业上游原材料及能源供应不足，上游大宗商品及能源的供应无法满足下游需求，上游产品价格上涨并且短期看不到缓解趋势。短期来看，中上游行业的景气度和盈利能力较好。但这一形势的潜在变化因素是随着海外供应的逐步恢复，制造业海外产能缺口可能会改善，国内制造业对上游大宗商品及</w:t>
      </w:r>
      <w:r>
        <w:rPr>
          <w:rFonts w:eastAsiaTheme="minorEastAsia"/>
          <w:color w:val="000000" w:themeColor="text1"/>
        </w:rPr>
        <w:t>能源的需求，可能会有所下降，届时上游大宗商品及能源的供需紧张可能会缓解。产业层面，制造业的景气度由原来的新能源、半导体等新兴制造业延伸到能源、钢铁有色、化工等中上游行业，这些制造业的盈利能力处于上行阶段或较高水平。而由于疫情等因素，以及基数的影响，大消费整体数据表现平稳。</w:t>
      </w:r>
    </w:p>
    <w:p w:rsidR="002A1A59" w:rsidRDefault="00360B42">
      <w:pPr>
        <w:spacing w:line="360" w:lineRule="auto"/>
        <w:ind w:firstLineChars="200" w:firstLine="420"/>
        <w:rPr>
          <w:rFonts w:eastAsiaTheme="minorEastAsia"/>
          <w:color w:val="000000" w:themeColor="text1"/>
        </w:rPr>
      </w:pPr>
      <w:r>
        <w:rPr>
          <w:rFonts w:eastAsiaTheme="minorEastAsia"/>
          <w:color w:val="000000" w:themeColor="text1"/>
        </w:rPr>
        <w:t>组合配置方面，一方面继续配置前期已经布局的基本面较强的新能源、军工、半导体等行业，另一方面，逐步开始增加估值处于底部，基本面成长性并不差的细分行业的配置，如非处方药、传媒、农业等，这些细分领域估值处于底部，下行空间较小，但其中相关公司，具</w:t>
      </w:r>
      <w:r>
        <w:rPr>
          <w:rFonts w:eastAsiaTheme="minorEastAsia"/>
          <w:color w:val="000000" w:themeColor="text1"/>
        </w:rPr>
        <w:t>有较为稳定的成长性，这些资产未来一年获得阿尔法的概率相对较大。</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展望后市，我们认为受益于出口的制造业及其带动的中上游需求，可能会随着海外供给的稳定，有所缓解，未来更加关注内需驱动以及自身有较强产业成长逻辑的行业板块。新能源车、军工、半导体等属于产业自身需求逻辑较为明确，且受宏观经济波动影响相对较小的板块，仍将会重点关注。另一方面，需求相对稳定，但由于政策担忧、短期业绩等因素而导致估值处于较低水平的板块，如非处方药、传媒、农业等，将会进一步加大研究并逐步布局。</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lastRenderedPageBreak/>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本报告期上投摩根成长先锋混合份额净值增长率为</w:t>
      </w:r>
      <w:r w:rsidRPr="00FF6B9A">
        <w:rPr>
          <w:rFonts w:eastAsiaTheme="minorEastAsia"/>
          <w:color w:val="000000" w:themeColor="text1"/>
        </w:rPr>
        <w:t>:1.81%</w:t>
      </w:r>
      <w:r w:rsidRPr="00FF6B9A">
        <w:rPr>
          <w:rFonts w:eastAsiaTheme="minorEastAsia"/>
          <w:color w:val="000000" w:themeColor="text1"/>
        </w:rPr>
        <w:t>，同期业绩比较基准收益率为</w:t>
      </w:r>
      <w:r w:rsidRPr="00FF6B9A">
        <w:rPr>
          <w:rFonts w:eastAsiaTheme="minorEastAsia"/>
          <w:color w:val="000000" w:themeColor="text1"/>
        </w:rPr>
        <w:t>:-5.23%</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2,018,261,652.80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83.22</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2,018,261,652.80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83.22</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404,683,033.38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16.69</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2,361,823.89</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0.10</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2,425,306,510.07</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w:t>
            </w:r>
            <w:r w:rsidRPr="00FF6B9A">
              <w:rPr>
                <w:rFonts w:eastAsiaTheme="minorEastAsia"/>
                <w:color w:val="000000" w:themeColor="text1"/>
                <w:kern w:val="0"/>
              </w:rPr>
              <w:lastRenderedPageBreak/>
              <w:t>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21,969,270.00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0.93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69,785,318.78</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2.95</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1,647,546,816.07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69.68</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48,345,792.36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2.04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20,183.39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77,726,745.54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3.29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3,345.12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74,868,603.08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3.17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60,773,137.11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2.57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19,443.64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9,072.49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17,193,925.22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0.73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2,018,261,652.80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85.36</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2"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2A1A59">
        <w:tc>
          <w:tcPr>
            <w:tcW w:w="817" w:type="dxa"/>
            <w:vAlign w:val="center"/>
          </w:tcPr>
          <w:p w:rsidR="002A1A59" w:rsidRDefault="00360B42">
            <w:pPr>
              <w:jc w:val="center"/>
            </w:pPr>
            <w:r>
              <w:rPr>
                <w:rFonts w:eastAsiaTheme="minorEastAsia"/>
                <w:kern w:val="0"/>
                <w:sz w:val="24"/>
                <w:szCs w:val="24"/>
              </w:rPr>
              <w:t>1</w:t>
            </w:r>
          </w:p>
        </w:tc>
        <w:tc>
          <w:tcPr>
            <w:tcW w:w="1276" w:type="dxa"/>
            <w:vAlign w:val="center"/>
          </w:tcPr>
          <w:p w:rsidR="002A1A59" w:rsidRDefault="00360B42">
            <w:pPr>
              <w:jc w:val="center"/>
            </w:pPr>
            <w:r>
              <w:rPr>
                <w:rFonts w:eastAsiaTheme="minorEastAsia"/>
                <w:kern w:val="0"/>
                <w:sz w:val="24"/>
                <w:szCs w:val="24"/>
              </w:rPr>
              <w:t>300390</w:t>
            </w:r>
          </w:p>
        </w:tc>
        <w:tc>
          <w:tcPr>
            <w:tcW w:w="1701" w:type="dxa"/>
            <w:vAlign w:val="center"/>
          </w:tcPr>
          <w:p w:rsidR="002A1A59" w:rsidRDefault="00360B42">
            <w:pPr>
              <w:jc w:val="center"/>
            </w:pPr>
            <w:r>
              <w:rPr>
                <w:rFonts w:eastAsiaTheme="minorEastAsia"/>
                <w:kern w:val="0"/>
                <w:sz w:val="24"/>
                <w:szCs w:val="24"/>
              </w:rPr>
              <w:t>天华超净</w:t>
            </w:r>
          </w:p>
        </w:tc>
        <w:tc>
          <w:tcPr>
            <w:tcW w:w="1276" w:type="dxa"/>
            <w:vAlign w:val="center"/>
          </w:tcPr>
          <w:p w:rsidR="002A1A59" w:rsidRDefault="00360B42">
            <w:pPr>
              <w:jc w:val="right"/>
            </w:pPr>
            <w:r>
              <w:rPr>
                <w:rFonts w:eastAsiaTheme="minorEastAsia"/>
                <w:kern w:val="0"/>
                <w:sz w:val="24"/>
                <w:szCs w:val="24"/>
              </w:rPr>
              <w:t>1,183,200</w:t>
            </w:r>
          </w:p>
        </w:tc>
        <w:tc>
          <w:tcPr>
            <w:tcW w:w="1842" w:type="dxa"/>
            <w:vAlign w:val="center"/>
          </w:tcPr>
          <w:p w:rsidR="002A1A59" w:rsidRDefault="00360B42">
            <w:pPr>
              <w:jc w:val="right"/>
            </w:pPr>
            <w:r>
              <w:rPr>
                <w:rFonts w:eastAsiaTheme="minorEastAsia"/>
                <w:kern w:val="0"/>
                <w:sz w:val="24"/>
                <w:szCs w:val="24"/>
              </w:rPr>
              <w:t>127,016,520.00</w:t>
            </w:r>
          </w:p>
        </w:tc>
        <w:tc>
          <w:tcPr>
            <w:tcW w:w="1616" w:type="dxa"/>
            <w:vAlign w:val="center"/>
          </w:tcPr>
          <w:p w:rsidR="002A1A59" w:rsidRDefault="00360B42">
            <w:pPr>
              <w:jc w:val="right"/>
            </w:pPr>
            <w:r>
              <w:rPr>
                <w:rFonts w:eastAsiaTheme="minorEastAsia"/>
                <w:kern w:val="0"/>
                <w:sz w:val="24"/>
                <w:szCs w:val="24"/>
              </w:rPr>
              <w:t>5.37</w:t>
            </w:r>
          </w:p>
        </w:tc>
      </w:tr>
      <w:tr w:rsidR="002A1A59">
        <w:tc>
          <w:tcPr>
            <w:tcW w:w="817" w:type="dxa"/>
            <w:vAlign w:val="center"/>
          </w:tcPr>
          <w:p w:rsidR="002A1A59" w:rsidRDefault="00360B42">
            <w:pPr>
              <w:jc w:val="center"/>
            </w:pPr>
            <w:r>
              <w:rPr>
                <w:rFonts w:eastAsiaTheme="minorEastAsia"/>
                <w:kern w:val="0"/>
                <w:sz w:val="24"/>
                <w:szCs w:val="24"/>
              </w:rPr>
              <w:t>2</w:t>
            </w:r>
          </w:p>
        </w:tc>
        <w:tc>
          <w:tcPr>
            <w:tcW w:w="1276" w:type="dxa"/>
            <w:vAlign w:val="center"/>
          </w:tcPr>
          <w:p w:rsidR="002A1A59" w:rsidRDefault="00360B42">
            <w:pPr>
              <w:jc w:val="center"/>
            </w:pPr>
            <w:r>
              <w:rPr>
                <w:rFonts w:eastAsiaTheme="minorEastAsia"/>
                <w:kern w:val="0"/>
                <w:sz w:val="24"/>
                <w:szCs w:val="24"/>
              </w:rPr>
              <w:t>600438</w:t>
            </w:r>
          </w:p>
        </w:tc>
        <w:tc>
          <w:tcPr>
            <w:tcW w:w="1701" w:type="dxa"/>
            <w:vAlign w:val="center"/>
          </w:tcPr>
          <w:p w:rsidR="002A1A59" w:rsidRDefault="00360B42">
            <w:pPr>
              <w:jc w:val="center"/>
            </w:pPr>
            <w:r>
              <w:rPr>
                <w:rFonts w:eastAsiaTheme="minorEastAsia"/>
                <w:kern w:val="0"/>
                <w:sz w:val="24"/>
                <w:szCs w:val="24"/>
              </w:rPr>
              <w:t>通威股份</w:t>
            </w:r>
          </w:p>
        </w:tc>
        <w:tc>
          <w:tcPr>
            <w:tcW w:w="1276" w:type="dxa"/>
            <w:vAlign w:val="center"/>
          </w:tcPr>
          <w:p w:rsidR="002A1A59" w:rsidRDefault="00360B42">
            <w:pPr>
              <w:jc w:val="right"/>
            </w:pPr>
            <w:r>
              <w:rPr>
                <w:rFonts w:eastAsiaTheme="minorEastAsia"/>
                <w:kern w:val="0"/>
                <w:sz w:val="24"/>
                <w:szCs w:val="24"/>
              </w:rPr>
              <w:t>2,486,315</w:t>
            </w:r>
          </w:p>
        </w:tc>
        <w:tc>
          <w:tcPr>
            <w:tcW w:w="1842" w:type="dxa"/>
            <w:vAlign w:val="center"/>
          </w:tcPr>
          <w:p w:rsidR="002A1A59" w:rsidRDefault="00360B42">
            <w:pPr>
              <w:jc w:val="right"/>
            </w:pPr>
            <w:r>
              <w:rPr>
                <w:rFonts w:eastAsiaTheme="minorEastAsia"/>
                <w:kern w:val="0"/>
                <w:sz w:val="24"/>
                <w:szCs w:val="24"/>
              </w:rPr>
              <w:t>126,652,886.10</w:t>
            </w:r>
          </w:p>
        </w:tc>
        <w:tc>
          <w:tcPr>
            <w:tcW w:w="1616" w:type="dxa"/>
            <w:vAlign w:val="center"/>
          </w:tcPr>
          <w:p w:rsidR="002A1A59" w:rsidRDefault="00360B42">
            <w:pPr>
              <w:jc w:val="right"/>
            </w:pPr>
            <w:r>
              <w:rPr>
                <w:rFonts w:eastAsiaTheme="minorEastAsia"/>
                <w:kern w:val="0"/>
                <w:sz w:val="24"/>
                <w:szCs w:val="24"/>
              </w:rPr>
              <w:t>5.36</w:t>
            </w:r>
          </w:p>
        </w:tc>
      </w:tr>
      <w:tr w:rsidR="002A1A59">
        <w:tc>
          <w:tcPr>
            <w:tcW w:w="817" w:type="dxa"/>
            <w:vAlign w:val="center"/>
          </w:tcPr>
          <w:p w:rsidR="002A1A59" w:rsidRDefault="00360B42">
            <w:pPr>
              <w:jc w:val="center"/>
            </w:pPr>
            <w:r>
              <w:rPr>
                <w:rFonts w:eastAsiaTheme="minorEastAsia"/>
                <w:kern w:val="0"/>
                <w:sz w:val="24"/>
                <w:szCs w:val="24"/>
              </w:rPr>
              <w:t>3</w:t>
            </w:r>
          </w:p>
        </w:tc>
        <w:tc>
          <w:tcPr>
            <w:tcW w:w="1276" w:type="dxa"/>
            <w:vAlign w:val="center"/>
          </w:tcPr>
          <w:p w:rsidR="002A1A59" w:rsidRDefault="00360B42">
            <w:pPr>
              <w:jc w:val="center"/>
            </w:pPr>
            <w:r>
              <w:rPr>
                <w:rFonts w:eastAsiaTheme="minorEastAsia"/>
                <w:kern w:val="0"/>
                <w:sz w:val="24"/>
                <w:szCs w:val="24"/>
              </w:rPr>
              <w:t>002236</w:t>
            </w:r>
          </w:p>
        </w:tc>
        <w:tc>
          <w:tcPr>
            <w:tcW w:w="1701" w:type="dxa"/>
            <w:vAlign w:val="center"/>
          </w:tcPr>
          <w:p w:rsidR="002A1A59" w:rsidRDefault="00360B42">
            <w:pPr>
              <w:jc w:val="center"/>
            </w:pPr>
            <w:r>
              <w:rPr>
                <w:rFonts w:eastAsiaTheme="minorEastAsia"/>
                <w:kern w:val="0"/>
                <w:sz w:val="24"/>
                <w:szCs w:val="24"/>
              </w:rPr>
              <w:t>大华股份</w:t>
            </w:r>
          </w:p>
        </w:tc>
        <w:tc>
          <w:tcPr>
            <w:tcW w:w="1276" w:type="dxa"/>
            <w:vAlign w:val="center"/>
          </w:tcPr>
          <w:p w:rsidR="002A1A59" w:rsidRDefault="00360B42">
            <w:pPr>
              <w:jc w:val="right"/>
            </w:pPr>
            <w:r>
              <w:rPr>
                <w:rFonts w:eastAsiaTheme="minorEastAsia"/>
                <w:kern w:val="0"/>
                <w:sz w:val="24"/>
                <w:szCs w:val="24"/>
              </w:rPr>
              <w:t>5,127,526</w:t>
            </w:r>
          </w:p>
        </w:tc>
        <w:tc>
          <w:tcPr>
            <w:tcW w:w="1842" w:type="dxa"/>
            <w:vAlign w:val="center"/>
          </w:tcPr>
          <w:p w:rsidR="002A1A59" w:rsidRDefault="00360B42">
            <w:pPr>
              <w:jc w:val="right"/>
            </w:pPr>
            <w:r>
              <w:rPr>
                <w:rFonts w:eastAsiaTheme="minorEastAsia"/>
                <w:kern w:val="0"/>
                <w:sz w:val="24"/>
                <w:szCs w:val="24"/>
              </w:rPr>
              <w:t>121,624,916.72</w:t>
            </w:r>
          </w:p>
        </w:tc>
        <w:tc>
          <w:tcPr>
            <w:tcW w:w="1616" w:type="dxa"/>
            <w:vAlign w:val="center"/>
          </w:tcPr>
          <w:p w:rsidR="002A1A59" w:rsidRDefault="00360B42">
            <w:pPr>
              <w:jc w:val="right"/>
            </w:pPr>
            <w:r>
              <w:rPr>
                <w:rFonts w:eastAsiaTheme="minorEastAsia"/>
                <w:kern w:val="0"/>
                <w:sz w:val="24"/>
                <w:szCs w:val="24"/>
              </w:rPr>
              <w:t>5.14</w:t>
            </w:r>
          </w:p>
        </w:tc>
      </w:tr>
      <w:tr w:rsidR="002A1A59">
        <w:tc>
          <w:tcPr>
            <w:tcW w:w="817" w:type="dxa"/>
            <w:vAlign w:val="center"/>
          </w:tcPr>
          <w:p w:rsidR="002A1A59" w:rsidRDefault="00360B42">
            <w:pPr>
              <w:jc w:val="center"/>
            </w:pPr>
            <w:r>
              <w:rPr>
                <w:rFonts w:eastAsiaTheme="minorEastAsia"/>
                <w:kern w:val="0"/>
                <w:sz w:val="24"/>
                <w:szCs w:val="24"/>
              </w:rPr>
              <w:t>4</w:t>
            </w:r>
          </w:p>
        </w:tc>
        <w:tc>
          <w:tcPr>
            <w:tcW w:w="1276" w:type="dxa"/>
            <w:vAlign w:val="center"/>
          </w:tcPr>
          <w:p w:rsidR="002A1A59" w:rsidRDefault="00360B42">
            <w:pPr>
              <w:jc w:val="center"/>
            </w:pPr>
            <w:r>
              <w:rPr>
                <w:rFonts w:eastAsiaTheme="minorEastAsia"/>
                <w:kern w:val="0"/>
                <w:sz w:val="24"/>
                <w:szCs w:val="24"/>
              </w:rPr>
              <w:t>300327</w:t>
            </w:r>
          </w:p>
        </w:tc>
        <w:tc>
          <w:tcPr>
            <w:tcW w:w="1701" w:type="dxa"/>
            <w:vAlign w:val="center"/>
          </w:tcPr>
          <w:p w:rsidR="002A1A59" w:rsidRDefault="00360B42">
            <w:pPr>
              <w:jc w:val="center"/>
            </w:pPr>
            <w:r>
              <w:rPr>
                <w:rFonts w:eastAsiaTheme="minorEastAsia"/>
                <w:kern w:val="0"/>
                <w:sz w:val="24"/>
                <w:szCs w:val="24"/>
              </w:rPr>
              <w:t>中颖电子</w:t>
            </w:r>
          </w:p>
        </w:tc>
        <w:tc>
          <w:tcPr>
            <w:tcW w:w="1276" w:type="dxa"/>
            <w:vAlign w:val="center"/>
          </w:tcPr>
          <w:p w:rsidR="002A1A59" w:rsidRDefault="00360B42">
            <w:pPr>
              <w:jc w:val="right"/>
            </w:pPr>
            <w:r>
              <w:rPr>
                <w:rFonts w:eastAsiaTheme="minorEastAsia"/>
                <w:kern w:val="0"/>
                <w:sz w:val="24"/>
                <w:szCs w:val="24"/>
              </w:rPr>
              <w:t>1,582,740</w:t>
            </w:r>
          </w:p>
        </w:tc>
        <w:tc>
          <w:tcPr>
            <w:tcW w:w="1842" w:type="dxa"/>
            <w:vAlign w:val="center"/>
          </w:tcPr>
          <w:p w:rsidR="002A1A59" w:rsidRDefault="00360B42">
            <w:pPr>
              <w:jc w:val="right"/>
            </w:pPr>
            <w:r>
              <w:rPr>
                <w:rFonts w:eastAsiaTheme="minorEastAsia"/>
                <w:kern w:val="0"/>
                <w:sz w:val="24"/>
                <w:szCs w:val="24"/>
              </w:rPr>
              <w:t>98,747,148.60</w:t>
            </w:r>
          </w:p>
        </w:tc>
        <w:tc>
          <w:tcPr>
            <w:tcW w:w="1616" w:type="dxa"/>
            <w:vAlign w:val="center"/>
          </w:tcPr>
          <w:p w:rsidR="002A1A59" w:rsidRDefault="00360B42">
            <w:pPr>
              <w:jc w:val="right"/>
            </w:pPr>
            <w:r>
              <w:rPr>
                <w:rFonts w:eastAsiaTheme="minorEastAsia"/>
                <w:kern w:val="0"/>
                <w:sz w:val="24"/>
                <w:szCs w:val="24"/>
              </w:rPr>
              <w:t>4.18</w:t>
            </w:r>
          </w:p>
        </w:tc>
      </w:tr>
      <w:tr w:rsidR="002A1A59">
        <w:tc>
          <w:tcPr>
            <w:tcW w:w="817" w:type="dxa"/>
            <w:vAlign w:val="center"/>
          </w:tcPr>
          <w:p w:rsidR="002A1A59" w:rsidRDefault="00360B42">
            <w:pPr>
              <w:jc w:val="center"/>
            </w:pPr>
            <w:r>
              <w:rPr>
                <w:rFonts w:eastAsiaTheme="minorEastAsia"/>
                <w:kern w:val="0"/>
                <w:sz w:val="24"/>
                <w:szCs w:val="24"/>
              </w:rPr>
              <w:t>5</w:t>
            </w:r>
          </w:p>
        </w:tc>
        <w:tc>
          <w:tcPr>
            <w:tcW w:w="1276" w:type="dxa"/>
            <w:vAlign w:val="center"/>
          </w:tcPr>
          <w:p w:rsidR="002A1A59" w:rsidRDefault="00360B42">
            <w:pPr>
              <w:jc w:val="center"/>
            </w:pPr>
            <w:r>
              <w:rPr>
                <w:rFonts w:eastAsiaTheme="minorEastAsia"/>
                <w:kern w:val="0"/>
                <w:sz w:val="24"/>
                <w:szCs w:val="24"/>
              </w:rPr>
              <w:t>300432</w:t>
            </w:r>
          </w:p>
        </w:tc>
        <w:tc>
          <w:tcPr>
            <w:tcW w:w="1701" w:type="dxa"/>
            <w:vAlign w:val="center"/>
          </w:tcPr>
          <w:p w:rsidR="002A1A59" w:rsidRDefault="00360B42">
            <w:pPr>
              <w:jc w:val="center"/>
            </w:pPr>
            <w:r>
              <w:rPr>
                <w:rFonts w:eastAsiaTheme="minorEastAsia"/>
                <w:kern w:val="0"/>
                <w:sz w:val="24"/>
                <w:szCs w:val="24"/>
              </w:rPr>
              <w:t>富临精工</w:t>
            </w:r>
          </w:p>
        </w:tc>
        <w:tc>
          <w:tcPr>
            <w:tcW w:w="1276" w:type="dxa"/>
            <w:vAlign w:val="center"/>
          </w:tcPr>
          <w:p w:rsidR="002A1A59" w:rsidRDefault="00360B42">
            <w:pPr>
              <w:jc w:val="right"/>
            </w:pPr>
            <w:r>
              <w:rPr>
                <w:rFonts w:eastAsiaTheme="minorEastAsia"/>
                <w:kern w:val="0"/>
                <w:sz w:val="24"/>
                <w:szCs w:val="24"/>
              </w:rPr>
              <w:t>2,363,377</w:t>
            </w:r>
          </w:p>
        </w:tc>
        <w:tc>
          <w:tcPr>
            <w:tcW w:w="1842" w:type="dxa"/>
            <w:vAlign w:val="center"/>
          </w:tcPr>
          <w:p w:rsidR="002A1A59" w:rsidRDefault="00360B42">
            <w:pPr>
              <w:jc w:val="right"/>
            </w:pPr>
            <w:r>
              <w:rPr>
                <w:rFonts w:eastAsiaTheme="minorEastAsia"/>
                <w:kern w:val="0"/>
                <w:sz w:val="24"/>
                <w:szCs w:val="24"/>
              </w:rPr>
              <w:t>96,520,316.68</w:t>
            </w:r>
          </w:p>
        </w:tc>
        <w:tc>
          <w:tcPr>
            <w:tcW w:w="1616" w:type="dxa"/>
            <w:vAlign w:val="center"/>
          </w:tcPr>
          <w:p w:rsidR="002A1A59" w:rsidRDefault="00360B42">
            <w:pPr>
              <w:jc w:val="right"/>
            </w:pPr>
            <w:r>
              <w:rPr>
                <w:rFonts w:eastAsiaTheme="minorEastAsia"/>
                <w:kern w:val="0"/>
                <w:sz w:val="24"/>
                <w:szCs w:val="24"/>
              </w:rPr>
              <w:t>4.08</w:t>
            </w:r>
          </w:p>
        </w:tc>
      </w:tr>
      <w:tr w:rsidR="002A1A59">
        <w:tc>
          <w:tcPr>
            <w:tcW w:w="817" w:type="dxa"/>
            <w:vAlign w:val="center"/>
          </w:tcPr>
          <w:p w:rsidR="002A1A59" w:rsidRDefault="00360B42">
            <w:pPr>
              <w:jc w:val="center"/>
            </w:pPr>
            <w:r>
              <w:rPr>
                <w:rFonts w:eastAsiaTheme="minorEastAsia"/>
                <w:kern w:val="0"/>
                <w:sz w:val="24"/>
                <w:szCs w:val="24"/>
              </w:rPr>
              <w:t>6</w:t>
            </w:r>
          </w:p>
        </w:tc>
        <w:tc>
          <w:tcPr>
            <w:tcW w:w="1276" w:type="dxa"/>
            <w:vAlign w:val="center"/>
          </w:tcPr>
          <w:p w:rsidR="002A1A59" w:rsidRDefault="00360B42">
            <w:pPr>
              <w:jc w:val="center"/>
            </w:pPr>
            <w:r>
              <w:rPr>
                <w:rFonts w:eastAsiaTheme="minorEastAsia"/>
                <w:kern w:val="0"/>
                <w:sz w:val="24"/>
                <w:szCs w:val="24"/>
              </w:rPr>
              <w:t>000733</w:t>
            </w:r>
          </w:p>
        </w:tc>
        <w:tc>
          <w:tcPr>
            <w:tcW w:w="1701" w:type="dxa"/>
            <w:vAlign w:val="center"/>
          </w:tcPr>
          <w:p w:rsidR="002A1A59" w:rsidRDefault="00360B42">
            <w:pPr>
              <w:jc w:val="center"/>
            </w:pPr>
            <w:r>
              <w:rPr>
                <w:rFonts w:eastAsiaTheme="minorEastAsia"/>
                <w:kern w:val="0"/>
                <w:sz w:val="24"/>
                <w:szCs w:val="24"/>
              </w:rPr>
              <w:t>振华科技</w:t>
            </w:r>
          </w:p>
        </w:tc>
        <w:tc>
          <w:tcPr>
            <w:tcW w:w="1276" w:type="dxa"/>
            <w:vAlign w:val="center"/>
          </w:tcPr>
          <w:p w:rsidR="002A1A59" w:rsidRDefault="00360B42">
            <w:pPr>
              <w:jc w:val="right"/>
            </w:pPr>
            <w:r>
              <w:rPr>
                <w:rFonts w:eastAsiaTheme="minorEastAsia"/>
                <w:kern w:val="0"/>
                <w:sz w:val="24"/>
                <w:szCs w:val="24"/>
              </w:rPr>
              <w:t>901,504</w:t>
            </w:r>
          </w:p>
        </w:tc>
        <w:tc>
          <w:tcPr>
            <w:tcW w:w="1842" w:type="dxa"/>
            <w:vAlign w:val="center"/>
          </w:tcPr>
          <w:p w:rsidR="002A1A59" w:rsidRDefault="00360B42">
            <w:pPr>
              <w:jc w:val="right"/>
            </w:pPr>
            <w:r>
              <w:rPr>
                <w:rFonts w:eastAsiaTheme="minorEastAsia"/>
                <w:kern w:val="0"/>
                <w:sz w:val="24"/>
                <w:szCs w:val="24"/>
              </w:rPr>
              <w:t>90,348,730.88</w:t>
            </w:r>
          </w:p>
        </w:tc>
        <w:tc>
          <w:tcPr>
            <w:tcW w:w="1616" w:type="dxa"/>
            <w:vAlign w:val="center"/>
          </w:tcPr>
          <w:p w:rsidR="002A1A59" w:rsidRDefault="00360B42">
            <w:pPr>
              <w:jc w:val="right"/>
            </w:pPr>
            <w:r>
              <w:rPr>
                <w:rFonts w:eastAsiaTheme="minorEastAsia"/>
                <w:kern w:val="0"/>
                <w:sz w:val="24"/>
                <w:szCs w:val="24"/>
              </w:rPr>
              <w:t>3.82</w:t>
            </w:r>
          </w:p>
        </w:tc>
      </w:tr>
      <w:tr w:rsidR="002A1A59">
        <w:tc>
          <w:tcPr>
            <w:tcW w:w="817" w:type="dxa"/>
            <w:vAlign w:val="center"/>
          </w:tcPr>
          <w:p w:rsidR="002A1A59" w:rsidRDefault="00360B42">
            <w:pPr>
              <w:jc w:val="center"/>
            </w:pPr>
            <w:r>
              <w:rPr>
                <w:rFonts w:eastAsiaTheme="minorEastAsia"/>
                <w:kern w:val="0"/>
                <w:sz w:val="24"/>
                <w:szCs w:val="24"/>
              </w:rPr>
              <w:t>7</w:t>
            </w:r>
          </w:p>
        </w:tc>
        <w:tc>
          <w:tcPr>
            <w:tcW w:w="1276" w:type="dxa"/>
            <w:vAlign w:val="center"/>
          </w:tcPr>
          <w:p w:rsidR="002A1A59" w:rsidRDefault="00360B42">
            <w:pPr>
              <w:jc w:val="center"/>
            </w:pPr>
            <w:r>
              <w:rPr>
                <w:rFonts w:eastAsiaTheme="minorEastAsia"/>
                <w:kern w:val="0"/>
                <w:sz w:val="24"/>
                <w:szCs w:val="24"/>
              </w:rPr>
              <w:t>002049</w:t>
            </w:r>
          </w:p>
        </w:tc>
        <w:tc>
          <w:tcPr>
            <w:tcW w:w="1701" w:type="dxa"/>
            <w:vAlign w:val="center"/>
          </w:tcPr>
          <w:p w:rsidR="002A1A59" w:rsidRDefault="00360B42">
            <w:pPr>
              <w:jc w:val="center"/>
            </w:pPr>
            <w:r>
              <w:rPr>
                <w:rFonts w:eastAsiaTheme="minorEastAsia"/>
                <w:kern w:val="0"/>
                <w:sz w:val="24"/>
                <w:szCs w:val="24"/>
              </w:rPr>
              <w:t>紫光国微</w:t>
            </w:r>
          </w:p>
        </w:tc>
        <w:tc>
          <w:tcPr>
            <w:tcW w:w="1276" w:type="dxa"/>
            <w:vAlign w:val="center"/>
          </w:tcPr>
          <w:p w:rsidR="002A1A59" w:rsidRDefault="00360B42">
            <w:pPr>
              <w:jc w:val="right"/>
            </w:pPr>
            <w:r>
              <w:rPr>
                <w:rFonts w:eastAsiaTheme="minorEastAsia"/>
                <w:kern w:val="0"/>
                <w:sz w:val="24"/>
                <w:szCs w:val="24"/>
              </w:rPr>
              <w:t>374,518</w:t>
            </w:r>
          </w:p>
        </w:tc>
        <w:tc>
          <w:tcPr>
            <w:tcW w:w="1842" w:type="dxa"/>
            <w:vAlign w:val="center"/>
          </w:tcPr>
          <w:p w:rsidR="002A1A59" w:rsidRDefault="00360B42">
            <w:pPr>
              <w:jc w:val="right"/>
            </w:pPr>
            <w:r>
              <w:rPr>
                <w:rFonts w:eastAsiaTheme="minorEastAsia"/>
                <w:kern w:val="0"/>
                <w:sz w:val="24"/>
                <w:szCs w:val="24"/>
              </w:rPr>
              <w:t>77,450,322.40</w:t>
            </w:r>
          </w:p>
        </w:tc>
        <w:tc>
          <w:tcPr>
            <w:tcW w:w="1616" w:type="dxa"/>
            <w:vAlign w:val="center"/>
          </w:tcPr>
          <w:p w:rsidR="002A1A59" w:rsidRDefault="00360B42">
            <w:pPr>
              <w:jc w:val="right"/>
            </w:pPr>
            <w:r>
              <w:rPr>
                <w:rFonts w:eastAsiaTheme="minorEastAsia"/>
                <w:kern w:val="0"/>
                <w:sz w:val="24"/>
                <w:szCs w:val="24"/>
              </w:rPr>
              <w:t>3.28</w:t>
            </w:r>
          </w:p>
        </w:tc>
      </w:tr>
      <w:tr w:rsidR="002A1A59">
        <w:tc>
          <w:tcPr>
            <w:tcW w:w="817" w:type="dxa"/>
            <w:vAlign w:val="center"/>
          </w:tcPr>
          <w:p w:rsidR="002A1A59" w:rsidRDefault="00360B42">
            <w:pPr>
              <w:jc w:val="center"/>
            </w:pPr>
            <w:r>
              <w:rPr>
                <w:rFonts w:eastAsiaTheme="minorEastAsia"/>
                <w:kern w:val="0"/>
                <w:sz w:val="24"/>
                <w:szCs w:val="24"/>
              </w:rPr>
              <w:lastRenderedPageBreak/>
              <w:t>8</w:t>
            </w:r>
          </w:p>
        </w:tc>
        <w:tc>
          <w:tcPr>
            <w:tcW w:w="1276" w:type="dxa"/>
            <w:vAlign w:val="center"/>
          </w:tcPr>
          <w:p w:rsidR="002A1A59" w:rsidRDefault="00360B42">
            <w:pPr>
              <w:jc w:val="center"/>
            </w:pPr>
            <w:r>
              <w:rPr>
                <w:rFonts w:eastAsiaTheme="minorEastAsia"/>
                <w:kern w:val="0"/>
                <w:sz w:val="24"/>
                <w:szCs w:val="24"/>
              </w:rPr>
              <w:t>300014</w:t>
            </w:r>
          </w:p>
        </w:tc>
        <w:tc>
          <w:tcPr>
            <w:tcW w:w="1701" w:type="dxa"/>
            <w:vAlign w:val="center"/>
          </w:tcPr>
          <w:p w:rsidR="002A1A59" w:rsidRDefault="00360B42">
            <w:pPr>
              <w:jc w:val="center"/>
            </w:pPr>
            <w:r>
              <w:rPr>
                <w:rFonts w:eastAsiaTheme="minorEastAsia"/>
                <w:kern w:val="0"/>
                <w:sz w:val="24"/>
                <w:szCs w:val="24"/>
              </w:rPr>
              <w:t>亿纬锂能</w:t>
            </w:r>
          </w:p>
        </w:tc>
        <w:tc>
          <w:tcPr>
            <w:tcW w:w="1276" w:type="dxa"/>
            <w:vAlign w:val="center"/>
          </w:tcPr>
          <w:p w:rsidR="002A1A59" w:rsidRDefault="00360B42">
            <w:pPr>
              <w:jc w:val="right"/>
            </w:pPr>
            <w:r>
              <w:rPr>
                <w:rFonts w:eastAsiaTheme="minorEastAsia"/>
                <w:kern w:val="0"/>
                <w:sz w:val="24"/>
                <w:szCs w:val="24"/>
              </w:rPr>
              <w:t>680,548</w:t>
            </w:r>
          </w:p>
        </w:tc>
        <w:tc>
          <w:tcPr>
            <w:tcW w:w="1842" w:type="dxa"/>
            <w:vAlign w:val="center"/>
          </w:tcPr>
          <w:p w:rsidR="002A1A59" w:rsidRDefault="00360B42">
            <w:pPr>
              <w:jc w:val="right"/>
            </w:pPr>
            <w:r>
              <w:rPr>
                <w:rFonts w:eastAsiaTheme="minorEastAsia"/>
                <w:kern w:val="0"/>
                <w:sz w:val="24"/>
                <w:szCs w:val="24"/>
              </w:rPr>
              <w:t>67,394,668.44</w:t>
            </w:r>
          </w:p>
        </w:tc>
        <w:tc>
          <w:tcPr>
            <w:tcW w:w="1616" w:type="dxa"/>
            <w:vAlign w:val="center"/>
          </w:tcPr>
          <w:p w:rsidR="002A1A59" w:rsidRDefault="00360B42">
            <w:pPr>
              <w:jc w:val="right"/>
            </w:pPr>
            <w:r>
              <w:rPr>
                <w:rFonts w:eastAsiaTheme="minorEastAsia"/>
                <w:kern w:val="0"/>
                <w:sz w:val="24"/>
                <w:szCs w:val="24"/>
              </w:rPr>
              <w:t>2.85</w:t>
            </w:r>
          </w:p>
        </w:tc>
      </w:tr>
      <w:tr w:rsidR="002A1A59">
        <w:tc>
          <w:tcPr>
            <w:tcW w:w="817" w:type="dxa"/>
            <w:vAlign w:val="center"/>
          </w:tcPr>
          <w:p w:rsidR="002A1A59" w:rsidRDefault="00360B42">
            <w:pPr>
              <w:jc w:val="center"/>
            </w:pPr>
            <w:r>
              <w:rPr>
                <w:rFonts w:eastAsiaTheme="minorEastAsia"/>
                <w:kern w:val="0"/>
                <w:sz w:val="24"/>
                <w:szCs w:val="24"/>
              </w:rPr>
              <w:t>9</w:t>
            </w:r>
          </w:p>
        </w:tc>
        <w:tc>
          <w:tcPr>
            <w:tcW w:w="1276" w:type="dxa"/>
            <w:vAlign w:val="center"/>
          </w:tcPr>
          <w:p w:rsidR="002A1A59" w:rsidRDefault="00360B42">
            <w:pPr>
              <w:jc w:val="center"/>
            </w:pPr>
            <w:r>
              <w:rPr>
                <w:rFonts w:eastAsiaTheme="minorEastAsia"/>
                <w:kern w:val="0"/>
                <w:sz w:val="24"/>
                <w:szCs w:val="24"/>
              </w:rPr>
              <w:t>603486</w:t>
            </w:r>
          </w:p>
        </w:tc>
        <w:tc>
          <w:tcPr>
            <w:tcW w:w="1701" w:type="dxa"/>
            <w:vAlign w:val="center"/>
          </w:tcPr>
          <w:p w:rsidR="002A1A59" w:rsidRDefault="00360B42">
            <w:pPr>
              <w:jc w:val="center"/>
            </w:pPr>
            <w:r>
              <w:rPr>
                <w:rFonts w:eastAsiaTheme="minorEastAsia"/>
                <w:kern w:val="0"/>
                <w:sz w:val="24"/>
                <w:szCs w:val="24"/>
              </w:rPr>
              <w:t>科沃斯</w:t>
            </w:r>
          </w:p>
        </w:tc>
        <w:tc>
          <w:tcPr>
            <w:tcW w:w="1276" w:type="dxa"/>
            <w:vAlign w:val="center"/>
          </w:tcPr>
          <w:p w:rsidR="002A1A59" w:rsidRDefault="00360B42">
            <w:pPr>
              <w:jc w:val="right"/>
            </w:pPr>
            <w:r>
              <w:rPr>
                <w:rFonts w:eastAsiaTheme="minorEastAsia"/>
                <w:kern w:val="0"/>
                <w:sz w:val="24"/>
                <w:szCs w:val="24"/>
              </w:rPr>
              <w:t>431,750</w:t>
            </w:r>
          </w:p>
        </w:tc>
        <w:tc>
          <w:tcPr>
            <w:tcW w:w="1842" w:type="dxa"/>
            <w:vAlign w:val="center"/>
          </w:tcPr>
          <w:p w:rsidR="002A1A59" w:rsidRDefault="00360B42">
            <w:pPr>
              <w:jc w:val="right"/>
            </w:pPr>
            <w:r>
              <w:rPr>
                <w:rFonts w:eastAsiaTheme="minorEastAsia"/>
                <w:kern w:val="0"/>
                <w:sz w:val="24"/>
                <w:szCs w:val="24"/>
              </w:rPr>
              <w:t>65,582,825.00</w:t>
            </w:r>
          </w:p>
        </w:tc>
        <w:tc>
          <w:tcPr>
            <w:tcW w:w="1616" w:type="dxa"/>
            <w:vAlign w:val="center"/>
          </w:tcPr>
          <w:p w:rsidR="002A1A59" w:rsidRDefault="00360B42">
            <w:pPr>
              <w:jc w:val="right"/>
            </w:pPr>
            <w:r>
              <w:rPr>
                <w:rFonts w:eastAsiaTheme="minorEastAsia"/>
                <w:kern w:val="0"/>
                <w:sz w:val="24"/>
                <w:szCs w:val="24"/>
              </w:rPr>
              <w:t>2.77</w:t>
            </w:r>
          </w:p>
        </w:tc>
      </w:tr>
      <w:tr w:rsidR="002A1A59">
        <w:tc>
          <w:tcPr>
            <w:tcW w:w="817" w:type="dxa"/>
            <w:vAlign w:val="center"/>
          </w:tcPr>
          <w:p w:rsidR="002A1A59" w:rsidRDefault="00360B42">
            <w:pPr>
              <w:jc w:val="center"/>
            </w:pPr>
            <w:r>
              <w:rPr>
                <w:rFonts w:eastAsiaTheme="minorEastAsia"/>
                <w:kern w:val="0"/>
                <w:sz w:val="24"/>
                <w:szCs w:val="24"/>
              </w:rPr>
              <w:t>10</w:t>
            </w:r>
          </w:p>
        </w:tc>
        <w:tc>
          <w:tcPr>
            <w:tcW w:w="1276" w:type="dxa"/>
            <w:vAlign w:val="center"/>
          </w:tcPr>
          <w:p w:rsidR="002A1A59" w:rsidRDefault="00360B42">
            <w:pPr>
              <w:jc w:val="center"/>
            </w:pPr>
            <w:r>
              <w:rPr>
                <w:rFonts w:eastAsiaTheme="minorEastAsia"/>
                <w:kern w:val="0"/>
                <w:sz w:val="24"/>
                <w:szCs w:val="24"/>
              </w:rPr>
              <w:t>300059</w:t>
            </w:r>
          </w:p>
        </w:tc>
        <w:tc>
          <w:tcPr>
            <w:tcW w:w="1701" w:type="dxa"/>
            <w:vAlign w:val="center"/>
          </w:tcPr>
          <w:p w:rsidR="002A1A59" w:rsidRDefault="00360B42">
            <w:pPr>
              <w:jc w:val="center"/>
            </w:pPr>
            <w:r>
              <w:rPr>
                <w:rFonts w:eastAsiaTheme="minorEastAsia"/>
                <w:kern w:val="0"/>
                <w:sz w:val="24"/>
                <w:szCs w:val="24"/>
              </w:rPr>
              <w:t>东方财富</w:t>
            </w:r>
          </w:p>
        </w:tc>
        <w:tc>
          <w:tcPr>
            <w:tcW w:w="1276" w:type="dxa"/>
            <w:vAlign w:val="center"/>
          </w:tcPr>
          <w:p w:rsidR="002A1A59" w:rsidRDefault="00360B42">
            <w:pPr>
              <w:jc w:val="right"/>
            </w:pPr>
            <w:r>
              <w:rPr>
                <w:rFonts w:eastAsiaTheme="minorEastAsia"/>
                <w:kern w:val="0"/>
                <w:sz w:val="24"/>
                <w:szCs w:val="24"/>
              </w:rPr>
              <w:t>1,768,203</w:t>
            </w:r>
          </w:p>
        </w:tc>
        <w:tc>
          <w:tcPr>
            <w:tcW w:w="1842" w:type="dxa"/>
            <w:vAlign w:val="center"/>
          </w:tcPr>
          <w:p w:rsidR="002A1A59" w:rsidRDefault="00360B42">
            <w:pPr>
              <w:jc w:val="right"/>
            </w:pPr>
            <w:r>
              <w:rPr>
                <w:rFonts w:eastAsiaTheme="minorEastAsia"/>
                <w:kern w:val="0"/>
                <w:sz w:val="24"/>
                <w:szCs w:val="24"/>
              </w:rPr>
              <w:t>60,773,137.11</w:t>
            </w:r>
          </w:p>
        </w:tc>
        <w:tc>
          <w:tcPr>
            <w:tcW w:w="1616" w:type="dxa"/>
            <w:vAlign w:val="center"/>
          </w:tcPr>
          <w:p w:rsidR="002A1A59" w:rsidRDefault="00360B42">
            <w:pPr>
              <w:jc w:val="right"/>
            </w:pPr>
            <w:r>
              <w:rPr>
                <w:rFonts w:eastAsiaTheme="minorEastAsia"/>
                <w:kern w:val="0"/>
                <w:sz w:val="24"/>
                <w:szCs w:val="24"/>
              </w:rPr>
              <w:t>2.57</w:t>
            </w:r>
          </w:p>
        </w:tc>
      </w:tr>
      <w:bookmarkEnd w:id="2"/>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599,214.69</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356,633.30</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57,576.56</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1,348,399.34</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2,361,823.89</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因四舍五入的原因，投资组合报告中分项之和与合计数可能存在尾差。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1,166,827,728.98</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84,427,655.59</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60,978,575.70</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1,190,276,808.87</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lastRenderedPageBreak/>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2A1A59" w:rsidRDefault="00360B42">
      <w:pPr>
        <w:spacing w:line="360" w:lineRule="auto"/>
        <w:ind w:firstLineChars="200" w:firstLine="420"/>
        <w:rPr>
          <w:rFonts w:eastAsiaTheme="minorEastAsia"/>
          <w:color w:val="000000" w:themeColor="text1"/>
        </w:rPr>
      </w:pPr>
      <w:r>
        <w:rPr>
          <w:rFonts w:eastAsiaTheme="minorEastAsia"/>
          <w:color w:val="000000" w:themeColor="text1"/>
        </w:rPr>
        <w:t>1</w:t>
      </w:r>
      <w:r>
        <w:rPr>
          <w:rFonts w:eastAsiaTheme="minorEastAsia"/>
          <w:color w:val="000000" w:themeColor="text1"/>
        </w:rPr>
        <w:t>、中国证监会批准上投摩根成长先锋混合型证券投资基金设立的文件；</w:t>
      </w:r>
    </w:p>
    <w:p w:rsidR="002A1A59" w:rsidRDefault="00360B42">
      <w:pPr>
        <w:spacing w:line="360" w:lineRule="auto"/>
        <w:ind w:firstLineChars="200" w:firstLine="420"/>
        <w:rPr>
          <w:rFonts w:eastAsiaTheme="minorEastAsia"/>
          <w:color w:val="000000" w:themeColor="text1"/>
        </w:rPr>
      </w:pPr>
      <w:r>
        <w:rPr>
          <w:rFonts w:eastAsiaTheme="minorEastAsia"/>
          <w:color w:val="000000" w:themeColor="text1"/>
        </w:rPr>
        <w:t>2</w:t>
      </w:r>
      <w:r>
        <w:rPr>
          <w:rFonts w:eastAsiaTheme="minorEastAsia"/>
          <w:color w:val="000000" w:themeColor="text1"/>
        </w:rPr>
        <w:t>、《上投摩根成长先锋混合型证券投资基金基金合同》；</w:t>
      </w:r>
    </w:p>
    <w:p w:rsidR="002A1A59" w:rsidRDefault="00360B42">
      <w:pPr>
        <w:spacing w:line="360" w:lineRule="auto"/>
        <w:ind w:firstLineChars="200" w:firstLine="420"/>
        <w:rPr>
          <w:rFonts w:eastAsiaTheme="minorEastAsia"/>
          <w:color w:val="000000" w:themeColor="text1"/>
        </w:rPr>
      </w:pPr>
      <w:r>
        <w:rPr>
          <w:rFonts w:eastAsiaTheme="minorEastAsia"/>
          <w:color w:val="000000" w:themeColor="text1"/>
        </w:rPr>
        <w:t>3</w:t>
      </w:r>
      <w:r>
        <w:rPr>
          <w:rFonts w:eastAsiaTheme="minorEastAsia"/>
          <w:color w:val="000000" w:themeColor="text1"/>
        </w:rPr>
        <w:t>、《上投摩根成长先锋混合型证券投资基金托管协议》；</w:t>
      </w:r>
    </w:p>
    <w:p w:rsidR="002A1A59" w:rsidRDefault="00360B42">
      <w:pPr>
        <w:spacing w:line="360" w:lineRule="auto"/>
        <w:ind w:firstLineChars="200" w:firstLine="420"/>
        <w:rPr>
          <w:rFonts w:eastAsiaTheme="minorEastAsia"/>
          <w:color w:val="000000" w:themeColor="text1"/>
        </w:rPr>
      </w:pPr>
      <w:r>
        <w:rPr>
          <w:rFonts w:eastAsiaTheme="minorEastAsia"/>
          <w:color w:val="000000" w:themeColor="text1"/>
        </w:rPr>
        <w:t>4</w:t>
      </w:r>
      <w:r>
        <w:rPr>
          <w:rFonts w:eastAsiaTheme="minorEastAsia"/>
          <w:color w:val="000000" w:themeColor="text1"/>
        </w:rPr>
        <w:t>、《上投摩根开放式基金业务规则》；</w:t>
      </w:r>
    </w:p>
    <w:p w:rsidR="002A1A59" w:rsidRDefault="00360B42">
      <w:pPr>
        <w:spacing w:line="360" w:lineRule="auto"/>
        <w:ind w:firstLineChars="200" w:firstLine="420"/>
        <w:rPr>
          <w:rFonts w:eastAsiaTheme="minorEastAsia"/>
          <w:color w:val="000000" w:themeColor="text1"/>
        </w:rPr>
      </w:pPr>
      <w:r>
        <w:rPr>
          <w:rFonts w:eastAsiaTheme="minorEastAsia"/>
          <w:color w:val="000000" w:themeColor="text1"/>
        </w:rPr>
        <w:t>5</w:t>
      </w:r>
      <w:r>
        <w:rPr>
          <w:rFonts w:eastAsiaTheme="minorEastAsia"/>
          <w:color w:val="000000" w:themeColor="text1"/>
        </w:rPr>
        <w:t>、</w:t>
      </w:r>
      <w:r>
        <w:rPr>
          <w:rFonts w:eastAsiaTheme="minorEastAsia"/>
          <w:color w:val="000000" w:themeColor="text1"/>
        </w:rPr>
        <w:t xml:space="preserve"> </w:t>
      </w:r>
      <w:r>
        <w:rPr>
          <w:rFonts w:eastAsiaTheme="minorEastAsia"/>
          <w:color w:val="000000" w:themeColor="text1"/>
        </w:rPr>
        <w:t>基金管理人业务资格批件、营业执照；</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6</w:t>
      </w:r>
      <w:r w:rsidRPr="00FF6B9A">
        <w:rPr>
          <w:rFonts w:eastAsiaTheme="minorEastAsia"/>
          <w:color w:val="000000" w:themeColor="text1"/>
        </w:rPr>
        <w:t>、基金托管人业务资格批件和营业执照。</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lastRenderedPageBreak/>
        <w:t>二〇二一年十月二十七日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360B42" w:rsidRPr="00360B42">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360B42">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上投摩根成长先锋混合型证券投资基金</w:t>
    </w:r>
    <w:r>
      <w:rPr>
        <w:rFonts w:hint="eastAsia"/>
      </w:rPr>
      <w:t>2021</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A1A5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0B42"/>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70C74B-3D4E-4BF1-8177-7691DA41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Wentian.Zhou@FA</cp:lastModifiedBy>
  <cp:revision>268</cp:revision>
  <dcterms:created xsi:type="dcterms:W3CDTF">2012-10-16T06:07:00Z</dcterms:created>
  <dcterms:modified xsi:type="dcterms:W3CDTF">2021-10-26T05:41:00Z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