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上投摩根成长先锋混合型证券投资基金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上投摩根成长先锋混合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378010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378010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2006</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20</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1,166,827,728.98</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本基金主要投资于国内市场上展现最佳成长特质的股票，积极捕捉高成长性上市公司所带来的投资机会，努力实现基金资产长期稳健增值。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A4243B" w:rsidRDefault="00BA33F6">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1</w:t>
            </w:r>
            <w:r>
              <w:rPr>
                <w:rFonts w:eastAsiaTheme="minorEastAsia"/>
                <w:color w:val="000000" w:themeColor="text1"/>
                <w:kern w:val="0"/>
              </w:rPr>
              <w:t>）股票投资策略</w:t>
            </w:r>
            <w:r>
              <w:rPr>
                <w:rFonts w:eastAsiaTheme="minorEastAsia"/>
                <w:color w:val="000000" w:themeColor="text1"/>
                <w:kern w:val="0"/>
              </w:rPr>
              <w:t xml:space="preserve"> </w:t>
            </w:r>
            <w:r>
              <w:rPr>
                <w:rFonts w:eastAsiaTheme="minorEastAsia"/>
                <w:color w:val="000000" w:themeColor="text1"/>
                <w:kern w:val="0"/>
              </w:rPr>
              <w:t>本基金采取定量分析与定性分析相结合方式，挖掘具有突出成长潜力且被当前市场低估的上市公司，主动出击、积极管理将是本基金运作的重要特色。</w:t>
            </w:r>
          </w:p>
          <w:p w:rsidR="00A4243B" w:rsidRDefault="00BA33F6">
            <w:pPr>
              <w:adjustRightInd w:val="0"/>
              <w:spacing w:before="29" w:line="360" w:lineRule="auto"/>
              <w:ind w:left="17"/>
              <w:rPr>
                <w:rFonts w:eastAsiaTheme="minorEastAsia"/>
                <w:color w:val="000000" w:themeColor="text1"/>
              </w:rPr>
            </w:pPr>
            <w:r>
              <w:rPr>
                <w:rFonts w:eastAsiaTheme="minorEastAsia"/>
                <w:color w:val="000000" w:themeColor="text1"/>
                <w:kern w:val="0"/>
              </w:rPr>
              <w:t>（</w:t>
            </w:r>
            <w:r>
              <w:rPr>
                <w:rFonts w:eastAsiaTheme="minorEastAsia"/>
                <w:color w:val="000000" w:themeColor="text1"/>
                <w:kern w:val="0"/>
              </w:rPr>
              <w:t>2</w:t>
            </w:r>
            <w:r>
              <w:rPr>
                <w:rFonts w:eastAsiaTheme="minorEastAsia"/>
                <w:color w:val="000000" w:themeColor="text1"/>
                <w:kern w:val="0"/>
              </w:rPr>
              <w:t>）固定收益类投资策略</w:t>
            </w:r>
            <w:r>
              <w:rPr>
                <w:rFonts w:eastAsiaTheme="minorEastAsia"/>
                <w:color w:val="000000" w:themeColor="text1"/>
                <w:kern w:val="0"/>
              </w:rPr>
              <w:t xml:space="preserve"> </w:t>
            </w:r>
            <w:r>
              <w:rPr>
                <w:rFonts w:eastAsiaTheme="minorEastAsia"/>
                <w:color w:val="000000" w:themeColor="text1"/>
                <w:kern w:val="0"/>
              </w:rPr>
              <w:t>本基金以股票投资为主，一般</w:t>
            </w:r>
            <w:r>
              <w:rPr>
                <w:rFonts w:eastAsiaTheme="minorEastAsia"/>
                <w:color w:val="000000" w:themeColor="text1"/>
                <w:kern w:val="0"/>
              </w:rPr>
              <w:lastRenderedPageBreak/>
              <w:t>市场情况下，基金管理人不会积极追求大类资产配置，但为进一步控制投资风险，优化组合流动性管理，本基金将适度防御性资产配置，进行债券、货币市场工具等品种投资。</w:t>
            </w:r>
            <w:r>
              <w:rPr>
                <w:rFonts w:eastAsiaTheme="minorEastAsia"/>
                <w:color w:val="000000" w:themeColor="text1"/>
                <w:kern w:val="0"/>
              </w:rPr>
              <w:t xml:space="preserve"> </w:t>
            </w:r>
            <w:r>
              <w:rPr>
                <w:rFonts w:eastAsiaTheme="minorEastAsia"/>
                <w:color w:val="000000" w:themeColor="text1"/>
                <w:kern w:val="0"/>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w:t>
            </w:r>
            <w:r w:rsidRPr="00FF6B9A">
              <w:rPr>
                <w:rFonts w:eastAsiaTheme="minorEastAsia"/>
                <w:color w:val="000000" w:themeColor="text1"/>
                <w:kern w:val="0"/>
              </w:rPr>
              <w:t>3</w:t>
            </w:r>
            <w:r w:rsidRPr="00FF6B9A">
              <w:rPr>
                <w:rFonts w:eastAsiaTheme="minorEastAsia"/>
                <w:color w:val="000000" w:themeColor="text1"/>
                <w:kern w:val="0"/>
              </w:rPr>
              <w:t>）存托凭证投资策略</w:t>
            </w:r>
            <w:r w:rsidRPr="00FF6B9A">
              <w:rPr>
                <w:rFonts w:eastAsiaTheme="minorEastAsia"/>
                <w:color w:val="000000" w:themeColor="text1"/>
                <w:kern w:val="0"/>
              </w:rPr>
              <w:t xml:space="preserve"> </w:t>
            </w:r>
            <w:r w:rsidRPr="00FF6B9A">
              <w:rPr>
                <w:rFonts w:eastAsiaTheme="minorEastAsia"/>
                <w:color w:val="000000" w:themeColor="text1"/>
                <w:kern w:val="0"/>
              </w:rPr>
              <w:t>本基金将根据本基金的投资目标和股票投资策略，基于对基础证券投资价值的深入研究判断，进行存托凭证的投资。</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沪深</w:t>
            </w:r>
            <w:r w:rsidRPr="00FF6B9A">
              <w:rPr>
                <w:rFonts w:eastAsiaTheme="minorEastAsia"/>
                <w:color w:val="000000" w:themeColor="text1"/>
                <w:kern w:val="0"/>
              </w:rPr>
              <w:t>300</w:t>
            </w:r>
            <w:r w:rsidRPr="00FF6B9A">
              <w:rPr>
                <w:rFonts w:eastAsiaTheme="minorEastAsia"/>
                <w:color w:val="000000" w:themeColor="text1"/>
                <w:kern w:val="0"/>
              </w:rPr>
              <w:t>指数收益率</w:t>
            </w:r>
            <w:r w:rsidRPr="00FF6B9A">
              <w:rPr>
                <w:rFonts w:eastAsiaTheme="minorEastAsia"/>
                <w:color w:val="000000" w:themeColor="text1"/>
                <w:kern w:val="0"/>
              </w:rPr>
              <w:t>×80%+</w:t>
            </w:r>
            <w:r w:rsidRPr="00FF6B9A">
              <w:rPr>
                <w:rFonts w:eastAsiaTheme="minorEastAsia"/>
                <w:color w:val="000000" w:themeColor="text1"/>
                <w:kern w:val="0"/>
              </w:rPr>
              <w:t>中债总指数收益率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A4243B" w:rsidRDefault="00BA33F6">
            <w:pPr>
              <w:adjustRightInd w:val="0"/>
              <w:spacing w:before="29" w:line="360" w:lineRule="auto"/>
              <w:ind w:left="17"/>
              <w:rPr>
                <w:rFonts w:eastAsiaTheme="minorEastAsia"/>
                <w:color w:val="000000" w:themeColor="text1"/>
              </w:rPr>
            </w:pPr>
            <w:r>
              <w:rPr>
                <w:rFonts w:eastAsiaTheme="minorEastAsia"/>
                <w:color w:val="000000" w:themeColor="text1"/>
                <w:kern w:val="0"/>
              </w:rPr>
              <w:t>本基金是主动型混合型基金，属于证券投资基金的较高风险品种，预期风险收益水平低于股票型基金，高于债券基金和货币市场基金。</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根据</w:t>
            </w:r>
            <w:r w:rsidRPr="00FF6B9A">
              <w:rPr>
                <w:rFonts w:eastAsiaTheme="minorEastAsia"/>
                <w:color w:val="000000" w:themeColor="text1"/>
                <w:kern w:val="0"/>
              </w:rPr>
              <w:t>2017</w:t>
            </w:r>
            <w:r w:rsidRPr="00FF6B9A">
              <w:rPr>
                <w:rFonts w:eastAsiaTheme="minorEastAsia"/>
                <w:color w:val="000000" w:themeColor="text1"/>
                <w:kern w:val="0"/>
              </w:rPr>
              <w:t>年</w:t>
            </w:r>
            <w:r w:rsidRPr="00FF6B9A">
              <w:rPr>
                <w:rFonts w:eastAsiaTheme="minorEastAsia"/>
                <w:color w:val="000000" w:themeColor="text1"/>
                <w:kern w:val="0"/>
              </w:rPr>
              <w:t>7</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A33F6" w:rsidRPr="00FF6B9A" w:rsidTr="00BA33F6">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lastRenderedPageBreak/>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BA33F6" w:rsidRPr="00FF6B9A" w:rsidTr="00BA33F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lastRenderedPageBreak/>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80,049,064.71</w:t>
            </w:r>
          </w:p>
        </w:tc>
      </w:tr>
      <w:tr w:rsidR="00BA33F6" w:rsidRPr="00FF6B9A" w:rsidTr="00BA33F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258,380,234.81</w:t>
            </w:r>
          </w:p>
        </w:tc>
      </w:tr>
      <w:tr w:rsidR="00BA33F6" w:rsidRPr="00FF6B9A" w:rsidTr="00BA33F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0.2270</w:t>
            </w:r>
          </w:p>
        </w:tc>
      </w:tr>
      <w:tr w:rsidR="00BA33F6" w:rsidRPr="00FF6B9A" w:rsidTr="00BA33F6">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2,276,632,391.52</w:t>
            </w:r>
          </w:p>
        </w:tc>
      </w:tr>
      <w:tr w:rsidR="00BA33F6" w:rsidRPr="00FF6B9A" w:rsidTr="00BA33F6">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1.9511</w:t>
            </w:r>
          </w:p>
        </w:tc>
      </w:tr>
    </w:tbl>
    <w:p w:rsidR="00A4243B" w:rsidRDefault="00BA33F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A4243B">
        <w:tc>
          <w:tcPr>
            <w:tcW w:w="1395" w:type="dxa"/>
            <w:vAlign w:val="center"/>
          </w:tcPr>
          <w:p w:rsidR="00A4243B" w:rsidRDefault="00BA33F6">
            <w:pPr>
              <w:jc w:val="left"/>
            </w:pPr>
            <w:r>
              <w:rPr>
                <w:rFonts w:eastAsiaTheme="minorEastAsia"/>
                <w:color w:val="000000" w:themeColor="text1"/>
                <w:kern w:val="0"/>
              </w:rPr>
              <w:t>过去三个月</w:t>
            </w:r>
          </w:p>
        </w:tc>
        <w:tc>
          <w:tcPr>
            <w:tcW w:w="1092" w:type="dxa"/>
            <w:vAlign w:val="center"/>
          </w:tcPr>
          <w:p w:rsidR="00A4243B" w:rsidRDefault="00BA33F6">
            <w:pPr>
              <w:jc w:val="center"/>
            </w:pPr>
            <w:r>
              <w:rPr>
                <w:rFonts w:eastAsiaTheme="minorEastAsia"/>
                <w:color w:val="000000" w:themeColor="text1"/>
                <w:kern w:val="0"/>
              </w:rPr>
              <w:t>13.12%</w:t>
            </w:r>
          </w:p>
        </w:tc>
        <w:tc>
          <w:tcPr>
            <w:tcW w:w="1161" w:type="dxa"/>
            <w:vAlign w:val="center"/>
          </w:tcPr>
          <w:p w:rsidR="00A4243B" w:rsidRDefault="00BA33F6">
            <w:pPr>
              <w:jc w:val="center"/>
            </w:pPr>
            <w:r>
              <w:rPr>
                <w:rFonts w:eastAsiaTheme="minorEastAsia"/>
                <w:color w:val="000000" w:themeColor="text1"/>
                <w:kern w:val="0"/>
              </w:rPr>
              <w:t>1.09%</w:t>
            </w:r>
          </w:p>
        </w:tc>
        <w:tc>
          <w:tcPr>
            <w:tcW w:w="1181" w:type="dxa"/>
            <w:vAlign w:val="center"/>
          </w:tcPr>
          <w:p w:rsidR="00A4243B" w:rsidRDefault="00BA33F6">
            <w:pPr>
              <w:jc w:val="center"/>
            </w:pPr>
            <w:r>
              <w:rPr>
                <w:rFonts w:eastAsiaTheme="minorEastAsia"/>
                <w:color w:val="000000" w:themeColor="text1"/>
                <w:kern w:val="0"/>
              </w:rPr>
              <w:t>2.88%</w:t>
            </w:r>
          </w:p>
        </w:tc>
        <w:tc>
          <w:tcPr>
            <w:tcW w:w="1188" w:type="dxa"/>
            <w:vAlign w:val="center"/>
          </w:tcPr>
          <w:p w:rsidR="00A4243B" w:rsidRDefault="00BA33F6">
            <w:pPr>
              <w:jc w:val="center"/>
            </w:pPr>
            <w:r>
              <w:rPr>
                <w:rFonts w:eastAsiaTheme="minorEastAsia"/>
                <w:color w:val="000000" w:themeColor="text1"/>
                <w:kern w:val="0"/>
              </w:rPr>
              <w:t>0.78%</w:t>
            </w:r>
          </w:p>
        </w:tc>
        <w:tc>
          <w:tcPr>
            <w:tcW w:w="1199" w:type="dxa"/>
            <w:vAlign w:val="center"/>
          </w:tcPr>
          <w:p w:rsidR="00A4243B" w:rsidRDefault="00BA33F6">
            <w:pPr>
              <w:jc w:val="center"/>
            </w:pPr>
            <w:r>
              <w:rPr>
                <w:rFonts w:eastAsiaTheme="minorEastAsia"/>
                <w:color w:val="000000" w:themeColor="text1"/>
                <w:kern w:val="0"/>
              </w:rPr>
              <w:t>10.24%</w:t>
            </w:r>
          </w:p>
        </w:tc>
        <w:tc>
          <w:tcPr>
            <w:tcW w:w="1204" w:type="dxa"/>
            <w:vAlign w:val="center"/>
          </w:tcPr>
          <w:p w:rsidR="00A4243B" w:rsidRDefault="00BA33F6">
            <w:pPr>
              <w:jc w:val="center"/>
            </w:pPr>
            <w:r>
              <w:rPr>
                <w:rFonts w:eastAsiaTheme="minorEastAsia"/>
                <w:color w:val="000000" w:themeColor="text1"/>
                <w:kern w:val="0"/>
              </w:rPr>
              <w:t>0.31%</w:t>
            </w:r>
          </w:p>
        </w:tc>
      </w:tr>
      <w:tr w:rsidR="00A4243B">
        <w:tc>
          <w:tcPr>
            <w:tcW w:w="1395" w:type="dxa"/>
            <w:vAlign w:val="center"/>
          </w:tcPr>
          <w:p w:rsidR="00A4243B" w:rsidRDefault="00BA33F6">
            <w:pPr>
              <w:jc w:val="left"/>
            </w:pPr>
            <w:r>
              <w:rPr>
                <w:rFonts w:eastAsiaTheme="minorEastAsia"/>
                <w:color w:val="000000" w:themeColor="text1"/>
                <w:kern w:val="0"/>
              </w:rPr>
              <w:t>过去六个月</w:t>
            </w:r>
          </w:p>
        </w:tc>
        <w:tc>
          <w:tcPr>
            <w:tcW w:w="1092" w:type="dxa"/>
            <w:vAlign w:val="center"/>
          </w:tcPr>
          <w:p w:rsidR="00A4243B" w:rsidRDefault="00BA33F6">
            <w:pPr>
              <w:jc w:val="center"/>
            </w:pPr>
            <w:r>
              <w:rPr>
                <w:rFonts w:eastAsiaTheme="minorEastAsia"/>
                <w:color w:val="000000" w:themeColor="text1"/>
                <w:kern w:val="0"/>
              </w:rPr>
              <w:t>13.19%</w:t>
            </w:r>
          </w:p>
        </w:tc>
        <w:tc>
          <w:tcPr>
            <w:tcW w:w="1161" w:type="dxa"/>
            <w:vAlign w:val="center"/>
          </w:tcPr>
          <w:p w:rsidR="00A4243B" w:rsidRDefault="00BA33F6">
            <w:pPr>
              <w:jc w:val="center"/>
            </w:pPr>
            <w:r>
              <w:rPr>
                <w:rFonts w:eastAsiaTheme="minorEastAsia"/>
                <w:color w:val="000000" w:themeColor="text1"/>
                <w:kern w:val="0"/>
              </w:rPr>
              <w:t>1.44%</w:t>
            </w:r>
          </w:p>
        </w:tc>
        <w:tc>
          <w:tcPr>
            <w:tcW w:w="1181" w:type="dxa"/>
            <w:vAlign w:val="center"/>
          </w:tcPr>
          <w:p w:rsidR="00A4243B" w:rsidRDefault="00BA33F6">
            <w:pPr>
              <w:jc w:val="center"/>
            </w:pPr>
            <w:r>
              <w:rPr>
                <w:rFonts w:eastAsiaTheme="minorEastAsia"/>
                <w:color w:val="000000" w:themeColor="text1"/>
                <w:kern w:val="0"/>
              </w:rPr>
              <w:t>0.24%</w:t>
            </w:r>
          </w:p>
        </w:tc>
        <w:tc>
          <w:tcPr>
            <w:tcW w:w="1188" w:type="dxa"/>
            <w:vAlign w:val="center"/>
          </w:tcPr>
          <w:p w:rsidR="00A4243B" w:rsidRDefault="00BA33F6">
            <w:pPr>
              <w:jc w:val="center"/>
            </w:pPr>
            <w:r>
              <w:rPr>
                <w:rFonts w:eastAsiaTheme="minorEastAsia"/>
                <w:color w:val="000000" w:themeColor="text1"/>
                <w:kern w:val="0"/>
              </w:rPr>
              <w:t>1.05%</w:t>
            </w:r>
          </w:p>
        </w:tc>
        <w:tc>
          <w:tcPr>
            <w:tcW w:w="1199" w:type="dxa"/>
            <w:vAlign w:val="center"/>
          </w:tcPr>
          <w:p w:rsidR="00A4243B" w:rsidRDefault="00BA33F6">
            <w:pPr>
              <w:jc w:val="center"/>
            </w:pPr>
            <w:r>
              <w:rPr>
                <w:rFonts w:eastAsiaTheme="minorEastAsia"/>
                <w:color w:val="000000" w:themeColor="text1"/>
                <w:kern w:val="0"/>
              </w:rPr>
              <w:t>12.95%</w:t>
            </w:r>
          </w:p>
        </w:tc>
        <w:tc>
          <w:tcPr>
            <w:tcW w:w="1204" w:type="dxa"/>
            <w:vAlign w:val="center"/>
          </w:tcPr>
          <w:p w:rsidR="00A4243B" w:rsidRDefault="00BA33F6">
            <w:pPr>
              <w:jc w:val="center"/>
            </w:pPr>
            <w:r>
              <w:rPr>
                <w:rFonts w:eastAsiaTheme="minorEastAsia"/>
                <w:color w:val="000000" w:themeColor="text1"/>
                <w:kern w:val="0"/>
              </w:rPr>
              <w:t>0.39%</w:t>
            </w:r>
          </w:p>
        </w:tc>
      </w:tr>
      <w:tr w:rsidR="00A4243B">
        <w:tc>
          <w:tcPr>
            <w:tcW w:w="1395" w:type="dxa"/>
            <w:vAlign w:val="center"/>
          </w:tcPr>
          <w:p w:rsidR="00A4243B" w:rsidRDefault="00BA33F6">
            <w:pPr>
              <w:jc w:val="left"/>
            </w:pPr>
            <w:r>
              <w:rPr>
                <w:rFonts w:eastAsiaTheme="minorEastAsia"/>
                <w:color w:val="000000" w:themeColor="text1"/>
                <w:kern w:val="0"/>
              </w:rPr>
              <w:t>过去一年</w:t>
            </w:r>
          </w:p>
        </w:tc>
        <w:tc>
          <w:tcPr>
            <w:tcW w:w="1092" w:type="dxa"/>
            <w:vAlign w:val="center"/>
          </w:tcPr>
          <w:p w:rsidR="00A4243B" w:rsidRDefault="00BA33F6">
            <w:pPr>
              <w:jc w:val="center"/>
            </w:pPr>
            <w:r>
              <w:rPr>
                <w:rFonts w:eastAsiaTheme="minorEastAsia"/>
                <w:color w:val="000000" w:themeColor="text1"/>
                <w:kern w:val="0"/>
              </w:rPr>
              <w:t>39.33%</w:t>
            </w:r>
          </w:p>
        </w:tc>
        <w:tc>
          <w:tcPr>
            <w:tcW w:w="1161" w:type="dxa"/>
            <w:vAlign w:val="center"/>
          </w:tcPr>
          <w:p w:rsidR="00A4243B" w:rsidRDefault="00BA33F6">
            <w:pPr>
              <w:jc w:val="center"/>
            </w:pPr>
            <w:r>
              <w:rPr>
                <w:rFonts w:eastAsiaTheme="minorEastAsia"/>
                <w:color w:val="000000" w:themeColor="text1"/>
                <w:kern w:val="0"/>
              </w:rPr>
              <w:t>1.49%</w:t>
            </w:r>
          </w:p>
        </w:tc>
        <w:tc>
          <w:tcPr>
            <w:tcW w:w="1181" w:type="dxa"/>
            <w:vAlign w:val="center"/>
          </w:tcPr>
          <w:p w:rsidR="00A4243B" w:rsidRDefault="00BA33F6">
            <w:pPr>
              <w:jc w:val="center"/>
            </w:pPr>
            <w:r>
              <w:rPr>
                <w:rFonts w:eastAsiaTheme="minorEastAsia"/>
                <w:color w:val="000000" w:themeColor="text1"/>
                <w:kern w:val="0"/>
              </w:rPr>
              <w:t>20.22%</w:t>
            </w:r>
          </w:p>
        </w:tc>
        <w:tc>
          <w:tcPr>
            <w:tcW w:w="1188" w:type="dxa"/>
            <w:vAlign w:val="center"/>
          </w:tcPr>
          <w:p w:rsidR="00A4243B" w:rsidRDefault="00BA33F6">
            <w:pPr>
              <w:jc w:val="center"/>
            </w:pPr>
            <w:r>
              <w:rPr>
                <w:rFonts w:eastAsiaTheme="minorEastAsia"/>
                <w:color w:val="000000" w:themeColor="text1"/>
                <w:kern w:val="0"/>
              </w:rPr>
              <w:t>1.06%</w:t>
            </w:r>
          </w:p>
        </w:tc>
        <w:tc>
          <w:tcPr>
            <w:tcW w:w="1199" w:type="dxa"/>
            <w:vAlign w:val="center"/>
          </w:tcPr>
          <w:p w:rsidR="00A4243B" w:rsidRDefault="00BA33F6">
            <w:pPr>
              <w:jc w:val="center"/>
            </w:pPr>
            <w:r>
              <w:rPr>
                <w:rFonts w:eastAsiaTheme="minorEastAsia"/>
                <w:color w:val="000000" w:themeColor="text1"/>
                <w:kern w:val="0"/>
              </w:rPr>
              <w:t>19.11%</w:t>
            </w:r>
          </w:p>
        </w:tc>
        <w:tc>
          <w:tcPr>
            <w:tcW w:w="1204" w:type="dxa"/>
            <w:vAlign w:val="center"/>
          </w:tcPr>
          <w:p w:rsidR="00A4243B" w:rsidRDefault="00BA33F6">
            <w:pPr>
              <w:jc w:val="center"/>
            </w:pPr>
            <w:r>
              <w:rPr>
                <w:rFonts w:eastAsiaTheme="minorEastAsia"/>
                <w:color w:val="000000" w:themeColor="text1"/>
                <w:kern w:val="0"/>
              </w:rPr>
              <w:t>0.43%</w:t>
            </w:r>
          </w:p>
        </w:tc>
      </w:tr>
      <w:tr w:rsidR="00A4243B">
        <w:tc>
          <w:tcPr>
            <w:tcW w:w="1395" w:type="dxa"/>
            <w:vAlign w:val="center"/>
          </w:tcPr>
          <w:p w:rsidR="00A4243B" w:rsidRDefault="00BA33F6">
            <w:pPr>
              <w:jc w:val="left"/>
            </w:pPr>
            <w:r>
              <w:rPr>
                <w:rFonts w:eastAsiaTheme="minorEastAsia"/>
                <w:color w:val="000000" w:themeColor="text1"/>
                <w:kern w:val="0"/>
              </w:rPr>
              <w:t>过去三年</w:t>
            </w:r>
          </w:p>
        </w:tc>
        <w:tc>
          <w:tcPr>
            <w:tcW w:w="1092" w:type="dxa"/>
            <w:vAlign w:val="center"/>
          </w:tcPr>
          <w:p w:rsidR="00A4243B" w:rsidRDefault="00BA33F6">
            <w:pPr>
              <w:jc w:val="center"/>
            </w:pPr>
            <w:r>
              <w:rPr>
                <w:rFonts w:eastAsiaTheme="minorEastAsia"/>
                <w:color w:val="000000" w:themeColor="text1"/>
                <w:kern w:val="0"/>
              </w:rPr>
              <w:t>120.84%</w:t>
            </w:r>
          </w:p>
        </w:tc>
        <w:tc>
          <w:tcPr>
            <w:tcW w:w="1161" w:type="dxa"/>
            <w:vAlign w:val="center"/>
          </w:tcPr>
          <w:p w:rsidR="00A4243B" w:rsidRDefault="00BA33F6">
            <w:pPr>
              <w:jc w:val="center"/>
            </w:pPr>
            <w:r>
              <w:rPr>
                <w:rFonts w:eastAsiaTheme="minorEastAsia"/>
                <w:color w:val="000000" w:themeColor="text1"/>
                <w:kern w:val="0"/>
              </w:rPr>
              <w:t>1.40%</w:t>
            </w:r>
          </w:p>
        </w:tc>
        <w:tc>
          <w:tcPr>
            <w:tcW w:w="1181" w:type="dxa"/>
            <w:vAlign w:val="center"/>
          </w:tcPr>
          <w:p w:rsidR="00A4243B" w:rsidRDefault="00BA33F6">
            <w:pPr>
              <w:jc w:val="center"/>
            </w:pPr>
            <w:r>
              <w:rPr>
                <w:rFonts w:eastAsiaTheme="minorEastAsia"/>
                <w:color w:val="000000" w:themeColor="text1"/>
                <w:kern w:val="0"/>
              </w:rPr>
              <w:t>39.89%</w:t>
            </w:r>
          </w:p>
        </w:tc>
        <w:tc>
          <w:tcPr>
            <w:tcW w:w="1188" w:type="dxa"/>
            <w:vAlign w:val="center"/>
          </w:tcPr>
          <w:p w:rsidR="00A4243B" w:rsidRDefault="00BA33F6">
            <w:pPr>
              <w:jc w:val="center"/>
            </w:pPr>
            <w:r>
              <w:rPr>
                <w:rFonts w:eastAsiaTheme="minorEastAsia"/>
                <w:color w:val="000000" w:themeColor="text1"/>
                <w:kern w:val="0"/>
              </w:rPr>
              <w:t>1.09%</w:t>
            </w:r>
          </w:p>
        </w:tc>
        <w:tc>
          <w:tcPr>
            <w:tcW w:w="1199" w:type="dxa"/>
            <w:vAlign w:val="center"/>
          </w:tcPr>
          <w:p w:rsidR="00A4243B" w:rsidRDefault="00BA33F6">
            <w:pPr>
              <w:jc w:val="center"/>
            </w:pPr>
            <w:r>
              <w:rPr>
                <w:rFonts w:eastAsiaTheme="minorEastAsia"/>
                <w:color w:val="000000" w:themeColor="text1"/>
                <w:kern w:val="0"/>
              </w:rPr>
              <w:t>80.95%</w:t>
            </w:r>
          </w:p>
        </w:tc>
        <w:tc>
          <w:tcPr>
            <w:tcW w:w="1204" w:type="dxa"/>
            <w:vAlign w:val="center"/>
          </w:tcPr>
          <w:p w:rsidR="00A4243B" w:rsidRDefault="00BA33F6">
            <w:pPr>
              <w:jc w:val="center"/>
            </w:pPr>
            <w:r>
              <w:rPr>
                <w:rFonts w:eastAsiaTheme="minorEastAsia"/>
                <w:color w:val="000000" w:themeColor="text1"/>
                <w:kern w:val="0"/>
              </w:rPr>
              <w:t>0.31%</w:t>
            </w:r>
          </w:p>
        </w:tc>
      </w:tr>
      <w:tr w:rsidR="00A4243B">
        <w:tc>
          <w:tcPr>
            <w:tcW w:w="1395" w:type="dxa"/>
            <w:vAlign w:val="center"/>
          </w:tcPr>
          <w:p w:rsidR="00A4243B" w:rsidRDefault="00BA33F6">
            <w:pPr>
              <w:jc w:val="left"/>
            </w:pPr>
            <w:r>
              <w:rPr>
                <w:rFonts w:eastAsiaTheme="minorEastAsia"/>
                <w:color w:val="000000" w:themeColor="text1"/>
                <w:kern w:val="0"/>
              </w:rPr>
              <w:t>过去五年</w:t>
            </w:r>
          </w:p>
        </w:tc>
        <w:tc>
          <w:tcPr>
            <w:tcW w:w="1092" w:type="dxa"/>
            <w:vAlign w:val="center"/>
          </w:tcPr>
          <w:p w:rsidR="00A4243B" w:rsidRDefault="00BA33F6">
            <w:pPr>
              <w:jc w:val="center"/>
            </w:pPr>
            <w:r>
              <w:rPr>
                <w:rFonts w:eastAsiaTheme="minorEastAsia"/>
                <w:color w:val="000000" w:themeColor="text1"/>
                <w:kern w:val="0"/>
              </w:rPr>
              <w:t>135.58%</w:t>
            </w:r>
          </w:p>
        </w:tc>
        <w:tc>
          <w:tcPr>
            <w:tcW w:w="1161" w:type="dxa"/>
            <w:vAlign w:val="center"/>
          </w:tcPr>
          <w:p w:rsidR="00A4243B" w:rsidRDefault="00BA33F6">
            <w:pPr>
              <w:jc w:val="center"/>
            </w:pPr>
            <w:r>
              <w:rPr>
                <w:rFonts w:eastAsiaTheme="minorEastAsia"/>
                <w:color w:val="000000" w:themeColor="text1"/>
                <w:kern w:val="0"/>
              </w:rPr>
              <w:t>1.22%</w:t>
            </w:r>
          </w:p>
        </w:tc>
        <w:tc>
          <w:tcPr>
            <w:tcW w:w="1181" w:type="dxa"/>
            <w:vAlign w:val="center"/>
          </w:tcPr>
          <w:p w:rsidR="00A4243B" w:rsidRDefault="00BA33F6">
            <w:pPr>
              <w:jc w:val="center"/>
            </w:pPr>
            <w:r>
              <w:rPr>
                <w:rFonts w:eastAsiaTheme="minorEastAsia"/>
                <w:color w:val="000000" w:themeColor="text1"/>
                <w:kern w:val="0"/>
              </w:rPr>
              <w:t>52.80%</w:t>
            </w:r>
          </w:p>
        </w:tc>
        <w:tc>
          <w:tcPr>
            <w:tcW w:w="1188" w:type="dxa"/>
            <w:vAlign w:val="center"/>
          </w:tcPr>
          <w:p w:rsidR="00A4243B" w:rsidRDefault="00BA33F6">
            <w:pPr>
              <w:jc w:val="center"/>
            </w:pPr>
            <w:r>
              <w:rPr>
                <w:rFonts w:eastAsiaTheme="minorEastAsia"/>
                <w:color w:val="000000" w:themeColor="text1"/>
                <w:kern w:val="0"/>
              </w:rPr>
              <w:t>0.94%</w:t>
            </w:r>
          </w:p>
        </w:tc>
        <w:tc>
          <w:tcPr>
            <w:tcW w:w="1199" w:type="dxa"/>
            <w:vAlign w:val="center"/>
          </w:tcPr>
          <w:p w:rsidR="00A4243B" w:rsidRDefault="00BA33F6">
            <w:pPr>
              <w:jc w:val="center"/>
            </w:pPr>
            <w:r>
              <w:rPr>
                <w:rFonts w:eastAsiaTheme="minorEastAsia"/>
                <w:color w:val="000000" w:themeColor="text1"/>
                <w:kern w:val="0"/>
              </w:rPr>
              <w:t>82.78%</w:t>
            </w:r>
          </w:p>
        </w:tc>
        <w:tc>
          <w:tcPr>
            <w:tcW w:w="1204" w:type="dxa"/>
            <w:vAlign w:val="center"/>
          </w:tcPr>
          <w:p w:rsidR="00A4243B" w:rsidRDefault="00BA33F6">
            <w:pPr>
              <w:jc w:val="center"/>
            </w:pPr>
            <w:r>
              <w:rPr>
                <w:rFonts w:eastAsiaTheme="minorEastAsia"/>
                <w:color w:val="000000" w:themeColor="text1"/>
                <w:kern w:val="0"/>
              </w:rPr>
              <w:t>0.28%</w:t>
            </w:r>
          </w:p>
        </w:tc>
      </w:tr>
      <w:tr w:rsidR="00A4243B">
        <w:tc>
          <w:tcPr>
            <w:tcW w:w="1395" w:type="dxa"/>
            <w:vAlign w:val="center"/>
          </w:tcPr>
          <w:p w:rsidR="00A4243B" w:rsidRDefault="00BA33F6">
            <w:pPr>
              <w:jc w:val="left"/>
            </w:pPr>
            <w:r>
              <w:rPr>
                <w:rFonts w:eastAsiaTheme="minorEastAsia"/>
                <w:color w:val="000000" w:themeColor="text1"/>
                <w:kern w:val="0"/>
              </w:rPr>
              <w:t>自基金合同生效起至今</w:t>
            </w:r>
          </w:p>
        </w:tc>
        <w:tc>
          <w:tcPr>
            <w:tcW w:w="1092" w:type="dxa"/>
            <w:vAlign w:val="center"/>
          </w:tcPr>
          <w:p w:rsidR="00A4243B" w:rsidRDefault="00BA33F6">
            <w:pPr>
              <w:jc w:val="center"/>
            </w:pPr>
            <w:r>
              <w:rPr>
                <w:rFonts w:eastAsiaTheme="minorEastAsia"/>
                <w:color w:val="000000" w:themeColor="text1"/>
                <w:kern w:val="0"/>
              </w:rPr>
              <w:t>359.28%</w:t>
            </w:r>
          </w:p>
        </w:tc>
        <w:tc>
          <w:tcPr>
            <w:tcW w:w="1161" w:type="dxa"/>
            <w:vAlign w:val="center"/>
          </w:tcPr>
          <w:p w:rsidR="00A4243B" w:rsidRDefault="00BA33F6">
            <w:pPr>
              <w:jc w:val="center"/>
            </w:pPr>
            <w:r>
              <w:rPr>
                <w:rFonts w:eastAsiaTheme="minorEastAsia"/>
                <w:color w:val="000000" w:themeColor="text1"/>
                <w:kern w:val="0"/>
              </w:rPr>
              <w:t>1.62%</w:t>
            </w:r>
          </w:p>
        </w:tc>
        <w:tc>
          <w:tcPr>
            <w:tcW w:w="1181" w:type="dxa"/>
            <w:vAlign w:val="center"/>
          </w:tcPr>
          <w:p w:rsidR="00A4243B" w:rsidRDefault="00BA33F6">
            <w:pPr>
              <w:jc w:val="center"/>
            </w:pPr>
            <w:r>
              <w:rPr>
                <w:rFonts w:eastAsiaTheme="minorEastAsia"/>
                <w:color w:val="000000" w:themeColor="text1"/>
                <w:kern w:val="0"/>
              </w:rPr>
              <w:t>199.00%</w:t>
            </w:r>
          </w:p>
        </w:tc>
        <w:tc>
          <w:tcPr>
            <w:tcW w:w="1188" w:type="dxa"/>
            <w:vAlign w:val="center"/>
          </w:tcPr>
          <w:p w:rsidR="00A4243B" w:rsidRDefault="00BA33F6">
            <w:pPr>
              <w:jc w:val="center"/>
            </w:pPr>
            <w:r>
              <w:rPr>
                <w:rFonts w:eastAsiaTheme="minorEastAsia"/>
                <w:color w:val="000000" w:themeColor="text1"/>
                <w:kern w:val="0"/>
              </w:rPr>
              <w:t>1.38%</w:t>
            </w:r>
          </w:p>
        </w:tc>
        <w:tc>
          <w:tcPr>
            <w:tcW w:w="1199" w:type="dxa"/>
            <w:vAlign w:val="center"/>
          </w:tcPr>
          <w:p w:rsidR="00A4243B" w:rsidRDefault="00BA33F6">
            <w:pPr>
              <w:jc w:val="center"/>
            </w:pPr>
            <w:r>
              <w:rPr>
                <w:rFonts w:eastAsiaTheme="minorEastAsia"/>
                <w:color w:val="000000" w:themeColor="text1"/>
                <w:kern w:val="0"/>
              </w:rPr>
              <w:t>160.28%</w:t>
            </w:r>
          </w:p>
        </w:tc>
        <w:tc>
          <w:tcPr>
            <w:tcW w:w="1204" w:type="dxa"/>
            <w:vAlign w:val="center"/>
          </w:tcPr>
          <w:p w:rsidR="00A4243B" w:rsidRDefault="00BA33F6">
            <w:pPr>
              <w:jc w:val="center"/>
            </w:pPr>
            <w:r>
              <w:rPr>
                <w:rFonts w:eastAsiaTheme="minorEastAsia"/>
                <w:color w:val="000000" w:themeColor="text1"/>
                <w:kern w:val="0"/>
              </w:rPr>
              <w:t>0.24%</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上投摩根成长先锋混合型证券投资基金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(2006</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20</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A4243B" w:rsidRDefault="00BA33F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2006</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日，图示的时间段为合同生效日至本报告期末。</w:t>
      </w:r>
    </w:p>
    <w:p w:rsidR="00A4243B" w:rsidRDefault="00BA33F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本基金建仓期为本基金合同生效日起</w:t>
      </w:r>
      <w:r>
        <w:rPr>
          <w:rFonts w:eastAsiaTheme="minorEastAsia"/>
          <w:color w:val="000000" w:themeColor="text1"/>
        </w:rPr>
        <w:t>6</w:t>
      </w:r>
      <w:r>
        <w:rPr>
          <w:rFonts w:eastAsiaTheme="minorEastAsia"/>
          <w:color w:val="000000" w:themeColor="text1"/>
        </w:rPr>
        <w:t>个月，建仓期结束时资产配置比例符合本基金基金合同规定。</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本基金的业绩比较基准于</w:t>
      </w:r>
      <w:r w:rsidRPr="00FF6B9A">
        <w:rPr>
          <w:rFonts w:eastAsiaTheme="minorEastAsia"/>
          <w:color w:val="000000" w:themeColor="text1"/>
        </w:rPr>
        <w:t>2013</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7</w:t>
      </w:r>
      <w:r w:rsidRPr="00FF6B9A">
        <w:rPr>
          <w:rFonts w:eastAsiaTheme="minorEastAsia"/>
          <w:color w:val="000000" w:themeColor="text1"/>
        </w:rPr>
        <w:t>日由原</w:t>
      </w:r>
      <w:r w:rsidRPr="00FF6B9A">
        <w:rPr>
          <w:rFonts w:eastAsiaTheme="minorEastAsia"/>
          <w:color w:val="000000" w:themeColor="text1"/>
        </w:rPr>
        <w:t>“</w:t>
      </w:r>
      <w:r w:rsidRPr="00FF6B9A">
        <w:rPr>
          <w:rFonts w:eastAsiaTheme="minorEastAsia"/>
          <w:color w:val="000000" w:themeColor="text1"/>
        </w:rPr>
        <w:t>富时中国</w:t>
      </w:r>
      <w:r w:rsidRPr="00FF6B9A">
        <w:rPr>
          <w:rFonts w:eastAsiaTheme="minorEastAsia"/>
          <w:color w:val="000000" w:themeColor="text1"/>
        </w:rPr>
        <w:t>A600</w:t>
      </w:r>
      <w:r w:rsidRPr="00FF6B9A">
        <w:rPr>
          <w:rFonts w:eastAsiaTheme="minorEastAsia"/>
          <w:color w:val="000000" w:themeColor="text1"/>
        </w:rPr>
        <w:t>成长指数</w:t>
      </w:r>
      <w:r w:rsidRPr="00FF6B9A">
        <w:rPr>
          <w:rFonts w:eastAsiaTheme="minorEastAsia"/>
          <w:color w:val="000000" w:themeColor="text1"/>
        </w:rPr>
        <w:t>×80%+</w:t>
      </w:r>
      <w:r w:rsidRPr="00FF6B9A">
        <w:rPr>
          <w:rFonts w:eastAsiaTheme="minorEastAsia"/>
          <w:color w:val="000000" w:themeColor="text1"/>
        </w:rPr>
        <w:t>同业存款利率</w:t>
      </w:r>
      <w:r w:rsidRPr="00FF6B9A">
        <w:rPr>
          <w:rFonts w:eastAsiaTheme="minorEastAsia"/>
          <w:color w:val="000000" w:themeColor="text1"/>
        </w:rPr>
        <w:t>×20%”</w:t>
      </w:r>
      <w:r w:rsidRPr="00FF6B9A">
        <w:rPr>
          <w:rFonts w:eastAsiaTheme="minorEastAsia"/>
          <w:color w:val="000000" w:themeColor="text1"/>
        </w:rPr>
        <w:t>变更为</w:t>
      </w:r>
      <w:r w:rsidRPr="00FF6B9A">
        <w:rPr>
          <w:rFonts w:eastAsiaTheme="minorEastAsia"/>
          <w:color w:val="000000" w:themeColor="text1"/>
        </w:rPr>
        <w:t>“</w:t>
      </w:r>
      <w:r w:rsidRPr="00FF6B9A">
        <w:rPr>
          <w:rFonts w:eastAsiaTheme="minorEastAsia"/>
          <w:color w:val="000000" w:themeColor="text1"/>
        </w:rPr>
        <w:t>沪深</w:t>
      </w:r>
      <w:r w:rsidRPr="00FF6B9A">
        <w:rPr>
          <w:rFonts w:eastAsiaTheme="minorEastAsia"/>
          <w:color w:val="000000" w:themeColor="text1"/>
        </w:rPr>
        <w:t>300</w:t>
      </w:r>
      <w:r w:rsidRPr="00FF6B9A">
        <w:rPr>
          <w:rFonts w:eastAsiaTheme="minorEastAsia"/>
          <w:color w:val="000000" w:themeColor="text1"/>
        </w:rPr>
        <w:t>指数收益率</w:t>
      </w:r>
      <w:r w:rsidRPr="00FF6B9A">
        <w:rPr>
          <w:rFonts w:eastAsiaTheme="minorEastAsia"/>
          <w:color w:val="000000" w:themeColor="text1"/>
        </w:rPr>
        <w:t>×80%+</w:t>
      </w:r>
      <w:r w:rsidRPr="00FF6B9A">
        <w:rPr>
          <w:rFonts w:eastAsiaTheme="minorEastAsia"/>
          <w:color w:val="000000" w:themeColor="text1"/>
        </w:rPr>
        <w:t>中债总指数收益率</w:t>
      </w:r>
      <w:r w:rsidRPr="00FF6B9A">
        <w:rPr>
          <w:rFonts w:eastAsiaTheme="minorEastAsia"/>
          <w:color w:val="000000" w:themeColor="text1"/>
        </w:rPr>
        <w:t>×20%”</w:t>
      </w:r>
      <w:r w:rsidRPr="00FF6B9A">
        <w:rPr>
          <w:rFonts w:eastAsiaTheme="minorEastAsia"/>
          <w:color w:val="000000" w:themeColor="text1"/>
        </w:rPr>
        <w:t>。</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A4243B">
        <w:tc>
          <w:tcPr>
            <w:tcW w:w="851" w:type="dxa"/>
            <w:vAlign w:val="center"/>
          </w:tcPr>
          <w:p w:rsidR="00A4243B" w:rsidRDefault="00BA33F6">
            <w:pPr>
              <w:jc w:val="center"/>
            </w:pPr>
            <w:r>
              <w:rPr>
                <w:rFonts w:eastAsiaTheme="minorEastAsia"/>
                <w:color w:val="000000" w:themeColor="text1"/>
              </w:rPr>
              <w:t>倪权生</w:t>
            </w:r>
          </w:p>
        </w:tc>
        <w:tc>
          <w:tcPr>
            <w:tcW w:w="850" w:type="dxa"/>
            <w:vAlign w:val="center"/>
          </w:tcPr>
          <w:p w:rsidR="00A4243B" w:rsidRDefault="00BA33F6">
            <w:pPr>
              <w:jc w:val="center"/>
            </w:pPr>
            <w:r>
              <w:rPr>
                <w:rFonts w:eastAsiaTheme="minorEastAsia"/>
                <w:color w:val="000000" w:themeColor="text1"/>
              </w:rPr>
              <w:t>本基金基金经理</w:t>
            </w:r>
          </w:p>
        </w:tc>
        <w:tc>
          <w:tcPr>
            <w:tcW w:w="1560" w:type="dxa"/>
            <w:vAlign w:val="center"/>
          </w:tcPr>
          <w:p w:rsidR="00A4243B" w:rsidRDefault="00BA33F6">
            <w:pPr>
              <w:jc w:val="center"/>
            </w:pPr>
            <w:r>
              <w:rPr>
                <w:rFonts w:eastAsiaTheme="minorEastAsia"/>
                <w:color w:val="000000" w:themeColor="text1"/>
              </w:rPr>
              <w:t>2019-12-27</w:t>
            </w:r>
          </w:p>
        </w:tc>
        <w:tc>
          <w:tcPr>
            <w:tcW w:w="1559" w:type="dxa"/>
            <w:vAlign w:val="center"/>
          </w:tcPr>
          <w:p w:rsidR="00A4243B" w:rsidRDefault="00BA33F6">
            <w:pPr>
              <w:jc w:val="center"/>
            </w:pPr>
            <w:r>
              <w:rPr>
                <w:rFonts w:eastAsiaTheme="minorEastAsia"/>
                <w:color w:val="000000" w:themeColor="text1"/>
              </w:rPr>
              <w:t>-</w:t>
            </w:r>
          </w:p>
        </w:tc>
        <w:tc>
          <w:tcPr>
            <w:tcW w:w="1417" w:type="dxa"/>
            <w:vAlign w:val="center"/>
          </w:tcPr>
          <w:p w:rsidR="00A4243B" w:rsidRDefault="00BA33F6">
            <w:pPr>
              <w:jc w:val="center"/>
            </w:pPr>
            <w:r>
              <w:rPr>
                <w:rFonts w:eastAsiaTheme="minorEastAsia"/>
                <w:color w:val="000000" w:themeColor="text1"/>
              </w:rPr>
              <w:t>10</w:t>
            </w:r>
            <w:r>
              <w:rPr>
                <w:rFonts w:eastAsiaTheme="minorEastAsia"/>
                <w:color w:val="000000" w:themeColor="text1"/>
              </w:rPr>
              <w:t>年</w:t>
            </w:r>
          </w:p>
        </w:tc>
        <w:tc>
          <w:tcPr>
            <w:tcW w:w="2694" w:type="dxa"/>
            <w:vAlign w:val="center"/>
          </w:tcPr>
          <w:p w:rsidR="00A4243B" w:rsidRDefault="00BA33F6">
            <w:r>
              <w:rPr>
                <w:rFonts w:eastAsiaTheme="minorEastAsia"/>
                <w:color w:val="000000" w:themeColor="text1"/>
              </w:rPr>
              <w:t>倪权生先生，上海交通大学金融学博士。自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月，在博时基金管理有限公司任高级研究员；</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月，在浙商基金管理有限公司历任投资经理助理、基金经理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月起加入上投摩根基金管理有限公司，</w:t>
            </w:r>
            <w:r>
              <w:rPr>
                <w:rFonts w:eastAsiaTheme="minorEastAsia"/>
                <w:color w:val="000000" w:themeColor="text1"/>
              </w:rPr>
              <w:lastRenderedPageBreak/>
              <w:t>现任国内权益投资部领先组副组长兼资深基金经理。自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月起任上投摩根成长先锋混合型证券投资基金基金经理。</w:t>
            </w:r>
          </w:p>
        </w:tc>
      </w:tr>
    </w:tbl>
    <w:p w:rsidR="00A4243B" w:rsidRDefault="00BA33F6">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2.</w:t>
      </w:r>
      <w:r w:rsidRPr="00FF6B9A">
        <w:rPr>
          <w:rFonts w:eastAsiaTheme="minorEastAsia"/>
          <w:color w:val="000000" w:themeColor="text1"/>
        </w:rPr>
        <w:t>证券从业的含义遵从行业协会《证券业从业人员资格管理办法》的相关规定。</w:t>
      </w:r>
    </w:p>
    <w:p w:rsidR="00454D20" w:rsidRPr="00FF6B9A" w:rsidRDefault="00454D20" w:rsidP="00454D20">
      <w:pPr>
        <w:autoSpaceDE w:val="0"/>
        <w:autoSpaceDN w:val="0"/>
        <w:adjustRightInd w:val="0"/>
        <w:spacing w:line="360" w:lineRule="auto"/>
        <w:jc w:val="left"/>
        <w:rPr>
          <w:rFonts w:eastAsia="Times New Roman"/>
          <w:b/>
          <w:color w:val="000000"/>
          <w:kern w:val="0"/>
          <w:sz w:val="24"/>
        </w:rPr>
      </w:pPr>
      <w:bookmarkStart w:id="1" w:name="_Hlk44921484"/>
      <w:r w:rsidRPr="00FF6B9A">
        <w:rPr>
          <w:b/>
          <w:color w:val="000000"/>
          <w:kern w:val="0"/>
          <w:sz w:val="24"/>
        </w:rPr>
        <w:t>4</w:t>
      </w:r>
      <w:r w:rsidRPr="00FF6B9A">
        <w:rPr>
          <w:rFonts w:eastAsia="Times New Roman"/>
          <w:b/>
          <w:color w:val="000000"/>
          <w:kern w:val="0"/>
          <w:sz w:val="24"/>
        </w:rPr>
        <w:t>.</w:t>
      </w:r>
      <w:r w:rsidRPr="00FF6B9A">
        <w:rPr>
          <w:b/>
          <w:color w:val="000000"/>
          <w:kern w:val="0"/>
          <w:sz w:val="24"/>
        </w:rPr>
        <w:t xml:space="preserve">1.1 </w:t>
      </w:r>
      <w:r w:rsidRPr="00FF6B9A">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454D20" w:rsidRPr="00FF6B9A" w:rsidTr="00454D20">
        <w:tc>
          <w:tcPr>
            <w:tcW w:w="959"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资产净值</w:t>
            </w:r>
            <w:r w:rsidRPr="00FF6B9A">
              <w:rPr>
                <w:rFonts w:eastAsiaTheme="minorEastAsia"/>
                <w:color w:val="000000"/>
              </w:rPr>
              <w:t>(</w:t>
            </w:r>
            <w:r w:rsidRPr="00FF6B9A">
              <w:rPr>
                <w:rFonts w:eastAsiaTheme="minorEastAsia"/>
                <w:color w:val="000000"/>
              </w:rPr>
              <w:t>元</w:t>
            </w: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spacing w:line="288" w:lineRule="auto"/>
              <w:jc w:val="left"/>
              <w:rPr>
                <w:rFonts w:eastAsiaTheme="minorEastAsia"/>
                <w:color w:val="000000"/>
              </w:rPr>
            </w:pPr>
            <w:r w:rsidRPr="00FF6B9A">
              <w:rPr>
                <w:rFonts w:eastAsiaTheme="minorEastAsia"/>
                <w:color w:val="000000"/>
              </w:rPr>
              <w:t>任职时间</w:t>
            </w:r>
          </w:p>
        </w:tc>
      </w:tr>
      <w:tr w:rsidR="00454D20" w:rsidRPr="00FF6B9A" w:rsidTr="00454D20">
        <w:tc>
          <w:tcPr>
            <w:tcW w:w="959" w:type="dxa"/>
            <w:vMerge w:val="restart"/>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倪权生</w:t>
            </w: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公募基金</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2,276,632,391.52</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2015-03-30</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1</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292,454,387.50</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2021-04-12</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其他组合</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c>
          <w:tcPr>
            <w:tcW w:w="1381"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w:t>
            </w:r>
          </w:p>
        </w:tc>
      </w:tr>
      <w:tr w:rsidR="00454D20" w:rsidRPr="00FF6B9A" w:rsidTr="00454D20">
        <w:tc>
          <w:tcPr>
            <w:tcW w:w="9286" w:type="dxa"/>
            <w:vMerge/>
            <w:tcBorders>
              <w:top w:val="single" w:sz="4" w:space="0" w:color="auto"/>
              <w:left w:val="single" w:sz="4" w:space="0" w:color="auto"/>
              <w:bottom w:val="single" w:sz="4" w:space="0" w:color="auto"/>
              <w:right w:val="single" w:sz="4" w:space="0" w:color="auto"/>
            </w:tcBorders>
            <w:vAlign w:val="center"/>
            <w:hideMark/>
          </w:tcPr>
          <w:p w:rsidR="00454D20" w:rsidRPr="00FF6B9A" w:rsidRDefault="00454D20">
            <w:pPr>
              <w:widowControl/>
              <w:jc w:val="left"/>
              <w:rPr>
                <w:rFonts w:eastAsiaTheme="minorEastAsia"/>
                <w:color w:val="000000"/>
              </w:rPr>
            </w:pPr>
          </w:p>
        </w:tc>
        <w:tc>
          <w:tcPr>
            <w:tcW w:w="2410"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合计</w:t>
            </w:r>
          </w:p>
        </w:tc>
        <w:tc>
          <w:tcPr>
            <w:tcW w:w="2693" w:type="dxa"/>
            <w:tcBorders>
              <w:top w:val="single" w:sz="4" w:space="0" w:color="auto"/>
              <w:left w:val="single" w:sz="4" w:space="0" w:color="auto"/>
              <w:bottom w:val="single" w:sz="4" w:space="0" w:color="auto"/>
              <w:right w:val="single" w:sz="4" w:space="0" w:color="auto"/>
            </w:tcBorders>
            <w:hideMark/>
          </w:tcPr>
          <w:p w:rsidR="00454D20" w:rsidRPr="00FF6B9A" w:rsidRDefault="00454D20">
            <w:pPr>
              <w:spacing w:line="288" w:lineRule="auto"/>
              <w:jc w:val="left"/>
              <w:rPr>
                <w:rFonts w:eastAsiaTheme="minorEastAsia"/>
                <w:color w:val="000000"/>
              </w:rPr>
            </w:pPr>
            <w:r w:rsidRPr="00FF6B9A">
              <w:rPr>
                <w:rFonts w:eastAsiaTheme="minorEastAsia"/>
                <w:color w:val="000000"/>
              </w:rPr>
              <w:t>2</w:t>
            </w:r>
          </w:p>
        </w:tc>
        <w:tc>
          <w:tcPr>
            <w:tcW w:w="1843" w:type="dxa"/>
            <w:tcBorders>
              <w:top w:val="single" w:sz="4" w:space="0" w:color="auto"/>
              <w:left w:val="single" w:sz="4" w:space="0" w:color="auto"/>
              <w:bottom w:val="single" w:sz="4" w:space="0" w:color="auto"/>
              <w:right w:val="single" w:sz="4" w:space="0" w:color="auto"/>
            </w:tcBorders>
            <w:hideMark/>
          </w:tcPr>
          <w:p w:rsidR="00454D20" w:rsidRPr="00FF6B9A" w:rsidRDefault="00BA33F6">
            <w:pPr>
              <w:spacing w:line="288" w:lineRule="auto"/>
              <w:jc w:val="left"/>
              <w:rPr>
                <w:rFonts w:eastAsiaTheme="minorEastAsia"/>
                <w:color w:val="000000"/>
              </w:rPr>
            </w:pPr>
            <w:r>
              <w:rPr>
                <w:rFonts w:eastAsiaTheme="minorEastAsia"/>
                <w:color w:val="000000"/>
              </w:rPr>
              <w:t>2,569,086,779.02</w:t>
            </w:r>
          </w:p>
        </w:tc>
        <w:tc>
          <w:tcPr>
            <w:tcW w:w="1381" w:type="dxa"/>
            <w:tcBorders>
              <w:top w:val="single" w:sz="4" w:space="0" w:color="auto"/>
              <w:left w:val="single" w:sz="4" w:space="0" w:color="auto"/>
              <w:bottom w:val="single" w:sz="4" w:space="0" w:color="auto"/>
              <w:right w:val="single" w:sz="4" w:space="0" w:color="auto"/>
            </w:tcBorders>
          </w:tcPr>
          <w:p w:rsidR="00454D20" w:rsidRPr="00FF6B9A" w:rsidRDefault="00454D20">
            <w:pPr>
              <w:spacing w:line="288" w:lineRule="auto"/>
              <w:jc w:val="left"/>
              <w:rPr>
                <w:rFonts w:eastAsiaTheme="minorEastAsia"/>
                <w:color w:val="000000"/>
              </w:rPr>
            </w:pPr>
          </w:p>
        </w:tc>
      </w:tr>
    </w:tbl>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成长先锋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w:t>
      </w:r>
      <w:r w:rsidRPr="00FF6B9A">
        <w:rPr>
          <w:rFonts w:eastAsiaTheme="minorEastAsia"/>
          <w:color w:val="000000" w:themeColor="text1"/>
        </w:rPr>
        <w:lastRenderedPageBreak/>
        <w:t>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D06738"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随着全球疫苗接种率的持续提升，国内外经济活动继续向好，从全球来看，发达经济体接种疫苗速度较快，带来需求提升。中国经济生产活动景气度继续保持在较好水平，出口需求仍然旺盛。部分行业受到海外供给因素的扰动，叠加需求向好，出现供需紧张的局面，如半导体、部分大宗商品等，导致相关行业出现涨价趋势。二季度证券市场相比一季度情绪有明显改善，部分产业链如医药、新能源车、半导体、医美等表现突出。</w:t>
      </w:r>
    </w:p>
    <w:p w:rsidR="00F6120B" w:rsidRPr="00F6120B" w:rsidRDefault="00F6120B" w:rsidP="00F6120B">
      <w:pPr>
        <w:spacing w:line="360" w:lineRule="auto"/>
        <w:ind w:firstLineChars="200" w:firstLine="420"/>
        <w:rPr>
          <w:rFonts w:eastAsiaTheme="minorEastAsia"/>
          <w:color w:val="000000" w:themeColor="text1"/>
        </w:rPr>
      </w:pPr>
      <w:r w:rsidRPr="00FF6B9A">
        <w:rPr>
          <w:rFonts w:eastAsiaTheme="minorEastAsia"/>
          <w:color w:val="000000" w:themeColor="text1"/>
        </w:rPr>
        <w:t>展望后市，我们认为除部分机构重仓标的外，</w:t>
      </w:r>
      <w:r w:rsidRPr="00FF6B9A">
        <w:rPr>
          <w:rFonts w:eastAsiaTheme="minorEastAsia"/>
          <w:color w:val="000000" w:themeColor="text1"/>
        </w:rPr>
        <w:t>A</w:t>
      </w:r>
      <w:r w:rsidRPr="00FF6B9A">
        <w:rPr>
          <w:rFonts w:eastAsiaTheme="minorEastAsia"/>
          <w:color w:val="000000" w:themeColor="text1"/>
        </w:rPr>
        <w:t>股整体估值并不高，随着经济复苏持续以及经济结构的优化，受益于产业升级、国产替代等逻辑的行业，具备高于经济整体增速的条件，其中一些中市值公司表现出了较好的收入和盈利增长。从行业景气度来看，我们认为今年景气度较好的产业链，如医美、半导体、新能源车等，受关注度越来越高，上半年表现较强，随着景气度继续延续，预计仍会有较高的关注度。另外一些行业，如军工产业链，部分细分行业在</w:t>
      </w:r>
      <w:r w:rsidRPr="00FF6B9A">
        <w:rPr>
          <w:rFonts w:eastAsiaTheme="minorEastAsia"/>
          <w:color w:val="000000" w:themeColor="text1"/>
        </w:rPr>
        <w:t>2020</w:t>
      </w:r>
      <w:r w:rsidRPr="00FF6B9A">
        <w:rPr>
          <w:rFonts w:eastAsiaTheme="minorEastAsia"/>
          <w:color w:val="000000" w:themeColor="text1"/>
        </w:rPr>
        <w:t>年年报和今年一季报中已经表现出较好的增速，当前估值不高。在制造业细分领域，如机械零部件、材料等，也逐渐出现一批具备全球竞争力的企业，也值得重点关注。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本报告期上投摩根成长先锋混合份额净值增长率为</w:t>
      </w:r>
      <w:r w:rsidRPr="00FF6B9A">
        <w:rPr>
          <w:rFonts w:eastAsiaTheme="minorEastAsia"/>
          <w:color w:val="000000" w:themeColor="text1"/>
        </w:rPr>
        <w:t>:13.12%</w:t>
      </w:r>
      <w:r w:rsidRPr="00FF6B9A">
        <w:rPr>
          <w:rFonts w:eastAsiaTheme="minorEastAsia"/>
          <w:color w:val="000000" w:themeColor="text1"/>
        </w:rPr>
        <w:t>，同期业绩比较基准收益率为</w:t>
      </w:r>
      <w:r w:rsidRPr="00FF6B9A">
        <w:rPr>
          <w:rFonts w:eastAsiaTheme="minorEastAsia"/>
          <w:color w:val="000000" w:themeColor="text1"/>
        </w:rPr>
        <w:t>:2.88%</w:t>
      </w:r>
      <w:r w:rsidRPr="00FF6B9A">
        <w:rPr>
          <w:rFonts w:eastAsiaTheme="minorEastAsia"/>
          <w:color w:val="000000" w:themeColor="text1"/>
        </w:rPr>
        <w:t>。</w:t>
      </w:r>
    </w:p>
    <w:p w:rsidR="00D06738" w:rsidRPr="00FF6B9A" w:rsidRDefault="00D06738">
      <w:pPr>
        <w:spacing w:line="360" w:lineRule="auto"/>
        <w:rPr>
          <w:rFonts w:eastAsiaTheme="minorEastAsia"/>
          <w:color w:val="000000" w:themeColor="text1"/>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w:t>
      </w:r>
      <w:r w:rsidR="00F6120B">
        <w:rPr>
          <w:rFonts w:eastAsiaTheme="minorEastAsia"/>
          <w:b/>
          <w:color w:val="000000" w:themeColor="text1"/>
          <w:kern w:val="0"/>
          <w:sz w:val="24"/>
          <w:szCs w:val="24"/>
        </w:rPr>
        <w:t>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1,991,893,606.22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86.37</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1,991,893,606.22</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86.37</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313,532,201.84</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13.59</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891,052.74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2,306,316,860.80</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31,841,702.80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1.40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1,758,143,548.78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77.23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16,037,626.39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31,988,002.17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20,189,102.86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0.89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34,373,374.27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1.51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82,154,841.30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5,407.65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17,160,000.00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0.75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1,991,893,606.22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87.49</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2"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A4243B">
        <w:tc>
          <w:tcPr>
            <w:tcW w:w="817" w:type="dxa"/>
            <w:vAlign w:val="center"/>
          </w:tcPr>
          <w:p w:rsidR="00A4243B" w:rsidRDefault="00BA33F6">
            <w:pPr>
              <w:jc w:val="center"/>
            </w:pPr>
            <w:r>
              <w:rPr>
                <w:rFonts w:eastAsiaTheme="minorEastAsia"/>
                <w:kern w:val="0"/>
                <w:sz w:val="24"/>
                <w:szCs w:val="24"/>
              </w:rPr>
              <w:t>1</w:t>
            </w:r>
          </w:p>
        </w:tc>
        <w:tc>
          <w:tcPr>
            <w:tcW w:w="1276" w:type="dxa"/>
            <w:vAlign w:val="center"/>
          </w:tcPr>
          <w:p w:rsidR="00A4243B" w:rsidRDefault="00BA33F6">
            <w:pPr>
              <w:jc w:val="center"/>
            </w:pPr>
            <w:r>
              <w:rPr>
                <w:rFonts w:eastAsiaTheme="minorEastAsia"/>
                <w:kern w:val="0"/>
                <w:sz w:val="24"/>
                <w:szCs w:val="24"/>
              </w:rPr>
              <w:t>300327</w:t>
            </w:r>
          </w:p>
        </w:tc>
        <w:tc>
          <w:tcPr>
            <w:tcW w:w="1701" w:type="dxa"/>
            <w:vAlign w:val="center"/>
          </w:tcPr>
          <w:p w:rsidR="00A4243B" w:rsidRDefault="00BA33F6">
            <w:pPr>
              <w:jc w:val="center"/>
            </w:pPr>
            <w:r>
              <w:rPr>
                <w:rFonts w:eastAsiaTheme="minorEastAsia"/>
                <w:kern w:val="0"/>
                <w:sz w:val="24"/>
                <w:szCs w:val="24"/>
              </w:rPr>
              <w:t>中颖电子</w:t>
            </w:r>
          </w:p>
        </w:tc>
        <w:tc>
          <w:tcPr>
            <w:tcW w:w="1276" w:type="dxa"/>
            <w:vAlign w:val="center"/>
          </w:tcPr>
          <w:p w:rsidR="00A4243B" w:rsidRDefault="00BA33F6">
            <w:pPr>
              <w:jc w:val="right"/>
            </w:pPr>
            <w:r>
              <w:rPr>
                <w:rFonts w:eastAsiaTheme="minorEastAsia"/>
                <w:kern w:val="0"/>
                <w:sz w:val="24"/>
                <w:szCs w:val="24"/>
              </w:rPr>
              <w:t>1,293,909</w:t>
            </w:r>
          </w:p>
        </w:tc>
        <w:tc>
          <w:tcPr>
            <w:tcW w:w="1842" w:type="dxa"/>
            <w:vAlign w:val="center"/>
          </w:tcPr>
          <w:p w:rsidR="00A4243B" w:rsidRDefault="00BA33F6">
            <w:pPr>
              <w:jc w:val="right"/>
            </w:pPr>
            <w:r>
              <w:rPr>
                <w:rFonts w:eastAsiaTheme="minorEastAsia"/>
                <w:kern w:val="0"/>
                <w:sz w:val="24"/>
                <w:szCs w:val="24"/>
              </w:rPr>
              <w:t>110,279,864.07</w:t>
            </w:r>
          </w:p>
        </w:tc>
        <w:tc>
          <w:tcPr>
            <w:tcW w:w="1616" w:type="dxa"/>
            <w:vAlign w:val="center"/>
          </w:tcPr>
          <w:p w:rsidR="00A4243B" w:rsidRDefault="00BA33F6">
            <w:pPr>
              <w:jc w:val="right"/>
            </w:pPr>
            <w:r>
              <w:rPr>
                <w:rFonts w:eastAsiaTheme="minorEastAsia"/>
                <w:kern w:val="0"/>
                <w:sz w:val="24"/>
                <w:szCs w:val="24"/>
              </w:rPr>
              <w:t>4.84</w:t>
            </w:r>
          </w:p>
        </w:tc>
      </w:tr>
      <w:tr w:rsidR="00A4243B">
        <w:tc>
          <w:tcPr>
            <w:tcW w:w="817" w:type="dxa"/>
            <w:vAlign w:val="center"/>
          </w:tcPr>
          <w:p w:rsidR="00A4243B" w:rsidRDefault="00BA33F6">
            <w:pPr>
              <w:jc w:val="center"/>
            </w:pPr>
            <w:r>
              <w:rPr>
                <w:rFonts w:eastAsiaTheme="minorEastAsia"/>
                <w:kern w:val="0"/>
                <w:sz w:val="24"/>
                <w:szCs w:val="24"/>
              </w:rPr>
              <w:t>2</w:t>
            </w:r>
          </w:p>
        </w:tc>
        <w:tc>
          <w:tcPr>
            <w:tcW w:w="1276" w:type="dxa"/>
            <w:vAlign w:val="center"/>
          </w:tcPr>
          <w:p w:rsidR="00A4243B" w:rsidRDefault="00BA33F6">
            <w:pPr>
              <w:jc w:val="center"/>
            </w:pPr>
            <w:r>
              <w:rPr>
                <w:rFonts w:eastAsiaTheme="minorEastAsia"/>
                <w:kern w:val="0"/>
                <w:sz w:val="24"/>
                <w:szCs w:val="24"/>
              </w:rPr>
              <w:t>000661</w:t>
            </w:r>
          </w:p>
        </w:tc>
        <w:tc>
          <w:tcPr>
            <w:tcW w:w="1701" w:type="dxa"/>
            <w:vAlign w:val="center"/>
          </w:tcPr>
          <w:p w:rsidR="00A4243B" w:rsidRDefault="00BA33F6">
            <w:pPr>
              <w:jc w:val="center"/>
            </w:pPr>
            <w:r>
              <w:rPr>
                <w:rFonts w:eastAsiaTheme="minorEastAsia"/>
                <w:kern w:val="0"/>
                <w:sz w:val="24"/>
                <w:szCs w:val="24"/>
              </w:rPr>
              <w:t>长春高新</w:t>
            </w:r>
          </w:p>
        </w:tc>
        <w:tc>
          <w:tcPr>
            <w:tcW w:w="1276" w:type="dxa"/>
            <w:vAlign w:val="center"/>
          </w:tcPr>
          <w:p w:rsidR="00A4243B" w:rsidRDefault="00BA33F6">
            <w:pPr>
              <w:jc w:val="right"/>
            </w:pPr>
            <w:r>
              <w:rPr>
                <w:rFonts w:eastAsiaTheme="minorEastAsia"/>
                <w:kern w:val="0"/>
                <w:sz w:val="24"/>
                <w:szCs w:val="24"/>
              </w:rPr>
              <w:t>283,370</w:t>
            </w:r>
          </w:p>
        </w:tc>
        <w:tc>
          <w:tcPr>
            <w:tcW w:w="1842" w:type="dxa"/>
            <w:vAlign w:val="center"/>
          </w:tcPr>
          <w:p w:rsidR="00A4243B" w:rsidRDefault="00BA33F6">
            <w:pPr>
              <w:jc w:val="right"/>
            </w:pPr>
            <w:r>
              <w:rPr>
                <w:rFonts w:eastAsiaTheme="minorEastAsia"/>
                <w:kern w:val="0"/>
                <w:sz w:val="24"/>
                <w:szCs w:val="24"/>
              </w:rPr>
              <w:t>109,664,190.00</w:t>
            </w:r>
          </w:p>
        </w:tc>
        <w:tc>
          <w:tcPr>
            <w:tcW w:w="1616" w:type="dxa"/>
            <w:vAlign w:val="center"/>
          </w:tcPr>
          <w:p w:rsidR="00A4243B" w:rsidRDefault="00BA33F6">
            <w:pPr>
              <w:jc w:val="right"/>
            </w:pPr>
            <w:r>
              <w:rPr>
                <w:rFonts w:eastAsiaTheme="minorEastAsia"/>
                <w:kern w:val="0"/>
                <w:sz w:val="24"/>
                <w:szCs w:val="24"/>
              </w:rPr>
              <w:t>4.82</w:t>
            </w:r>
          </w:p>
        </w:tc>
      </w:tr>
      <w:tr w:rsidR="00A4243B">
        <w:tc>
          <w:tcPr>
            <w:tcW w:w="817" w:type="dxa"/>
            <w:vAlign w:val="center"/>
          </w:tcPr>
          <w:p w:rsidR="00A4243B" w:rsidRDefault="00BA33F6">
            <w:pPr>
              <w:jc w:val="center"/>
            </w:pPr>
            <w:r>
              <w:rPr>
                <w:rFonts w:eastAsiaTheme="minorEastAsia"/>
                <w:kern w:val="0"/>
                <w:sz w:val="24"/>
                <w:szCs w:val="24"/>
              </w:rPr>
              <w:t>3</w:t>
            </w:r>
          </w:p>
        </w:tc>
        <w:tc>
          <w:tcPr>
            <w:tcW w:w="1276" w:type="dxa"/>
            <w:vAlign w:val="center"/>
          </w:tcPr>
          <w:p w:rsidR="00A4243B" w:rsidRDefault="00BA33F6">
            <w:pPr>
              <w:jc w:val="center"/>
            </w:pPr>
            <w:r>
              <w:rPr>
                <w:rFonts w:eastAsiaTheme="minorEastAsia"/>
                <w:kern w:val="0"/>
                <w:sz w:val="24"/>
                <w:szCs w:val="24"/>
              </w:rPr>
              <w:t>600438</w:t>
            </w:r>
          </w:p>
        </w:tc>
        <w:tc>
          <w:tcPr>
            <w:tcW w:w="1701" w:type="dxa"/>
            <w:vAlign w:val="center"/>
          </w:tcPr>
          <w:p w:rsidR="00A4243B" w:rsidRDefault="00BA33F6">
            <w:pPr>
              <w:jc w:val="center"/>
            </w:pPr>
            <w:r>
              <w:rPr>
                <w:rFonts w:eastAsiaTheme="minorEastAsia"/>
                <w:kern w:val="0"/>
                <w:sz w:val="24"/>
                <w:szCs w:val="24"/>
              </w:rPr>
              <w:t>通威股份</w:t>
            </w:r>
          </w:p>
        </w:tc>
        <w:tc>
          <w:tcPr>
            <w:tcW w:w="1276" w:type="dxa"/>
            <w:vAlign w:val="center"/>
          </w:tcPr>
          <w:p w:rsidR="00A4243B" w:rsidRDefault="00BA33F6">
            <w:pPr>
              <w:jc w:val="right"/>
            </w:pPr>
            <w:r>
              <w:rPr>
                <w:rFonts w:eastAsiaTheme="minorEastAsia"/>
                <w:kern w:val="0"/>
                <w:sz w:val="24"/>
                <w:szCs w:val="24"/>
              </w:rPr>
              <w:t>2,344,115</w:t>
            </w:r>
          </w:p>
        </w:tc>
        <w:tc>
          <w:tcPr>
            <w:tcW w:w="1842" w:type="dxa"/>
            <w:vAlign w:val="center"/>
          </w:tcPr>
          <w:p w:rsidR="00A4243B" w:rsidRDefault="00BA33F6">
            <w:pPr>
              <w:jc w:val="right"/>
            </w:pPr>
            <w:r>
              <w:rPr>
                <w:rFonts w:eastAsiaTheme="minorEastAsia"/>
                <w:kern w:val="0"/>
                <w:sz w:val="24"/>
                <w:szCs w:val="24"/>
              </w:rPr>
              <w:t>101,429,856.05</w:t>
            </w:r>
          </w:p>
        </w:tc>
        <w:tc>
          <w:tcPr>
            <w:tcW w:w="1616" w:type="dxa"/>
            <w:vAlign w:val="center"/>
          </w:tcPr>
          <w:p w:rsidR="00A4243B" w:rsidRDefault="00BA33F6">
            <w:pPr>
              <w:jc w:val="right"/>
            </w:pPr>
            <w:r>
              <w:rPr>
                <w:rFonts w:eastAsiaTheme="minorEastAsia"/>
                <w:kern w:val="0"/>
                <w:sz w:val="24"/>
                <w:szCs w:val="24"/>
              </w:rPr>
              <w:t>4.46</w:t>
            </w:r>
          </w:p>
        </w:tc>
      </w:tr>
      <w:tr w:rsidR="00A4243B">
        <w:tc>
          <w:tcPr>
            <w:tcW w:w="817" w:type="dxa"/>
            <w:vAlign w:val="center"/>
          </w:tcPr>
          <w:p w:rsidR="00A4243B" w:rsidRDefault="00BA33F6">
            <w:pPr>
              <w:jc w:val="center"/>
            </w:pPr>
            <w:r>
              <w:rPr>
                <w:rFonts w:eastAsiaTheme="minorEastAsia"/>
                <w:kern w:val="0"/>
                <w:sz w:val="24"/>
                <w:szCs w:val="24"/>
              </w:rPr>
              <w:t>4</w:t>
            </w:r>
          </w:p>
        </w:tc>
        <w:tc>
          <w:tcPr>
            <w:tcW w:w="1276" w:type="dxa"/>
            <w:vAlign w:val="center"/>
          </w:tcPr>
          <w:p w:rsidR="00A4243B" w:rsidRDefault="00BA33F6">
            <w:pPr>
              <w:jc w:val="center"/>
            </w:pPr>
            <w:r>
              <w:rPr>
                <w:rFonts w:eastAsiaTheme="minorEastAsia"/>
                <w:kern w:val="0"/>
                <w:sz w:val="24"/>
                <w:szCs w:val="24"/>
              </w:rPr>
              <w:t>688169</w:t>
            </w:r>
          </w:p>
        </w:tc>
        <w:tc>
          <w:tcPr>
            <w:tcW w:w="1701" w:type="dxa"/>
            <w:vAlign w:val="center"/>
          </w:tcPr>
          <w:p w:rsidR="00A4243B" w:rsidRDefault="00BA33F6">
            <w:pPr>
              <w:jc w:val="center"/>
            </w:pPr>
            <w:r>
              <w:rPr>
                <w:rFonts w:eastAsiaTheme="minorEastAsia"/>
                <w:kern w:val="0"/>
                <w:sz w:val="24"/>
                <w:szCs w:val="24"/>
              </w:rPr>
              <w:t>石头科技</w:t>
            </w:r>
          </w:p>
        </w:tc>
        <w:tc>
          <w:tcPr>
            <w:tcW w:w="1276" w:type="dxa"/>
            <w:vAlign w:val="center"/>
          </w:tcPr>
          <w:p w:rsidR="00A4243B" w:rsidRDefault="00BA33F6">
            <w:pPr>
              <w:jc w:val="right"/>
            </w:pPr>
            <w:r>
              <w:rPr>
                <w:rFonts w:eastAsiaTheme="minorEastAsia"/>
                <w:kern w:val="0"/>
                <w:sz w:val="24"/>
                <w:szCs w:val="24"/>
              </w:rPr>
              <w:t>72,139</w:t>
            </w:r>
          </w:p>
        </w:tc>
        <w:tc>
          <w:tcPr>
            <w:tcW w:w="1842" w:type="dxa"/>
            <w:vAlign w:val="center"/>
          </w:tcPr>
          <w:p w:rsidR="00A4243B" w:rsidRDefault="00BA33F6">
            <w:pPr>
              <w:jc w:val="right"/>
            </w:pPr>
            <w:r>
              <w:rPr>
                <w:rFonts w:eastAsiaTheme="minorEastAsia"/>
                <w:kern w:val="0"/>
                <w:sz w:val="24"/>
                <w:szCs w:val="24"/>
              </w:rPr>
              <w:t>90,967,279.00</w:t>
            </w:r>
          </w:p>
        </w:tc>
        <w:tc>
          <w:tcPr>
            <w:tcW w:w="1616" w:type="dxa"/>
            <w:vAlign w:val="center"/>
          </w:tcPr>
          <w:p w:rsidR="00A4243B" w:rsidRDefault="00BA33F6">
            <w:pPr>
              <w:jc w:val="right"/>
            </w:pPr>
            <w:r>
              <w:rPr>
                <w:rFonts w:eastAsiaTheme="minorEastAsia"/>
                <w:kern w:val="0"/>
                <w:sz w:val="24"/>
                <w:szCs w:val="24"/>
              </w:rPr>
              <w:t>4.00</w:t>
            </w:r>
          </w:p>
        </w:tc>
      </w:tr>
      <w:tr w:rsidR="00A4243B">
        <w:tc>
          <w:tcPr>
            <w:tcW w:w="817" w:type="dxa"/>
            <w:vAlign w:val="center"/>
          </w:tcPr>
          <w:p w:rsidR="00A4243B" w:rsidRDefault="00BA33F6">
            <w:pPr>
              <w:jc w:val="center"/>
            </w:pPr>
            <w:r>
              <w:rPr>
                <w:rFonts w:eastAsiaTheme="minorEastAsia"/>
                <w:kern w:val="0"/>
                <w:sz w:val="24"/>
                <w:szCs w:val="24"/>
              </w:rPr>
              <w:t>5</w:t>
            </w:r>
          </w:p>
        </w:tc>
        <w:tc>
          <w:tcPr>
            <w:tcW w:w="1276" w:type="dxa"/>
            <w:vAlign w:val="center"/>
          </w:tcPr>
          <w:p w:rsidR="00A4243B" w:rsidRDefault="00BA33F6">
            <w:pPr>
              <w:jc w:val="center"/>
            </w:pPr>
            <w:r>
              <w:rPr>
                <w:rFonts w:eastAsiaTheme="minorEastAsia"/>
                <w:kern w:val="0"/>
                <w:sz w:val="24"/>
                <w:szCs w:val="24"/>
              </w:rPr>
              <w:t>002236</w:t>
            </w:r>
          </w:p>
        </w:tc>
        <w:tc>
          <w:tcPr>
            <w:tcW w:w="1701" w:type="dxa"/>
            <w:vAlign w:val="center"/>
          </w:tcPr>
          <w:p w:rsidR="00A4243B" w:rsidRDefault="00BA33F6">
            <w:pPr>
              <w:jc w:val="center"/>
            </w:pPr>
            <w:r>
              <w:rPr>
                <w:rFonts w:eastAsiaTheme="minorEastAsia"/>
                <w:kern w:val="0"/>
                <w:sz w:val="24"/>
                <w:szCs w:val="24"/>
              </w:rPr>
              <w:t>大华股份</w:t>
            </w:r>
          </w:p>
        </w:tc>
        <w:tc>
          <w:tcPr>
            <w:tcW w:w="1276" w:type="dxa"/>
            <w:vAlign w:val="center"/>
          </w:tcPr>
          <w:p w:rsidR="00A4243B" w:rsidRDefault="00BA33F6">
            <w:pPr>
              <w:jc w:val="right"/>
            </w:pPr>
            <w:r>
              <w:rPr>
                <w:rFonts w:eastAsiaTheme="minorEastAsia"/>
                <w:kern w:val="0"/>
                <w:sz w:val="24"/>
                <w:szCs w:val="24"/>
              </w:rPr>
              <w:t>3,789,826</w:t>
            </w:r>
          </w:p>
        </w:tc>
        <w:tc>
          <w:tcPr>
            <w:tcW w:w="1842" w:type="dxa"/>
            <w:vAlign w:val="center"/>
          </w:tcPr>
          <w:p w:rsidR="00A4243B" w:rsidRDefault="00BA33F6">
            <w:pPr>
              <w:jc w:val="right"/>
            </w:pPr>
            <w:r>
              <w:rPr>
                <w:rFonts w:eastAsiaTheme="minorEastAsia"/>
                <w:kern w:val="0"/>
                <w:sz w:val="24"/>
                <w:szCs w:val="24"/>
              </w:rPr>
              <w:t>79,965,328.60</w:t>
            </w:r>
          </w:p>
        </w:tc>
        <w:tc>
          <w:tcPr>
            <w:tcW w:w="1616" w:type="dxa"/>
            <w:vAlign w:val="center"/>
          </w:tcPr>
          <w:p w:rsidR="00A4243B" w:rsidRDefault="00BA33F6">
            <w:pPr>
              <w:jc w:val="right"/>
            </w:pPr>
            <w:r>
              <w:rPr>
                <w:rFonts w:eastAsiaTheme="minorEastAsia"/>
                <w:kern w:val="0"/>
                <w:sz w:val="24"/>
                <w:szCs w:val="24"/>
              </w:rPr>
              <w:t>3.51</w:t>
            </w:r>
          </w:p>
        </w:tc>
      </w:tr>
      <w:tr w:rsidR="00A4243B">
        <w:tc>
          <w:tcPr>
            <w:tcW w:w="817" w:type="dxa"/>
            <w:vAlign w:val="center"/>
          </w:tcPr>
          <w:p w:rsidR="00A4243B" w:rsidRDefault="00BA33F6">
            <w:pPr>
              <w:jc w:val="center"/>
            </w:pPr>
            <w:r>
              <w:rPr>
                <w:rFonts w:eastAsiaTheme="minorEastAsia"/>
                <w:kern w:val="0"/>
                <w:sz w:val="24"/>
                <w:szCs w:val="24"/>
              </w:rPr>
              <w:t>6</w:t>
            </w:r>
          </w:p>
        </w:tc>
        <w:tc>
          <w:tcPr>
            <w:tcW w:w="1276" w:type="dxa"/>
            <w:vAlign w:val="center"/>
          </w:tcPr>
          <w:p w:rsidR="00A4243B" w:rsidRDefault="00BA33F6">
            <w:pPr>
              <w:jc w:val="center"/>
            </w:pPr>
            <w:r>
              <w:rPr>
                <w:rFonts w:eastAsiaTheme="minorEastAsia"/>
                <w:kern w:val="0"/>
                <w:sz w:val="24"/>
                <w:szCs w:val="24"/>
              </w:rPr>
              <w:t>300014</w:t>
            </w:r>
          </w:p>
        </w:tc>
        <w:tc>
          <w:tcPr>
            <w:tcW w:w="1701" w:type="dxa"/>
            <w:vAlign w:val="center"/>
          </w:tcPr>
          <w:p w:rsidR="00A4243B" w:rsidRDefault="00BA33F6">
            <w:pPr>
              <w:jc w:val="center"/>
            </w:pPr>
            <w:r>
              <w:rPr>
                <w:rFonts w:eastAsiaTheme="minorEastAsia"/>
                <w:kern w:val="0"/>
                <w:sz w:val="24"/>
                <w:szCs w:val="24"/>
              </w:rPr>
              <w:t>亿纬锂能</w:t>
            </w:r>
          </w:p>
        </w:tc>
        <w:tc>
          <w:tcPr>
            <w:tcW w:w="1276" w:type="dxa"/>
            <w:vAlign w:val="center"/>
          </w:tcPr>
          <w:p w:rsidR="00A4243B" w:rsidRDefault="00BA33F6">
            <w:pPr>
              <w:jc w:val="right"/>
            </w:pPr>
            <w:r>
              <w:rPr>
                <w:rFonts w:eastAsiaTheme="minorEastAsia"/>
                <w:kern w:val="0"/>
                <w:sz w:val="24"/>
                <w:szCs w:val="24"/>
              </w:rPr>
              <w:t>690,051</w:t>
            </w:r>
          </w:p>
        </w:tc>
        <w:tc>
          <w:tcPr>
            <w:tcW w:w="1842" w:type="dxa"/>
            <w:vAlign w:val="center"/>
          </w:tcPr>
          <w:p w:rsidR="00A4243B" w:rsidRDefault="00BA33F6">
            <w:pPr>
              <w:jc w:val="right"/>
            </w:pPr>
            <w:r>
              <w:rPr>
                <w:rFonts w:eastAsiaTheme="minorEastAsia"/>
                <w:kern w:val="0"/>
                <w:sz w:val="24"/>
                <w:szCs w:val="24"/>
              </w:rPr>
              <w:t>71,717,000.43</w:t>
            </w:r>
          </w:p>
        </w:tc>
        <w:tc>
          <w:tcPr>
            <w:tcW w:w="1616" w:type="dxa"/>
            <w:vAlign w:val="center"/>
          </w:tcPr>
          <w:p w:rsidR="00A4243B" w:rsidRDefault="00BA33F6">
            <w:pPr>
              <w:jc w:val="right"/>
            </w:pPr>
            <w:r>
              <w:rPr>
                <w:rFonts w:eastAsiaTheme="minorEastAsia"/>
                <w:kern w:val="0"/>
                <w:sz w:val="24"/>
                <w:szCs w:val="24"/>
              </w:rPr>
              <w:t>3.15</w:t>
            </w:r>
          </w:p>
        </w:tc>
      </w:tr>
      <w:tr w:rsidR="00A4243B">
        <w:tc>
          <w:tcPr>
            <w:tcW w:w="817" w:type="dxa"/>
            <w:vAlign w:val="center"/>
          </w:tcPr>
          <w:p w:rsidR="00A4243B" w:rsidRDefault="00BA33F6">
            <w:pPr>
              <w:jc w:val="center"/>
            </w:pPr>
            <w:r>
              <w:rPr>
                <w:rFonts w:eastAsiaTheme="minorEastAsia"/>
                <w:kern w:val="0"/>
                <w:sz w:val="24"/>
                <w:szCs w:val="24"/>
              </w:rPr>
              <w:t>7</w:t>
            </w:r>
          </w:p>
        </w:tc>
        <w:tc>
          <w:tcPr>
            <w:tcW w:w="1276" w:type="dxa"/>
            <w:vAlign w:val="center"/>
          </w:tcPr>
          <w:p w:rsidR="00A4243B" w:rsidRDefault="00BA33F6">
            <w:pPr>
              <w:jc w:val="center"/>
            </w:pPr>
            <w:r>
              <w:rPr>
                <w:rFonts w:eastAsiaTheme="minorEastAsia"/>
                <w:kern w:val="0"/>
                <w:sz w:val="24"/>
                <w:szCs w:val="24"/>
              </w:rPr>
              <w:t>000733</w:t>
            </w:r>
          </w:p>
        </w:tc>
        <w:tc>
          <w:tcPr>
            <w:tcW w:w="1701" w:type="dxa"/>
            <w:vAlign w:val="center"/>
          </w:tcPr>
          <w:p w:rsidR="00A4243B" w:rsidRDefault="00BA33F6">
            <w:pPr>
              <w:jc w:val="center"/>
            </w:pPr>
            <w:r>
              <w:rPr>
                <w:rFonts w:eastAsiaTheme="minorEastAsia"/>
                <w:kern w:val="0"/>
                <w:sz w:val="24"/>
                <w:szCs w:val="24"/>
              </w:rPr>
              <w:t>振华科技</w:t>
            </w:r>
          </w:p>
        </w:tc>
        <w:tc>
          <w:tcPr>
            <w:tcW w:w="1276" w:type="dxa"/>
            <w:vAlign w:val="center"/>
          </w:tcPr>
          <w:p w:rsidR="00A4243B" w:rsidRDefault="00BA33F6">
            <w:pPr>
              <w:jc w:val="right"/>
            </w:pPr>
            <w:r>
              <w:rPr>
                <w:rFonts w:eastAsiaTheme="minorEastAsia"/>
                <w:kern w:val="0"/>
                <w:sz w:val="24"/>
                <w:szCs w:val="24"/>
              </w:rPr>
              <w:t>1,054,056</w:t>
            </w:r>
          </w:p>
        </w:tc>
        <w:tc>
          <w:tcPr>
            <w:tcW w:w="1842" w:type="dxa"/>
            <w:vAlign w:val="center"/>
          </w:tcPr>
          <w:p w:rsidR="00A4243B" w:rsidRDefault="00BA33F6">
            <w:pPr>
              <w:jc w:val="right"/>
            </w:pPr>
            <w:r>
              <w:rPr>
                <w:rFonts w:eastAsiaTheme="minorEastAsia"/>
                <w:kern w:val="0"/>
                <w:sz w:val="24"/>
                <w:szCs w:val="24"/>
              </w:rPr>
              <w:t>64,371,199.92</w:t>
            </w:r>
          </w:p>
        </w:tc>
        <w:tc>
          <w:tcPr>
            <w:tcW w:w="1616" w:type="dxa"/>
            <w:vAlign w:val="center"/>
          </w:tcPr>
          <w:p w:rsidR="00A4243B" w:rsidRDefault="00BA33F6">
            <w:pPr>
              <w:jc w:val="right"/>
            </w:pPr>
            <w:r>
              <w:rPr>
                <w:rFonts w:eastAsiaTheme="minorEastAsia"/>
                <w:kern w:val="0"/>
                <w:sz w:val="24"/>
                <w:szCs w:val="24"/>
              </w:rPr>
              <w:t>2.83</w:t>
            </w:r>
          </w:p>
        </w:tc>
      </w:tr>
      <w:tr w:rsidR="00A4243B">
        <w:tc>
          <w:tcPr>
            <w:tcW w:w="817" w:type="dxa"/>
            <w:vAlign w:val="center"/>
          </w:tcPr>
          <w:p w:rsidR="00A4243B" w:rsidRDefault="00BA33F6">
            <w:pPr>
              <w:jc w:val="center"/>
            </w:pPr>
            <w:r>
              <w:rPr>
                <w:rFonts w:eastAsiaTheme="minorEastAsia"/>
                <w:kern w:val="0"/>
                <w:sz w:val="24"/>
                <w:szCs w:val="24"/>
              </w:rPr>
              <w:t>8</w:t>
            </w:r>
          </w:p>
        </w:tc>
        <w:tc>
          <w:tcPr>
            <w:tcW w:w="1276" w:type="dxa"/>
            <w:vAlign w:val="center"/>
          </w:tcPr>
          <w:p w:rsidR="00A4243B" w:rsidRDefault="00BA33F6">
            <w:pPr>
              <w:jc w:val="center"/>
            </w:pPr>
            <w:r>
              <w:rPr>
                <w:rFonts w:eastAsiaTheme="minorEastAsia"/>
                <w:kern w:val="0"/>
                <w:sz w:val="24"/>
                <w:szCs w:val="24"/>
              </w:rPr>
              <w:t>002049</w:t>
            </w:r>
          </w:p>
        </w:tc>
        <w:tc>
          <w:tcPr>
            <w:tcW w:w="1701" w:type="dxa"/>
            <w:vAlign w:val="center"/>
          </w:tcPr>
          <w:p w:rsidR="00A4243B" w:rsidRDefault="00BA33F6">
            <w:pPr>
              <w:jc w:val="center"/>
            </w:pPr>
            <w:r>
              <w:rPr>
                <w:rFonts w:eastAsiaTheme="minorEastAsia"/>
                <w:kern w:val="0"/>
                <w:sz w:val="24"/>
                <w:szCs w:val="24"/>
              </w:rPr>
              <w:t>紫光国微</w:t>
            </w:r>
          </w:p>
        </w:tc>
        <w:tc>
          <w:tcPr>
            <w:tcW w:w="1276" w:type="dxa"/>
            <w:vAlign w:val="center"/>
          </w:tcPr>
          <w:p w:rsidR="00A4243B" w:rsidRDefault="00BA33F6">
            <w:pPr>
              <w:jc w:val="right"/>
            </w:pPr>
            <w:r>
              <w:rPr>
                <w:rFonts w:eastAsiaTheme="minorEastAsia"/>
                <w:kern w:val="0"/>
                <w:sz w:val="24"/>
                <w:szCs w:val="24"/>
              </w:rPr>
              <w:t>395,400</w:t>
            </w:r>
          </w:p>
        </w:tc>
        <w:tc>
          <w:tcPr>
            <w:tcW w:w="1842" w:type="dxa"/>
            <w:vAlign w:val="center"/>
          </w:tcPr>
          <w:p w:rsidR="00A4243B" w:rsidRDefault="00BA33F6">
            <w:pPr>
              <w:jc w:val="right"/>
            </w:pPr>
            <w:r>
              <w:rPr>
                <w:rFonts w:eastAsiaTheme="minorEastAsia"/>
                <w:kern w:val="0"/>
                <w:sz w:val="24"/>
                <w:szCs w:val="24"/>
              </w:rPr>
              <w:t>60,966,726.00</w:t>
            </w:r>
          </w:p>
        </w:tc>
        <w:tc>
          <w:tcPr>
            <w:tcW w:w="1616" w:type="dxa"/>
            <w:vAlign w:val="center"/>
          </w:tcPr>
          <w:p w:rsidR="00A4243B" w:rsidRDefault="00BA33F6">
            <w:pPr>
              <w:jc w:val="right"/>
            </w:pPr>
            <w:r>
              <w:rPr>
                <w:rFonts w:eastAsiaTheme="minorEastAsia"/>
                <w:kern w:val="0"/>
                <w:sz w:val="24"/>
                <w:szCs w:val="24"/>
              </w:rPr>
              <w:t>2.68</w:t>
            </w:r>
          </w:p>
        </w:tc>
      </w:tr>
      <w:tr w:rsidR="00A4243B">
        <w:tc>
          <w:tcPr>
            <w:tcW w:w="817" w:type="dxa"/>
            <w:vAlign w:val="center"/>
          </w:tcPr>
          <w:p w:rsidR="00A4243B" w:rsidRDefault="00BA33F6">
            <w:pPr>
              <w:jc w:val="center"/>
            </w:pPr>
            <w:r>
              <w:rPr>
                <w:rFonts w:eastAsiaTheme="minorEastAsia"/>
                <w:kern w:val="0"/>
                <w:sz w:val="24"/>
                <w:szCs w:val="24"/>
              </w:rPr>
              <w:t>9</w:t>
            </w:r>
          </w:p>
        </w:tc>
        <w:tc>
          <w:tcPr>
            <w:tcW w:w="1276" w:type="dxa"/>
            <w:vAlign w:val="center"/>
          </w:tcPr>
          <w:p w:rsidR="00A4243B" w:rsidRDefault="00BA33F6">
            <w:pPr>
              <w:jc w:val="center"/>
            </w:pPr>
            <w:r>
              <w:rPr>
                <w:rFonts w:eastAsiaTheme="minorEastAsia"/>
                <w:kern w:val="0"/>
                <w:sz w:val="24"/>
                <w:szCs w:val="24"/>
              </w:rPr>
              <w:t>300390</w:t>
            </w:r>
          </w:p>
        </w:tc>
        <w:tc>
          <w:tcPr>
            <w:tcW w:w="1701" w:type="dxa"/>
            <w:vAlign w:val="center"/>
          </w:tcPr>
          <w:p w:rsidR="00A4243B" w:rsidRDefault="00BA33F6">
            <w:pPr>
              <w:jc w:val="center"/>
            </w:pPr>
            <w:r>
              <w:rPr>
                <w:rFonts w:eastAsiaTheme="minorEastAsia"/>
                <w:kern w:val="0"/>
                <w:sz w:val="24"/>
                <w:szCs w:val="24"/>
              </w:rPr>
              <w:t>天华超净</w:t>
            </w:r>
          </w:p>
        </w:tc>
        <w:tc>
          <w:tcPr>
            <w:tcW w:w="1276" w:type="dxa"/>
            <w:vAlign w:val="center"/>
          </w:tcPr>
          <w:p w:rsidR="00A4243B" w:rsidRDefault="00BA33F6">
            <w:pPr>
              <w:jc w:val="right"/>
            </w:pPr>
            <w:r>
              <w:rPr>
                <w:rFonts w:eastAsiaTheme="minorEastAsia"/>
                <w:kern w:val="0"/>
                <w:sz w:val="24"/>
                <w:szCs w:val="24"/>
              </w:rPr>
              <w:t>1,183,200</w:t>
            </w:r>
          </w:p>
        </w:tc>
        <w:tc>
          <w:tcPr>
            <w:tcW w:w="1842" w:type="dxa"/>
            <w:vAlign w:val="center"/>
          </w:tcPr>
          <w:p w:rsidR="00A4243B" w:rsidRDefault="00BA33F6">
            <w:pPr>
              <w:jc w:val="right"/>
            </w:pPr>
            <w:r>
              <w:rPr>
                <w:rFonts w:eastAsiaTheme="minorEastAsia"/>
                <w:kern w:val="0"/>
                <w:sz w:val="24"/>
                <w:szCs w:val="24"/>
              </w:rPr>
              <w:t>56,829,096.00</w:t>
            </w:r>
          </w:p>
        </w:tc>
        <w:tc>
          <w:tcPr>
            <w:tcW w:w="1616" w:type="dxa"/>
            <w:vAlign w:val="center"/>
          </w:tcPr>
          <w:p w:rsidR="00A4243B" w:rsidRDefault="00BA33F6">
            <w:pPr>
              <w:jc w:val="right"/>
            </w:pPr>
            <w:r>
              <w:rPr>
                <w:rFonts w:eastAsiaTheme="minorEastAsia"/>
                <w:kern w:val="0"/>
                <w:sz w:val="24"/>
                <w:szCs w:val="24"/>
              </w:rPr>
              <w:t>2.50</w:t>
            </w:r>
          </w:p>
        </w:tc>
      </w:tr>
      <w:tr w:rsidR="00A4243B">
        <w:tc>
          <w:tcPr>
            <w:tcW w:w="817" w:type="dxa"/>
            <w:vAlign w:val="center"/>
          </w:tcPr>
          <w:p w:rsidR="00A4243B" w:rsidRDefault="00BA33F6">
            <w:pPr>
              <w:jc w:val="center"/>
            </w:pPr>
            <w:r>
              <w:rPr>
                <w:rFonts w:eastAsiaTheme="minorEastAsia"/>
                <w:kern w:val="0"/>
                <w:sz w:val="24"/>
                <w:szCs w:val="24"/>
              </w:rPr>
              <w:t>10</w:t>
            </w:r>
          </w:p>
        </w:tc>
        <w:tc>
          <w:tcPr>
            <w:tcW w:w="1276" w:type="dxa"/>
            <w:vAlign w:val="center"/>
          </w:tcPr>
          <w:p w:rsidR="00A4243B" w:rsidRDefault="00BA33F6">
            <w:pPr>
              <w:jc w:val="center"/>
            </w:pPr>
            <w:r>
              <w:rPr>
                <w:rFonts w:eastAsiaTheme="minorEastAsia"/>
                <w:kern w:val="0"/>
                <w:sz w:val="24"/>
                <w:szCs w:val="24"/>
              </w:rPr>
              <w:t>603816</w:t>
            </w:r>
          </w:p>
        </w:tc>
        <w:tc>
          <w:tcPr>
            <w:tcW w:w="1701" w:type="dxa"/>
            <w:vAlign w:val="center"/>
          </w:tcPr>
          <w:p w:rsidR="00A4243B" w:rsidRDefault="00BA33F6">
            <w:pPr>
              <w:jc w:val="center"/>
            </w:pPr>
            <w:r>
              <w:rPr>
                <w:rFonts w:eastAsiaTheme="minorEastAsia"/>
                <w:kern w:val="0"/>
                <w:sz w:val="24"/>
                <w:szCs w:val="24"/>
              </w:rPr>
              <w:t>顾家家居</w:t>
            </w:r>
          </w:p>
        </w:tc>
        <w:tc>
          <w:tcPr>
            <w:tcW w:w="1276" w:type="dxa"/>
            <w:vAlign w:val="center"/>
          </w:tcPr>
          <w:p w:rsidR="00A4243B" w:rsidRDefault="00BA33F6">
            <w:pPr>
              <w:jc w:val="right"/>
            </w:pPr>
            <w:r>
              <w:rPr>
                <w:rFonts w:eastAsiaTheme="minorEastAsia"/>
                <w:kern w:val="0"/>
                <w:sz w:val="24"/>
                <w:szCs w:val="24"/>
              </w:rPr>
              <w:t>693,748</w:t>
            </w:r>
          </w:p>
        </w:tc>
        <w:tc>
          <w:tcPr>
            <w:tcW w:w="1842" w:type="dxa"/>
            <w:vAlign w:val="center"/>
          </w:tcPr>
          <w:p w:rsidR="00A4243B" w:rsidRDefault="00BA33F6">
            <w:pPr>
              <w:jc w:val="right"/>
            </w:pPr>
            <w:r>
              <w:rPr>
                <w:rFonts w:eastAsiaTheme="minorEastAsia"/>
                <w:kern w:val="0"/>
                <w:sz w:val="24"/>
                <w:szCs w:val="24"/>
              </w:rPr>
              <w:t>53,612,845.44</w:t>
            </w:r>
          </w:p>
        </w:tc>
        <w:tc>
          <w:tcPr>
            <w:tcW w:w="1616" w:type="dxa"/>
            <w:vAlign w:val="center"/>
          </w:tcPr>
          <w:p w:rsidR="00A4243B" w:rsidRDefault="00BA33F6">
            <w:pPr>
              <w:jc w:val="right"/>
            </w:pPr>
            <w:r>
              <w:rPr>
                <w:rFonts w:eastAsiaTheme="minorEastAsia"/>
                <w:kern w:val="0"/>
                <w:sz w:val="24"/>
                <w:szCs w:val="24"/>
              </w:rPr>
              <w:t>2.35</w:t>
            </w:r>
          </w:p>
        </w:tc>
      </w:tr>
      <w:bookmarkEnd w:id="2"/>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559,182.86</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53,394.55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278,475.33</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891,052.74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因四舍五入的原因，投资组合报告中分项之和与合计数可能存在尾差。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1,080,166,797.55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110,137,168.52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23,476,237.09</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1,166,827,728.98</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1</w:t>
      </w:r>
      <w:r>
        <w:rPr>
          <w:rFonts w:eastAsiaTheme="minorEastAsia"/>
          <w:color w:val="000000" w:themeColor="text1"/>
        </w:rPr>
        <w:t>、中国证监会批准上投摩根成长先锋混合型证券投资基金设立的文件；</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2</w:t>
      </w:r>
      <w:r>
        <w:rPr>
          <w:rFonts w:eastAsiaTheme="minorEastAsia"/>
          <w:color w:val="000000" w:themeColor="text1"/>
        </w:rPr>
        <w:t>、《上投摩根成长先锋混合型证券投资基金基金合同》；</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3</w:t>
      </w:r>
      <w:r>
        <w:rPr>
          <w:rFonts w:eastAsiaTheme="minorEastAsia"/>
          <w:color w:val="000000" w:themeColor="text1"/>
        </w:rPr>
        <w:t>、《上投摩根成长先锋混合型证券投资基金托管协议》；</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4</w:t>
      </w:r>
      <w:r>
        <w:rPr>
          <w:rFonts w:eastAsiaTheme="minorEastAsia"/>
          <w:color w:val="000000" w:themeColor="text1"/>
        </w:rPr>
        <w:t>、《上投摩根开放式基金业务规则》；</w:t>
      </w:r>
    </w:p>
    <w:p w:rsidR="00A4243B" w:rsidRDefault="00BA33F6">
      <w:pPr>
        <w:spacing w:line="360" w:lineRule="auto"/>
        <w:ind w:firstLineChars="200" w:firstLine="420"/>
        <w:rPr>
          <w:rFonts w:eastAsiaTheme="minorEastAsia"/>
          <w:color w:val="000000" w:themeColor="text1"/>
        </w:rPr>
      </w:pPr>
      <w:r>
        <w:rPr>
          <w:rFonts w:eastAsiaTheme="minorEastAsia"/>
          <w:color w:val="000000" w:themeColor="text1"/>
        </w:rPr>
        <w:t>5</w:t>
      </w:r>
      <w:r>
        <w:rPr>
          <w:rFonts w:eastAsiaTheme="minorEastAsia"/>
          <w:color w:val="000000" w:themeColor="text1"/>
        </w:rPr>
        <w:t>、</w:t>
      </w:r>
      <w:r>
        <w:rPr>
          <w:rFonts w:eastAsiaTheme="minorEastAsia"/>
          <w:color w:val="000000" w:themeColor="text1"/>
        </w:rPr>
        <w:t xml:space="preserve"> </w:t>
      </w:r>
      <w:r>
        <w:rPr>
          <w:rFonts w:eastAsiaTheme="minorEastAsia"/>
          <w:color w:val="000000" w:themeColor="text1"/>
        </w:rPr>
        <w:t>基金管理人业务资格批件、营业执照；</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6</w:t>
      </w:r>
      <w:r w:rsidRPr="00FF6B9A">
        <w:rPr>
          <w:rFonts w:eastAsiaTheme="minorEastAsia"/>
          <w:color w:val="000000" w:themeColor="text1"/>
        </w:rPr>
        <w:t>、基金托管人业务资格批件和营业执照。</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AE0859" w:rsidRPr="00AE0859">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AE0859">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上投摩根成长先锋混合型证券投资基金</w:t>
    </w:r>
    <w:r>
      <w:rPr>
        <w:rFonts w:hint="eastAsia"/>
      </w:rPr>
      <w:t>2021</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243B"/>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0859"/>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33F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120B"/>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0646">
      <w:bodyDiv w:val="1"/>
      <w:marLeft w:val="0"/>
      <w:marRight w:val="0"/>
      <w:marTop w:val="0"/>
      <w:marBottom w:val="0"/>
      <w:divBdr>
        <w:top w:val="none" w:sz="0" w:space="0" w:color="auto"/>
        <w:left w:val="none" w:sz="0" w:space="0" w:color="auto"/>
        <w:bottom w:val="none" w:sz="0" w:space="0" w:color="auto"/>
        <w:right w:val="none" w:sz="0" w:space="0" w:color="auto"/>
      </w:divBdr>
    </w:div>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24B41F-CCB4-46BD-8957-8EDC26DF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270</cp:revision>
  <dcterms:created xsi:type="dcterms:W3CDTF">2012-10-16T06:07:00Z</dcterms:created>
  <dcterms:modified xsi:type="dcterms:W3CDTF">2021-07-20T08:07:00Z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