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上投摩根成长先锋混合型证券投资基金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2021年3月31日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二〇二一年四月二十二日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基金托管人中国建设银行股份有限公司根据本基金合同规定，于</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本报告期自2021年1月1日起至3月31日止。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上投摩根成长先锋混合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378010</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378010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2006年9月20日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1,080,166,797.55</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本基金主要投资于国内市场上展现最佳成长特质的股票，积极捕捉高成长性上市公司所带来的投资机会，努力实现基金资产长期稳健增值。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（1）股票投资策略 本基金采取定量分析与定性分析相结合方式，挖掘具有突出成长潜力且被当前市场低估的上市公司，主动出击、积极管理将是本基金运作的重要特色。 （2）固定收益类投资策略 本基金以股票投资为主，一般</w:t>
            </w:r>
            <w:r>
              <w:rPr>
                <w:rFonts w:asciiTheme="minorEastAsia" w:eastAsiaTheme="minorEastAsia" w:hAnsiTheme="minorEastAsia"/>
                <w:color w:val="000000" w:themeColor="text1"/>
                <w:kern w:val="0"/>
              </w:rPr>
              <w:lastRenderedPageBreak/>
              <w:t>市场情况下，基金管理人不会积极追求大类资产配置，但为进一步控制投资风险，优化组合流动性管理，本基金将适度防御性资产配置，进行债券、货币市场工具等品种投资。 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沪深300指数收益率×80%+中债总指数收益率×20%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1E55E2" w:rsidRDefault="005646C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本基金是主动型混合型基金，属于证券投资基金的较高风险品种，预期风险收益水平低于股票型基金，高于债券基金和货币市场基金。</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646C1" w:rsidTr="005646C1">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2021年1月1日-2021年3月31日</w:t>
            </w:r>
            <w:r>
              <w:rPr>
                <w:rFonts w:asciiTheme="minorEastAsia" w:eastAsiaTheme="minorEastAsia" w:hAnsiTheme="minorEastAsia" w:cs="宋体" w:hint="eastAsia"/>
                <w:color w:val="000000" w:themeColor="text1"/>
              </w:rPr>
              <w:t>)</w:t>
            </w:r>
          </w:p>
        </w:tc>
      </w:tr>
      <w:tr w:rsidR="005646C1" w:rsidTr="005646C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70,414,748.73</w:t>
            </w:r>
          </w:p>
        </w:tc>
      </w:tr>
      <w:tr w:rsidR="005646C1" w:rsidTr="005646C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6,823,374.94</w:t>
            </w:r>
          </w:p>
        </w:tc>
      </w:tr>
      <w:tr w:rsidR="005646C1" w:rsidTr="005646C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lastRenderedPageBreak/>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0.0061</w:t>
            </w:r>
          </w:p>
        </w:tc>
      </w:tr>
      <w:tr w:rsidR="005646C1" w:rsidTr="005646C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1,863,107,198.13</w:t>
            </w:r>
          </w:p>
        </w:tc>
      </w:tr>
      <w:tr w:rsidR="005646C1" w:rsidTr="005646C1">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1.7248</w:t>
            </w:r>
          </w:p>
        </w:tc>
      </w:tr>
    </w:tbl>
    <w:p w:rsidR="001E55E2" w:rsidRDefault="005646C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1E55E2">
        <w:tc>
          <w:tcPr>
            <w:tcW w:w="1395" w:type="dxa"/>
            <w:vAlign w:val="center"/>
          </w:tcPr>
          <w:p w:rsidR="001E55E2" w:rsidRDefault="005646C1">
            <w:pPr>
              <w:jc w:val="left"/>
            </w:pPr>
            <w:r>
              <w:rPr>
                <w:rFonts w:asciiTheme="minorEastAsia" w:eastAsiaTheme="minorEastAsia" w:hAnsiTheme="minorEastAsia"/>
                <w:color w:val="000000" w:themeColor="text1"/>
                <w:kern w:val="0"/>
              </w:rPr>
              <w:t>过去三个月</w:t>
            </w:r>
          </w:p>
        </w:tc>
        <w:tc>
          <w:tcPr>
            <w:tcW w:w="1092" w:type="dxa"/>
            <w:vAlign w:val="center"/>
          </w:tcPr>
          <w:p w:rsidR="001E55E2" w:rsidRDefault="005646C1">
            <w:pPr>
              <w:jc w:val="center"/>
            </w:pPr>
            <w:r>
              <w:rPr>
                <w:rFonts w:asciiTheme="minorEastAsia" w:eastAsiaTheme="minorEastAsia" w:hAnsiTheme="minorEastAsia"/>
                <w:color w:val="000000" w:themeColor="text1"/>
                <w:kern w:val="0"/>
              </w:rPr>
              <w:t>0.06%</w:t>
            </w:r>
          </w:p>
        </w:tc>
        <w:tc>
          <w:tcPr>
            <w:tcW w:w="1161" w:type="dxa"/>
            <w:vAlign w:val="center"/>
          </w:tcPr>
          <w:p w:rsidR="001E55E2" w:rsidRDefault="005646C1">
            <w:pPr>
              <w:jc w:val="center"/>
            </w:pPr>
            <w:r>
              <w:rPr>
                <w:rFonts w:asciiTheme="minorEastAsia" w:eastAsiaTheme="minorEastAsia" w:hAnsiTheme="minorEastAsia"/>
                <w:color w:val="000000" w:themeColor="text1"/>
                <w:kern w:val="0"/>
              </w:rPr>
              <w:t>1.74%</w:t>
            </w:r>
          </w:p>
        </w:tc>
        <w:tc>
          <w:tcPr>
            <w:tcW w:w="1181" w:type="dxa"/>
            <w:vAlign w:val="center"/>
          </w:tcPr>
          <w:p w:rsidR="001E55E2" w:rsidRDefault="005646C1">
            <w:pPr>
              <w:jc w:val="center"/>
            </w:pPr>
            <w:r>
              <w:rPr>
                <w:rFonts w:asciiTheme="minorEastAsia" w:eastAsiaTheme="minorEastAsia" w:hAnsiTheme="minorEastAsia"/>
                <w:color w:val="000000" w:themeColor="text1"/>
                <w:kern w:val="0"/>
              </w:rPr>
              <w:t>-2.54%</w:t>
            </w:r>
          </w:p>
        </w:tc>
        <w:tc>
          <w:tcPr>
            <w:tcW w:w="1188" w:type="dxa"/>
            <w:vAlign w:val="center"/>
          </w:tcPr>
          <w:p w:rsidR="001E55E2" w:rsidRDefault="005646C1">
            <w:pPr>
              <w:jc w:val="center"/>
            </w:pPr>
            <w:r>
              <w:rPr>
                <w:rFonts w:asciiTheme="minorEastAsia" w:eastAsiaTheme="minorEastAsia" w:hAnsiTheme="minorEastAsia"/>
                <w:color w:val="000000" w:themeColor="text1"/>
                <w:kern w:val="0"/>
              </w:rPr>
              <w:t>1.28%</w:t>
            </w:r>
          </w:p>
        </w:tc>
        <w:tc>
          <w:tcPr>
            <w:tcW w:w="1199" w:type="dxa"/>
            <w:vAlign w:val="center"/>
          </w:tcPr>
          <w:p w:rsidR="001E55E2" w:rsidRDefault="005646C1">
            <w:pPr>
              <w:jc w:val="center"/>
            </w:pPr>
            <w:r>
              <w:rPr>
                <w:rFonts w:asciiTheme="minorEastAsia" w:eastAsiaTheme="minorEastAsia" w:hAnsiTheme="minorEastAsia"/>
                <w:color w:val="000000" w:themeColor="text1"/>
                <w:kern w:val="0"/>
              </w:rPr>
              <w:t>2.60%</w:t>
            </w:r>
          </w:p>
        </w:tc>
        <w:tc>
          <w:tcPr>
            <w:tcW w:w="1204" w:type="dxa"/>
            <w:vAlign w:val="center"/>
          </w:tcPr>
          <w:p w:rsidR="001E55E2" w:rsidRDefault="005646C1">
            <w:pPr>
              <w:jc w:val="center"/>
            </w:pPr>
            <w:r>
              <w:rPr>
                <w:rFonts w:asciiTheme="minorEastAsia" w:eastAsiaTheme="minorEastAsia" w:hAnsiTheme="minorEastAsia"/>
                <w:color w:val="000000" w:themeColor="text1"/>
                <w:kern w:val="0"/>
              </w:rPr>
              <w:t>0.46%</w:t>
            </w:r>
          </w:p>
        </w:tc>
      </w:tr>
      <w:tr w:rsidR="001E55E2">
        <w:tc>
          <w:tcPr>
            <w:tcW w:w="1395" w:type="dxa"/>
            <w:vAlign w:val="center"/>
          </w:tcPr>
          <w:p w:rsidR="001E55E2" w:rsidRDefault="005646C1">
            <w:pPr>
              <w:jc w:val="left"/>
            </w:pPr>
            <w:r>
              <w:rPr>
                <w:rFonts w:asciiTheme="minorEastAsia" w:eastAsiaTheme="minorEastAsia" w:hAnsiTheme="minorEastAsia"/>
                <w:color w:val="000000" w:themeColor="text1"/>
                <w:kern w:val="0"/>
              </w:rPr>
              <w:t>过去六个月</w:t>
            </w:r>
          </w:p>
        </w:tc>
        <w:tc>
          <w:tcPr>
            <w:tcW w:w="1092" w:type="dxa"/>
            <w:vAlign w:val="center"/>
          </w:tcPr>
          <w:p w:rsidR="001E55E2" w:rsidRDefault="005646C1">
            <w:pPr>
              <w:jc w:val="center"/>
            </w:pPr>
            <w:r>
              <w:rPr>
                <w:rFonts w:asciiTheme="minorEastAsia" w:eastAsiaTheme="minorEastAsia" w:hAnsiTheme="minorEastAsia"/>
                <w:color w:val="000000" w:themeColor="text1"/>
                <w:kern w:val="0"/>
              </w:rPr>
              <w:t>9.59%</w:t>
            </w:r>
          </w:p>
        </w:tc>
        <w:tc>
          <w:tcPr>
            <w:tcW w:w="1161" w:type="dxa"/>
            <w:vAlign w:val="center"/>
          </w:tcPr>
          <w:p w:rsidR="001E55E2" w:rsidRDefault="005646C1">
            <w:pPr>
              <w:jc w:val="center"/>
            </w:pPr>
            <w:r>
              <w:rPr>
                <w:rFonts w:asciiTheme="minorEastAsia" w:eastAsiaTheme="minorEastAsia" w:hAnsiTheme="minorEastAsia"/>
                <w:color w:val="000000" w:themeColor="text1"/>
                <w:kern w:val="0"/>
              </w:rPr>
              <w:t>1.47%</w:t>
            </w:r>
          </w:p>
        </w:tc>
        <w:tc>
          <w:tcPr>
            <w:tcW w:w="1181" w:type="dxa"/>
            <w:vAlign w:val="center"/>
          </w:tcPr>
          <w:p w:rsidR="001E55E2" w:rsidRDefault="005646C1">
            <w:pPr>
              <w:jc w:val="center"/>
            </w:pPr>
            <w:r>
              <w:rPr>
                <w:rFonts w:asciiTheme="minorEastAsia" w:eastAsiaTheme="minorEastAsia" w:hAnsiTheme="minorEastAsia"/>
                <w:color w:val="000000" w:themeColor="text1"/>
                <w:kern w:val="0"/>
              </w:rPr>
              <w:t>8.20%</w:t>
            </w:r>
          </w:p>
        </w:tc>
        <w:tc>
          <w:tcPr>
            <w:tcW w:w="1188" w:type="dxa"/>
            <w:vAlign w:val="center"/>
          </w:tcPr>
          <w:p w:rsidR="001E55E2" w:rsidRDefault="005646C1">
            <w:pPr>
              <w:jc w:val="center"/>
            </w:pPr>
            <w:r>
              <w:rPr>
                <w:rFonts w:asciiTheme="minorEastAsia" w:eastAsiaTheme="minorEastAsia" w:hAnsiTheme="minorEastAsia"/>
                <w:color w:val="000000" w:themeColor="text1"/>
                <w:kern w:val="0"/>
              </w:rPr>
              <w:t>1.06%</w:t>
            </w:r>
          </w:p>
        </w:tc>
        <w:tc>
          <w:tcPr>
            <w:tcW w:w="1199" w:type="dxa"/>
            <w:vAlign w:val="center"/>
          </w:tcPr>
          <w:p w:rsidR="001E55E2" w:rsidRDefault="005646C1">
            <w:pPr>
              <w:jc w:val="center"/>
            </w:pPr>
            <w:r>
              <w:rPr>
                <w:rFonts w:asciiTheme="minorEastAsia" w:eastAsiaTheme="minorEastAsia" w:hAnsiTheme="minorEastAsia"/>
                <w:color w:val="000000" w:themeColor="text1"/>
                <w:kern w:val="0"/>
              </w:rPr>
              <w:t>1.39%</w:t>
            </w:r>
          </w:p>
        </w:tc>
        <w:tc>
          <w:tcPr>
            <w:tcW w:w="1204" w:type="dxa"/>
            <w:vAlign w:val="center"/>
          </w:tcPr>
          <w:p w:rsidR="001E55E2" w:rsidRDefault="005646C1">
            <w:pPr>
              <w:jc w:val="center"/>
            </w:pPr>
            <w:r>
              <w:rPr>
                <w:rFonts w:asciiTheme="minorEastAsia" w:eastAsiaTheme="minorEastAsia" w:hAnsiTheme="minorEastAsia"/>
                <w:color w:val="000000" w:themeColor="text1"/>
                <w:kern w:val="0"/>
              </w:rPr>
              <w:t>0.41%</w:t>
            </w:r>
          </w:p>
        </w:tc>
      </w:tr>
      <w:tr w:rsidR="001E55E2">
        <w:tc>
          <w:tcPr>
            <w:tcW w:w="1395" w:type="dxa"/>
            <w:vAlign w:val="center"/>
          </w:tcPr>
          <w:p w:rsidR="001E55E2" w:rsidRDefault="005646C1">
            <w:pPr>
              <w:jc w:val="left"/>
            </w:pPr>
            <w:r>
              <w:rPr>
                <w:rFonts w:asciiTheme="minorEastAsia" w:eastAsiaTheme="minorEastAsia" w:hAnsiTheme="minorEastAsia"/>
                <w:color w:val="000000" w:themeColor="text1"/>
                <w:kern w:val="0"/>
              </w:rPr>
              <w:t>过去一年</w:t>
            </w:r>
          </w:p>
        </w:tc>
        <w:tc>
          <w:tcPr>
            <w:tcW w:w="1092" w:type="dxa"/>
            <w:vAlign w:val="center"/>
          </w:tcPr>
          <w:p w:rsidR="001E55E2" w:rsidRDefault="005646C1">
            <w:pPr>
              <w:jc w:val="center"/>
            </w:pPr>
            <w:r>
              <w:rPr>
                <w:rFonts w:asciiTheme="minorEastAsia" w:eastAsiaTheme="minorEastAsia" w:hAnsiTheme="minorEastAsia"/>
                <w:color w:val="000000" w:themeColor="text1"/>
                <w:kern w:val="0"/>
              </w:rPr>
              <w:t>60.01%</w:t>
            </w:r>
          </w:p>
        </w:tc>
        <w:tc>
          <w:tcPr>
            <w:tcW w:w="1161" w:type="dxa"/>
            <w:vAlign w:val="center"/>
          </w:tcPr>
          <w:p w:rsidR="001E55E2" w:rsidRDefault="005646C1">
            <w:pPr>
              <w:jc w:val="center"/>
            </w:pPr>
            <w:r>
              <w:rPr>
                <w:rFonts w:asciiTheme="minorEastAsia" w:eastAsiaTheme="minorEastAsia" w:hAnsiTheme="minorEastAsia"/>
                <w:color w:val="000000" w:themeColor="text1"/>
                <w:kern w:val="0"/>
              </w:rPr>
              <w:t>1.50%</w:t>
            </w:r>
          </w:p>
        </w:tc>
        <w:tc>
          <w:tcPr>
            <w:tcW w:w="1181" w:type="dxa"/>
            <w:vAlign w:val="center"/>
          </w:tcPr>
          <w:p w:rsidR="001E55E2" w:rsidRDefault="005646C1">
            <w:pPr>
              <w:jc w:val="center"/>
            </w:pPr>
            <w:r>
              <w:rPr>
                <w:rFonts w:asciiTheme="minorEastAsia" w:eastAsiaTheme="minorEastAsia" w:hAnsiTheme="minorEastAsia"/>
                <w:color w:val="000000" w:themeColor="text1"/>
                <w:kern w:val="0"/>
              </w:rPr>
              <w:t>28.99%</w:t>
            </w:r>
          </w:p>
        </w:tc>
        <w:tc>
          <w:tcPr>
            <w:tcW w:w="1188" w:type="dxa"/>
            <w:vAlign w:val="center"/>
          </w:tcPr>
          <w:p w:rsidR="001E55E2" w:rsidRDefault="005646C1">
            <w:pPr>
              <w:jc w:val="center"/>
            </w:pPr>
            <w:r>
              <w:rPr>
                <w:rFonts w:asciiTheme="minorEastAsia" w:eastAsiaTheme="minorEastAsia" w:hAnsiTheme="minorEastAsia"/>
                <w:color w:val="000000" w:themeColor="text1"/>
                <w:kern w:val="0"/>
              </w:rPr>
              <w:t>1.05%</w:t>
            </w:r>
          </w:p>
        </w:tc>
        <w:tc>
          <w:tcPr>
            <w:tcW w:w="1199" w:type="dxa"/>
            <w:vAlign w:val="center"/>
          </w:tcPr>
          <w:p w:rsidR="001E55E2" w:rsidRDefault="005646C1">
            <w:pPr>
              <w:jc w:val="center"/>
            </w:pPr>
            <w:r>
              <w:rPr>
                <w:rFonts w:asciiTheme="minorEastAsia" w:eastAsiaTheme="minorEastAsia" w:hAnsiTheme="minorEastAsia"/>
                <w:color w:val="000000" w:themeColor="text1"/>
                <w:kern w:val="0"/>
              </w:rPr>
              <w:t>31.02%</w:t>
            </w:r>
          </w:p>
        </w:tc>
        <w:tc>
          <w:tcPr>
            <w:tcW w:w="1204" w:type="dxa"/>
            <w:vAlign w:val="center"/>
          </w:tcPr>
          <w:p w:rsidR="001E55E2" w:rsidRDefault="005646C1">
            <w:pPr>
              <w:jc w:val="center"/>
            </w:pPr>
            <w:r>
              <w:rPr>
                <w:rFonts w:asciiTheme="minorEastAsia" w:eastAsiaTheme="minorEastAsia" w:hAnsiTheme="minorEastAsia"/>
                <w:color w:val="000000" w:themeColor="text1"/>
                <w:kern w:val="0"/>
              </w:rPr>
              <w:t>0.45%</w:t>
            </w:r>
          </w:p>
        </w:tc>
      </w:tr>
      <w:tr w:rsidR="001E55E2">
        <w:tc>
          <w:tcPr>
            <w:tcW w:w="1395" w:type="dxa"/>
            <w:vAlign w:val="center"/>
          </w:tcPr>
          <w:p w:rsidR="001E55E2" w:rsidRDefault="005646C1">
            <w:pPr>
              <w:jc w:val="left"/>
            </w:pPr>
            <w:r>
              <w:rPr>
                <w:rFonts w:asciiTheme="minorEastAsia" w:eastAsiaTheme="minorEastAsia" w:hAnsiTheme="minorEastAsia"/>
                <w:color w:val="000000" w:themeColor="text1"/>
                <w:kern w:val="0"/>
              </w:rPr>
              <w:t>过去三年</w:t>
            </w:r>
          </w:p>
        </w:tc>
        <w:tc>
          <w:tcPr>
            <w:tcW w:w="1092" w:type="dxa"/>
            <w:vAlign w:val="center"/>
          </w:tcPr>
          <w:p w:rsidR="001E55E2" w:rsidRDefault="005646C1">
            <w:pPr>
              <w:jc w:val="center"/>
            </w:pPr>
            <w:r>
              <w:rPr>
                <w:rFonts w:asciiTheme="minorEastAsia" w:eastAsiaTheme="minorEastAsia" w:hAnsiTheme="minorEastAsia"/>
                <w:color w:val="000000" w:themeColor="text1"/>
                <w:kern w:val="0"/>
              </w:rPr>
              <w:t>99.77%</w:t>
            </w:r>
          </w:p>
        </w:tc>
        <w:tc>
          <w:tcPr>
            <w:tcW w:w="1161" w:type="dxa"/>
            <w:vAlign w:val="center"/>
          </w:tcPr>
          <w:p w:rsidR="001E55E2" w:rsidRDefault="005646C1">
            <w:pPr>
              <w:jc w:val="center"/>
            </w:pPr>
            <w:r>
              <w:rPr>
                <w:rFonts w:asciiTheme="minorEastAsia" w:eastAsiaTheme="minorEastAsia" w:hAnsiTheme="minorEastAsia"/>
                <w:color w:val="000000" w:themeColor="text1"/>
                <w:kern w:val="0"/>
              </w:rPr>
              <w:t>1.40%</w:t>
            </w:r>
          </w:p>
        </w:tc>
        <w:tc>
          <w:tcPr>
            <w:tcW w:w="1181" w:type="dxa"/>
            <w:vAlign w:val="center"/>
          </w:tcPr>
          <w:p w:rsidR="001E55E2" w:rsidRDefault="005646C1">
            <w:pPr>
              <w:jc w:val="center"/>
            </w:pPr>
            <w:r>
              <w:rPr>
                <w:rFonts w:asciiTheme="minorEastAsia" w:eastAsiaTheme="minorEastAsia" w:hAnsiTheme="minorEastAsia"/>
                <w:color w:val="000000" w:themeColor="text1"/>
                <w:kern w:val="0"/>
              </w:rPr>
              <w:t>24.73%</w:t>
            </w:r>
          </w:p>
        </w:tc>
        <w:tc>
          <w:tcPr>
            <w:tcW w:w="1188" w:type="dxa"/>
            <w:vAlign w:val="center"/>
          </w:tcPr>
          <w:p w:rsidR="001E55E2" w:rsidRDefault="005646C1">
            <w:pPr>
              <w:jc w:val="center"/>
            </w:pPr>
            <w:r>
              <w:rPr>
                <w:rFonts w:asciiTheme="minorEastAsia" w:eastAsiaTheme="minorEastAsia" w:hAnsiTheme="minorEastAsia"/>
                <w:color w:val="000000" w:themeColor="text1"/>
                <w:kern w:val="0"/>
              </w:rPr>
              <w:t>1.10%</w:t>
            </w:r>
          </w:p>
        </w:tc>
        <w:tc>
          <w:tcPr>
            <w:tcW w:w="1199" w:type="dxa"/>
            <w:vAlign w:val="center"/>
          </w:tcPr>
          <w:p w:rsidR="001E55E2" w:rsidRDefault="005646C1">
            <w:pPr>
              <w:jc w:val="center"/>
            </w:pPr>
            <w:r>
              <w:rPr>
                <w:rFonts w:asciiTheme="minorEastAsia" w:eastAsiaTheme="minorEastAsia" w:hAnsiTheme="minorEastAsia"/>
                <w:color w:val="000000" w:themeColor="text1"/>
                <w:kern w:val="0"/>
              </w:rPr>
              <w:t>75.04%</w:t>
            </w:r>
          </w:p>
        </w:tc>
        <w:tc>
          <w:tcPr>
            <w:tcW w:w="1204" w:type="dxa"/>
            <w:vAlign w:val="center"/>
          </w:tcPr>
          <w:p w:rsidR="001E55E2" w:rsidRDefault="005646C1">
            <w:pPr>
              <w:jc w:val="center"/>
            </w:pPr>
            <w:r>
              <w:rPr>
                <w:rFonts w:asciiTheme="minorEastAsia" w:eastAsiaTheme="minorEastAsia" w:hAnsiTheme="minorEastAsia"/>
                <w:color w:val="000000" w:themeColor="text1"/>
                <w:kern w:val="0"/>
              </w:rPr>
              <w:t>0.30%</w:t>
            </w:r>
          </w:p>
        </w:tc>
      </w:tr>
      <w:tr w:rsidR="001E55E2">
        <w:tc>
          <w:tcPr>
            <w:tcW w:w="1395" w:type="dxa"/>
            <w:vAlign w:val="center"/>
          </w:tcPr>
          <w:p w:rsidR="001E55E2" w:rsidRDefault="005646C1">
            <w:pPr>
              <w:jc w:val="left"/>
            </w:pPr>
            <w:r>
              <w:rPr>
                <w:rFonts w:asciiTheme="minorEastAsia" w:eastAsiaTheme="minorEastAsia" w:hAnsiTheme="minorEastAsia"/>
                <w:color w:val="000000" w:themeColor="text1"/>
                <w:kern w:val="0"/>
              </w:rPr>
              <w:t>过去五年</w:t>
            </w:r>
          </w:p>
        </w:tc>
        <w:tc>
          <w:tcPr>
            <w:tcW w:w="1092" w:type="dxa"/>
            <w:vAlign w:val="center"/>
          </w:tcPr>
          <w:p w:rsidR="001E55E2" w:rsidRDefault="005646C1">
            <w:pPr>
              <w:jc w:val="center"/>
            </w:pPr>
            <w:r>
              <w:rPr>
                <w:rFonts w:asciiTheme="minorEastAsia" w:eastAsiaTheme="minorEastAsia" w:hAnsiTheme="minorEastAsia"/>
                <w:color w:val="000000" w:themeColor="text1"/>
                <w:kern w:val="0"/>
              </w:rPr>
              <w:t>110.72%</w:t>
            </w:r>
          </w:p>
        </w:tc>
        <w:tc>
          <w:tcPr>
            <w:tcW w:w="1161" w:type="dxa"/>
            <w:vAlign w:val="center"/>
          </w:tcPr>
          <w:p w:rsidR="001E55E2" w:rsidRDefault="005646C1">
            <w:pPr>
              <w:jc w:val="center"/>
            </w:pPr>
            <w:r>
              <w:rPr>
                <w:rFonts w:asciiTheme="minorEastAsia" w:eastAsiaTheme="minorEastAsia" w:hAnsiTheme="minorEastAsia"/>
                <w:color w:val="000000" w:themeColor="text1"/>
                <w:kern w:val="0"/>
              </w:rPr>
              <w:t>1.26%</w:t>
            </w:r>
          </w:p>
        </w:tc>
        <w:tc>
          <w:tcPr>
            <w:tcW w:w="1181" w:type="dxa"/>
            <w:vAlign w:val="center"/>
          </w:tcPr>
          <w:p w:rsidR="001E55E2" w:rsidRDefault="005646C1">
            <w:pPr>
              <w:jc w:val="center"/>
            </w:pPr>
            <w:r>
              <w:rPr>
                <w:rFonts w:asciiTheme="minorEastAsia" w:eastAsiaTheme="minorEastAsia" w:hAnsiTheme="minorEastAsia"/>
                <w:color w:val="000000" w:themeColor="text1"/>
                <w:kern w:val="0"/>
              </w:rPr>
              <w:t>45.55%</w:t>
            </w:r>
          </w:p>
        </w:tc>
        <w:tc>
          <w:tcPr>
            <w:tcW w:w="1188" w:type="dxa"/>
            <w:vAlign w:val="center"/>
          </w:tcPr>
          <w:p w:rsidR="001E55E2" w:rsidRDefault="005646C1">
            <w:pPr>
              <w:jc w:val="center"/>
            </w:pPr>
            <w:r>
              <w:rPr>
                <w:rFonts w:asciiTheme="minorEastAsia" w:eastAsiaTheme="minorEastAsia" w:hAnsiTheme="minorEastAsia"/>
                <w:color w:val="000000" w:themeColor="text1"/>
                <w:kern w:val="0"/>
              </w:rPr>
              <w:t>0.94%</w:t>
            </w:r>
          </w:p>
        </w:tc>
        <w:tc>
          <w:tcPr>
            <w:tcW w:w="1199" w:type="dxa"/>
            <w:vAlign w:val="center"/>
          </w:tcPr>
          <w:p w:rsidR="001E55E2" w:rsidRDefault="005646C1">
            <w:pPr>
              <w:jc w:val="center"/>
            </w:pPr>
            <w:r>
              <w:rPr>
                <w:rFonts w:asciiTheme="minorEastAsia" w:eastAsiaTheme="minorEastAsia" w:hAnsiTheme="minorEastAsia"/>
                <w:color w:val="000000" w:themeColor="text1"/>
                <w:kern w:val="0"/>
              </w:rPr>
              <w:t>65.17%</w:t>
            </w:r>
          </w:p>
        </w:tc>
        <w:tc>
          <w:tcPr>
            <w:tcW w:w="1204" w:type="dxa"/>
            <w:vAlign w:val="center"/>
          </w:tcPr>
          <w:p w:rsidR="001E55E2" w:rsidRDefault="005646C1">
            <w:pPr>
              <w:jc w:val="center"/>
            </w:pPr>
            <w:r>
              <w:rPr>
                <w:rFonts w:asciiTheme="minorEastAsia" w:eastAsiaTheme="minorEastAsia" w:hAnsiTheme="minorEastAsia"/>
                <w:color w:val="000000" w:themeColor="text1"/>
                <w:kern w:val="0"/>
              </w:rPr>
              <w:t>0.32%</w:t>
            </w:r>
          </w:p>
        </w:tc>
      </w:tr>
      <w:tr w:rsidR="001E55E2">
        <w:tc>
          <w:tcPr>
            <w:tcW w:w="1395" w:type="dxa"/>
            <w:vAlign w:val="center"/>
          </w:tcPr>
          <w:p w:rsidR="001E55E2" w:rsidRDefault="005646C1">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1E55E2" w:rsidRDefault="005646C1">
            <w:pPr>
              <w:jc w:val="center"/>
            </w:pPr>
            <w:r>
              <w:rPr>
                <w:rFonts w:asciiTheme="minorEastAsia" w:eastAsiaTheme="minorEastAsia" w:hAnsiTheme="minorEastAsia"/>
                <w:color w:val="000000" w:themeColor="text1"/>
                <w:kern w:val="0"/>
              </w:rPr>
              <w:t>306.01%</w:t>
            </w:r>
          </w:p>
        </w:tc>
        <w:tc>
          <w:tcPr>
            <w:tcW w:w="1161" w:type="dxa"/>
            <w:vAlign w:val="center"/>
          </w:tcPr>
          <w:p w:rsidR="001E55E2" w:rsidRDefault="005646C1">
            <w:pPr>
              <w:jc w:val="center"/>
            </w:pPr>
            <w:r>
              <w:rPr>
                <w:rFonts w:asciiTheme="minorEastAsia" w:eastAsiaTheme="minorEastAsia" w:hAnsiTheme="minorEastAsia"/>
                <w:color w:val="000000" w:themeColor="text1"/>
                <w:kern w:val="0"/>
              </w:rPr>
              <w:t>1.63%</w:t>
            </w:r>
          </w:p>
        </w:tc>
        <w:tc>
          <w:tcPr>
            <w:tcW w:w="1181" w:type="dxa"/>
            <w:vAlign w:val="center"/>
          </w:tcPr>
          <w:p w:rsidR="001E55E2" w:rsidRDefault="005646C1">
            <w:pPr>
              <w:jc w:val="center"/>
            </w:pPr>
            <w:r>
              <w:rPr>
                <w:rFonts w:asciiTheme="minorEastAsia" w:eastAsiaTheme="minorEastAsia" w:hAnsiTheme="minorEastAsia"/>
                <w:color w:val="000000" w:themeColor="text1"/>
                <w:kern w:val="0"/>
              </w:rPr>
              <w:t>189.96%</w:t>
            </w:r>
          </w:p>
        </w:tc>
        <w:tc>
          <w:tcPr>
            <w:tcW w:w="1188" w:type="dxa"/>
            <w:vAlign w:val="center"/>
          </w:tcPr>
          <w:p w:rsidR="001E55E2" w:rsidRDefault="005646C1">
            <w:pPr>
              <w:jc w:val="center"/>
            </w:pPr>
            <w:r>
              <w:rPr>
                <w:rFonts w:asciiTheme="minorEastAsia" w:eastAsiaTheme="minorEastAsia" w:hAnsiTheme="minorEastAsia"/>
                <w:color w:val="000000" w:themeColor="text1"/>
                <w:kern w:val="0"/>
              </w:rPr>
              <w:t>1.39%</w:t>
            </w:r>
          </w:p>
        </w:tc>
        <w:tc>
          <w:tcPr>
            <w:tcW w:w="1199" w:type="dxa"/>
            <w:vAlign w:val="center"/>
          </w:tcPr>
          <w:p w:rsidR="001E55E2" w:rsidRDefault="005646C1">
            <w:pPr>
              <w:jc w:val="center"/>
            </w:pPr>
            <w:r>
              <w:rPr>
                <w:rFonts w:asciiTheme="minorEastAsia" w:eastAsiaTheme="minorEastAsia" w:hAnsiTheme="minorEastAsia"/>
                <w:color w:val="000000" w:themeColor="text1"/>
                <w:kern w:val="0"/>
              </w:rPr>
              <w:t>116.05%</w:t>
            </w:r>
          </w:p>
        </w:tc>
        <w:tc>
          <w:tcPr>
            <w:tcW w:w="1204" w:type="dxa"/>
            <w:vAlign w:val="center"/>
          </w:tcPr>
          <w:p w:rsidR="001E55E2" w:rsidRDefault="005646C1">
            <w:pPr>
              <w:jc w:val="center"/>
            </w:pPr>
            <w:r>
              <w:rPr>
                <w:rFonts w:asciiTheme="minorEastAsia" w:eastAsiaTheme="minorEastAsia" w:hAnsiTheme="minorEastAsia"/>
                <w:color w:val="000000" w:themeColor="text1"/>
                <w:kern w:val="0"/>
              </w:rPr>
              <w:t>0.24%</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上投摩根成长先锋混合型证券投资基金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2006年9月20日</w:t>
      </w:r>
      <w:r>
        <w:rPr>
          <w:rFonts w:asciiTheme="minorEastAsia" w:eastAsiaTheme="minorEastAsia" w:hAnsiTheme="minorEastAsia" w:hint="eastAsia"/>
          <w:color w:val="000000" w:themeColor="text1"/>
        </w:rPr>
        <w:t>至2021年3月31日)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1E55E2" w:rsidRDefault="005646C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日，图示的时间段为合同生效日至本报告期末。</w:t>
      </w:r>
    </w:p>
    <w:p w:rsidR="001E55E2" w:rsidRDefault="005646C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本基金建仓期为本基金合同生效日起</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个月，建仓期结束时资产配置比例符合本基金基金合同规定。</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本基金的业绩比较基准于2013年12月7日由原“富时中国A600成长指数×80%+同业存款利率×20%”变更为“沪深300指数收益率×80%+中债总指数收益率×20%”。</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1E55E2">
        <w:tc>
          <w:tcPr>
            <w:tcW w:w="851" w:type="dxa"/>
            <w:vAlign w:val="center"/>
          </w:tcPr>
          <w:p w:rsidR="001E55E2" w:rsidRDefault="005646C1">
            <w:pPr>
              <w:jc w:val="center"/>
            </w:pPr>
            <w:r>
              <w:rPr>
                <w:rFonts w:asciiTheme="minorEastAsia" w:eastAsiaTheme="minorEastAsia" w:hAnsiTheme="minorEastAsia"/>
                <w:color w:val="000000" w:themeColor="text1"/>
              </w:rPr>
              <w:t>倪权生</w:t>
            </w:r>
          </w:p>
        </w:tc>
        <w:tc>
          <w:tcPr>
            <w:tcW w:w="850" w:type="dxa"/>
            <w:vAlign w:val="center"/>
          </w:tcPr>
          <w:p w:rsidR="001E55E2" w:rsidRDefault="005646C1">
            <w:pPr>
              <w:jc w:val="center"/>
            </w:pPr>
            <w:r>
              <w:rPr>
                <w:rFonts w:asciiTheme="minorEastAsia" w:eastAsiaTheme="minorEastAsia" w:hAnsiTheme="minorEastAsia"/>
                <w:color w:val="000000" w:themeColor="text1"/>
              </w:rPr>
              <w:t>本基金基金经理</w:t>
            </w:r>
          </w:p>
        </w:tc>
        <w:tc>
          <w:tcPr>
            <w:tcW w:w="1560" w:type="dxa"/>
            <w:vAlign w:val="center"/>
          </w:tcPr>
          <w:p w:rsidR="001E55E2" w:rsidRDefault="005646C1">
            <w:pPr>
              <w:jc w:val="center"/>
            </w:pPr>
            <w:r>
              <w:rPr>
                <w:rFonts w:asciiTheme="minorEastAsia" w:eastAsiaTheme="minorEastAsia" w:hAnsiTheme="minorEastAsia"/>
                <w:color w:val="000000" w:themeColor="text1"/>
              </w:rPr>
              <w:t>2019-12-27</w:t>
            </w:r>
          </w:p>
        </w:tc>
        <w:tc>
          <w:tcPr>
            <w:tcW w:w="1559" w:type="dxa"/>
            <w:vAlign w:val="center"/>
          </w:tcPr>
          <w:p w:rsidR="001E55E2" w:rsidRDefault="005646C1">
            <w:pPr>
              <w:jc w:val="center"/>
            </w:pPr>
            <w:r>
              <w:rPr>
                <w:rFonts w:asciiTheme="minorEastAsia" w:eastAsiaTheme="minorEastAsia" w:hAnsiTheme="minorEastAsia"/>
                <w:color w:val="000000" w:themeColor="text1"/>
              </w:rPr>
              <w:t>-</w:t>
            </w:r>
          </w:p>
        </w:tc>
        <w:tc>
          <w:tcPr>
            <w:tcW w:w="1417" w:type="dxa"/>
            <w:vAlign w:val="center"/>
          </w:tcPr>
          <w:p w:rsidR="001E55E2" w:rsidRDefault="005646C1">
            <w:pPr>
              <w:jc w:val="cente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年</w:t>
            </w:r>
          </w:p>
        </w:tc>
        <w:tc>
          <w:tcPr>
            <w:tcW w:w="2694" w:type="dxa"/>
            <w:vAlign w:val="center"/>
          </w:tcPr>
          <w:p w:rsidR="001E55E2" w:rsidRDefault="005646C1">
            <w:r>
              <w:rPr>
                <w:rFonts w:asciiTheme="minorEastAsia" w:eastAsiaTheme="minorEastAsia" w:hAnsiTheme="minorEastAsia"/>
                <w:color w:val="000000" w:themeColor="text1"/>
              </w:rPr>
              <w:t>倪权生先生，上海交通大学金融学博士。自</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月，在博时基金管理有限公司任高级研究员；</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月，在浙商基金管理有限公司历任投资经理助理、基金经理</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股票投资部副总经理；</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w:t>
            </w:r>
            <w:r>
              <w:rPr>
                <w:rFonts w:asciiTheme="minorEastAsia" w:eastAsiaTheme="minorEastAsia" w:hAnsiTheme="minorEastAsia"/>
                <w:color w:val="000000" w:themeColor="text1"/>
              </w:rPr>
              <w:lastRenderedPageBreak/>
              <w:t>现任国内权益投资部领先组副组长兼资深基金经理。自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月起任上投摩根成长先锋混合型证券投资基金基金经理。</w:t>
            </w:r>
          </w:p>
        </w:tc>
      </w:tr>
    </w:tbl>
    <w:p w:rsidR="001E55E2" w:rsidRDefault="005646C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成长先锋混合型证券投资基金基金合同》的规定。基金经理对个股和投资组合的比例遵循了投资决策委员会的授权限制，基金投资比例符合基金合同和法律法规的要求。</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w:t>
      </w:r>
      <w:r>
        <w:rPr>
          <w:rFonts w:asciiTheme="minorEastAsia" w:eastAsiaTheme="minorEastAsia" w:hAnsiTheme="minorEastAsia" w:hint="eastAsia"/>
          <w:color w:val="000000" w:themeColor="text1"/>
        </w:rPr>
        <w:lastRenderedPageBreak/>
        <w:t>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中国经济延续</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下半年以来持续向好趋势，各行业经济数据也有较好表现，随着全球疫苗渗透率的提升，全球经济活动有望加快恢复正常。基于经济活动恢复，产业链各环节需求提升，叠加补库存需求，不少大宗商品及产成品价格在短期供需错配的背景下出现价格上涨。经济结构方面，工业生产趋势性向好，价格水平上，工业品与</w:t>
      </w:r>
      <w:r>
        <w:rPr>
          <w:rFonts w:asciiTheme="minorEastAsia" w:eastAsiaTheme="minorEastAsia" w:hAnsiTheme="minorEastAsia"/>
          <w:color w:val="000000" w:themeColor="text1"/>
        </w:rPr>
        <w:t>PPI</w:t>
      </w:r>
      <w:r>
        <w:rPr>
          <w:rFonts w:asciiTheme="minorEastAsia" w:eastAsiaTheme="minorEastAsia" w:hAnsiTheme="minorEastAsia"/>
          <w:color w:val="000000" w:themeColor="text1"/>
        </w:rPr>
        <w:t>上涨呈现出量价同向波动，表现出工业领域较好的需求修复特征。由于技术效应，预计经济和生产各项指标同比增幅较高。回顾资本市场，今年一季度经历了先涨后跌较大幅度的波动，随着经济复苏预期提升，市场对货币政策转向的担</w:t>
      </w:r>
      <w:r>
        <w:rPr>
          <w:rFonts w:asciiTheme="minorEastAsia" w:eastAsiaTheme="minorEastAsia" w:hAnsiTheme="minorEastAsia"/>
          <w:color w:val="000000" w:themeColor="text1"/>
        </w:rPr>
        <w:t>心加剧，一些高估值个股回调较大。</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后市，随着近期市场的调整，我们认为部分优质资产估值回到合理中枢水平。从A股整体市场来看，大部分个股估值处于历史相对较低位置，其中不乏一些质地较好，具有中长期成长前景的中盘标的，这类资产值得重点关注。配置思路上，仍然寻找估值和基本面匹配的优质公司。行业方面，重点关注顺周期的地产竣工链、有色化工、银行等板块，以及长期成长确定性高的光伏、新能源车产业链等。另外，具有消费属性的医药制品、符合消费升级需求的家电等公司，也处于品类成长期，也是重点关注方向。</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本报告期上投摩根成长先锋混合份额净值增长率为:0.06%，同期业绩比较基准收益率为:-2.54%。</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1,560,930,795.55</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82.78</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1,560,930,795.55</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82.78</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294,692,553.72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15.63</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29,943,420.59</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1.59</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1,885,566,769.86</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38,926,368.00</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2.09</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1,338,111,378.53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71.82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24,036.12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14,858,844.03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0.80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121,173,101.13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10,200.30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28,192,110.56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19,628,981.40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5,775.48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1,560,930,795.55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83.78</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1</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000661</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长春高新</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277,917</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125,821,363.41</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6.75</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2</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688169</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石头科技</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72,139</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84,186,213.00</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4.52</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3</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603816</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顾家家居</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808,500</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65,132,760.00</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3.50</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4</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600438</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通威股份</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1,885,280</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61,724,067.20</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3.31</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5</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002271</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东方雨虹</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1,156,009</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59,141,420.44</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3.17</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6</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002236</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大华股份</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2,180,626</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53,796,043.42</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2.89</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7</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603486</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科沃斯</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387,600</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52,907,400.00</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2.84</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8</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002311</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海大集团</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669,934</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52,254,852.00</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2.80</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9</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300014</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亿纬锂能</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690,051</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51,857,332.65</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2.78</w:t>
            </w:r>
          </w:p>
        </w:tc>
      </w:tr>
      <w:tr w:rsidR="001E55E2">
        <w:tc>
          <w:tcPr>
            <w:tcW w:w="817" w:type="dxa"/>
            <w:vAlign w:val="center"/>
          </w:tcPr>
          <w:p w:rsidR="001E55E2" w:rsidRDefault="005646C1">
            <w:pPr>
              <w:jc w:val="center"/>
            </w:pPr>
            <w:r>
              <w:rPr>
                <w:rFonts w:asciiTheme="minorEastAsia" w:eastAsiaTheme="minorEastAsia" w:hAnsiTheme="minorEastAsia" w:cs="宋体"/>
                <w:color w:val="000000" w:themeColor="text1"/>
                <w:kern w:val="0"/>
              </w:rPr>
              <w:t>10</w:t>
            </w:r>
          </w:p>
        </w:tc>
        <w:tc>
          <w:tcPr>
            <w:tcW w:w="1276" w:type="dxa"/>
            <w:vAlign w:val="center"/>
          </w:tcPr>
          <w:p w:rsidR="001E55E2" w:rsidRDefault="005646C1">
            <w:pPr>
              <w:jc w:val="center"/>
            </w:pPr>
            <w:r>
              <w:rPr>
                <w:rFonts w:asciiTheme="minorEastAsia" w:eastAsiaTheme="minorEastAsia" w:hAnsiTheme="minorEastAsia" w:cs="宋体"/>
                <w:color w:val="000000" w:themeColor="text1"/>
                <w:kern w:val="0"/>
              </w:rPr>
              <w:t>300327</w:t>
            </w:r>
          </w:p>
        </w:tc>
        <w:tc>
          <w:tcPr>
            <w:tcW w:w="1701" w:type="dxa"/>
            <w:vAlign w:val="center"/>
          </w:tcPr>
          <w:p w:rsidR="001E55E2" w:rsidRDefault="005646C1">
            <w:pPr>
              <w:jc w:val="center"/>
            </w:pPr>
            <w:r>
              <w:rPr>
                <w:rFonts w:asciiTheme="minorEastAsia" w:eastAsiaTheme="minorEastAsia" w:hAnsiTheme="minorEastAsia" w:cs="宋体"/>
                <w:color w:val="000000" w:themeColor="text1"/>
                <w:kern w:val="0"/>
              </w:rPr>
              <w:t>中颖电子</w:t>
            </w:r>
          </w:p>
        </w:tc>
        <w:tc>
          <w:tcPr>
            <w:tcW w:w="1276" w:type="dxa"/>
            <w:vAlign w:val="center"/>
          </w:tcPr>
          <w:p w:rsidR="001E55E2" w:rsidRDefault="005646C1">
            <w:pPr>
              <w:jc w:val="right"/>
            </w:pPr>
            <w:r>
              <w:rPr>
                <w:rFonts w:asciiTheme="minorEastAsia" w:eastAsiaTheme="minorEastAsia" w:hAnsiTheme="minorEastAsia" w:cs="宋体"/>
                <w:color w:val="000000" w:themeColor="text1"/>
                <w:kern w:val="0"/>
              </w:rPr>
              <w:t>1,153,809</w:t>
            </w:r>
          </w:p>
        </w:tc>
        <w:tc>
          <w:tcPr>
            <w:tcW w:w="1842" w:type="dxa"/>
            <w:vAlign w:val="center"/>
          </w:tcPr>
          <w:p w:rsidR="001E55E2" w:rsidRDefault="005646C1">
            <w:pPr>
              <w:jc w:val="right"/>
            </w:pPr>
            <w:r>
              <w:rPr>
                <w:rFonts w:asciiTheme="minorEastAsia" w:eastAsiaTheme="minorEastAsia" w:hAnsiTheme="minorEastAsia" w:cs="宋体"/>
                <w:color w:val="000000" w:themeColor="text1"/>
                <w:kern w:val="0"/>
              </w:rPr>
              <w:t>44,767,789.20</w:t>
            </w:r>
          </w:p>
        </w:tc>
        <w:tc>
          <w:tcPr>
            <w:tcW w:w="1616" w:type="dxa"/>
            <w:vAlign w:val="center"/>
          </w:tcPr>
          <w:p w:rsidR="001E55E2" w:rsidRDefault="005646C1">
            <w:pPr>
              <w:jc w:val="right"/>
            </w:pPr>
            <w:r>
              <w:rPr>
                <w:rFonts w:asciiTheme="minorEastAsia" w:eastAsiaTheme="minorEastAsia" w:hAnsiTheme="minorEastAsia" w:cs="宋体"/>
                <w:color w:val="000000" w:themeColor="text1"/>
                <w:kern w:val="0"/>
              </w:rPr>
              <w:t>2.40</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lastRenderedPageBreak/>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714,918.64</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29,063,430.98</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47,952.07</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117,118.90</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29,943,420.59</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lastRenderedPageBreak/>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1,160,684,166.85</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217,585,788.02</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298,103,157.32</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1,080,166,797.55</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、中国证监会批准上投摩根成长先锋混合型证券投资基金设立的文件；</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、《上投摩根成长先锋混合型证券投资基金基金合同》；</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、《上投摩根成长先锋混合型证券投资基金托管协议》；</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、《上投摩根开放式基金业务规则》；</w:t>
      </w:r>
    </w:p>
    <w:p w:rsidR="001E55E2" w:rsidRDefault="005646C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基金管理人业务资格批件、营业执照；</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6、基金托管人业务资格批件和营业执照。</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二〇二一年四月二十二日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5646C1" w:rsidRPr="005646C1">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5646C1">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上投摩根成长先锋混合型证券投资基金</w:t>
    </w:r>
    <w:r>
      <w:rPr>
        <w:rFonts w:hint="eastAsia"/>
      </w:rPr>
      <w:t>2021</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E55E2"/>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46C1"/>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1F95D-250B-4263-8E18-BB9B1B2B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267</cp:revision>
  <dcterms:created xsi:type="dcterms:W3CDTF">2012-10-16T06:07:00Z</dcterms:created>
  <dcterms:modified xsi:type="dcterms:W3CDTF">2021-04-21T02:54:00Z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