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上投摩根成长先锋混合型证券投资基金</w:t>
      </w:r>
    </w:p>
    <w:p w:rsidR="00D06738" w:rsidRDefault="00454D20">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2021年第1季度报告</w:t>
      </w:r>
    </w:p>
    <w:p w:rsidR="00D06738" w:rsidRDefault="00454D20">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2021年3月31日</w:t>
      </w: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jc w:val="center"/>
        <w:rPr>
          <w:rFonts w:asciiTheme="minorEastAsia" w:eastAsiaTheme="minorEastAsia" w:hAnsiTheme="minorEastAsia"/>
          <w:b/>
          <w:bCs/>
          <w:color w:val="000000" w:themeColor="text1"/>
          <w:sz w:val="24"/>
          <w:szCs w:val="24"/>
        </w:rPr>
      </w:pPr>
    </w:p>
    <w:p w:rsidR="00D06738" w:rsidRDefault="00D06738">
      <w:pPr>
        <w:spacing w:line="360" w:lineRule="auto"/>
        <w:rPr>
          <w:rFonts w:asciiTheme="minorEastAsia" w:eastAsiaTheme="minorEastAsia" w:hAnsiTheme="minorEastAsia"/>
          <w:b/>
          <w:bCs/>
          <w:color w:val="000000" w:themeColor="text1"/>
          <w:sz w:val="24"/>
          <w:szCs w:val="24"/>
        </w:rPr>
      </w:pP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D06738" w:rsidRDefault="00454D20">
      <w:pPr>
        <w:spacing w:line="360" w:lineRule="auto"/>
        <w:ind w:firstLineChars="900" w:firstLine="2168"/>
        <w:rPr>
          <w:rFonts w:asciiTheme="minorEastAsia" w:eastAsiaTheme="minorEastAsia" w:hAnsiTheme="minorEastAsia"/>
          <w:b/>
          <w:color w:val="000000" w:themeColor="text1"/>
          <w:sz w:val="24"/>
          <w:szCs w:val="24"/>
        </w:rPr>
        <w:sectPr w:rsidR="00D06738">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二〇二一年四月二十二日</w:t>
      </w:r>
    </w:p>
    <w:p w:rsidR="00D06738" w:rsidRDefault="00454D20">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rPr>
        <w:t xml:space="preserve"> </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基金托管人中国建设银行股份有限公司根据本基金合同规定，于</w:t>
      </w:r>
      <w:r>
        <w:rPr>
          <w:rFonts w:asciiTheme="minorEastAsia" w:eastAsiaTheme="minorEastAsia" w:hAnsiTheme="minorEastAsia"/>
          <w:color w:val="000000" w:themeColor="text1"/>
        </w:rPr>
        <w:t>2021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4</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21</w:t>
      </w:r>
      <w:r>
        <w:rPr>
          <w:rFonts w:asciiTheme="minorEastAsia" w:eastAsiaTheme="minorEastAsia" w:hAnsiTheme="minorEastAsia"/>
          <w:color w:val="000000" w:themeColor="text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rPr>
        <w:t xml:space="preserve"> </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r>
        <w:rPr>
          <w:rFonts w:asciiTheme="minorEastAsia" w:eastAsiaTheme="minorEastAsia" w:hAnsiTheme="minorEastAsia"/>
          <w:color w:val="000000" w:themeColor="text1"/>
        </w:rPr>
        <w:t xml:space="preserve"> </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rPr>
        <w:t xml:space="preserve"> </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本报告期自2021年1月1日起至3月31日止。</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上投摩根成长先锋混合</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378010</w:t>
            </w:r>
          </w:p>
        </w:tc>
      </w:tr>
      <w:tr w:rsidR="00D06738">
        <w:tc>
          <w:tcPr>
            <w:tcW w:w="2835"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378010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2006年9月20日</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1,080,166,797.55</w:t>
            </w:r>
            <w:r>
              <w:rPr>
                <w:rFonts w:asciiTheme="minorEastAsia" w:eastAsiaTheme="minorEastAsia" w:hAnsiTheme="minorEastAsia" w:hint="eastAsia"/>
                <w:color w:val="000000" w:themeColor="text1"/>
                <w:kern w:val="0"/>
              </w:rPr>
              <w:t>份</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本基金主要投资于国内市场上展现最佳成长特质的股票，积极捕捉高成长性上市公司所带来的投资机会，努力实现基金资产长期稳健增值。</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（1）股票投资策略 本基金采取定量分析与定性分析相结合方式，挖掘具有突出成长潜力且被当前市场低估的上市公司，主动出击、积极管理将是本基金运作的重要特色。 （2）固定收益类投资策略 本基金以股票投资为主，一般</w:t>
            </w:r>
            <w:r>
              <w:rPr>
                <w:rFonts w:asciiTheme="minorEastAsia" w:eastAsiaTheme="minorEastAsia" w:hAnsiTheme="minorEastAsia"/>
                <w:color w:val="000000" w:themeColor="text1"/>
                <w:kern w:val="0"/>
              </w:rPr>
              <w:lastRenderedPageBreak/>
              <w:t>市场情况下，基金管理人不会积极追求大类资产配置，但为进一步控制投资风险，优化组合流动性管理，本基金将适度防御性资产配置，进行债券、货币市场工具等品种投资。 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沪深300指数收益率×80%+中债总指数收益率×20%</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1E55E2" w:rsidRDefault="005646C1">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本基金是主动型混合型基金，属于证券投资基金的较高风险品种，预期风险收益水平低于股票型基金，高于债券基金和货币市场基金。</w:t>
            </w:r>
          </w:p>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06738">
        <w:tc>
          <w:tcPr>
            <w:tcW w:w="2835"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5646C1" w:rsidTr="005646C1">
        <w:tc>
          <w:tcPr>
            <w:tcW w:w="3402" w:type="dxa"/>
            <w:vAlign w:val="center"/>
          </w:tcPr>
          <w:p w:rsidR="00D06738" w:rsidRDefault="00454D20">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06738" w:rsidRDefault="00454D20">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06738" w:rsidRDefault="00454D20">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2021年1月1日-2021年3月31日</w:t>
            </w:r>
            <w:r>
              <w:rPr>
                <w:rFonts w:asciiTheme="minorEastAsia" w:eastAsiaTheme="minorEastAsia" w:hAnsiTheme="minorEastAsia" w:cs="宋体" w:hint="eastAsia"/>
                <w:color w:val="000000" w:themeColor="text1"/>
              </w:rPr>
              <w:t>)</w:t>
            </w:r>
          </w:p>
        </w:tc>
      </w:tr>
      <w:tr w:rsidR="005646C1" w:rsidTr="005646C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70,414,748.73</w:t>
            </w:r>
          </w:p>
        </w:tc>
      </w:tr>
      <w:tr w:rsidR="005646C1" w:rsidTr="005646C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6,823,374.94</w:t>
            </w:r>
          </w:p>
        </w:tc>
      </w:tr>
      <w:tr w:rsidR="005646C1" w:rsidTr="005646C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lastRenderedPageBreak/>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0.0061</w:t>
            </w:r>
          </w:p>
        </w:tc>
      </w:tr>
      <w:tr w:rsidR="005646C1" w:rsidTr="005646C1">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1,863,107,198.13</w:t>
            </w:r>
          </w:p>
        </w:tc>
      </w:tr>
      <w:tr w:rsidR="005646C1" w:rsidTr="005646C1">
        <w:trPr>
          <w:trHeight w:val="158"/>
        </w:trPr>
        <w:tc>
          <w:tcPr>
            <w:tcW w:w="3402" w:type="dxa"/>
            <w:vAlign w:val="center"/>
          </w:tcPr>
          <w:p w:rsidR="00D06738" w:rsidRDefault="00454D20">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06738" w:rsidRDefault="00454D20">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1.7248</w:t>
            </w:r>
          </w:p>
        </w:tc>
      </w:tr>
    </w:tbl>
    <w:p w:rsidR="001E55E2" w:rsidRDefault="005646C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不含公允价值变动收益</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扣除相关费用后的余额，本期利润为本期已实现收益加上本期公允价值变动收益。</w:t>
      </w:r>
      <w:r>
        <w:rPr>
          <w:rFonts w:asciiTheme="minorEastAsia" w:eastAsiaTheme="minorEastAsia" w:hAnsiTheme="minorEastAsia"/>
          <w:color w:val="000000" w:themeColor="text1"/>
        </w:rPr>
        <w:t xml:space="preserve"> </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06738" w:rsidRDefault="00454D20">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tc>
          <w:tcPr>
            <w:tcW w:w="139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1E55E2">
        <w:tc>
          <w:tcPr>
            <w:tcW w:w="1395" w:type="dxa"/>
            <w:vAlign w:val="center"/>
          </w:tcPr>
          <w:p w:rsidR="001E55E2" w:rsidRDefault="005646C1">
            <w:pPr>
              <w:jc w:val="left"/>
            </w:pPr>
            <w:r>
              <w:rPr>
                <w:rFonts w:asciiTheme="minorEastAsia" w:eastAsiaTheme="minorEastAsia" w:hAnsiTheme="minorEastAsia"/>
                <w:color w:val="000000" w:themeColor="text1"/>
                <w:kern w:val="0"/>
              </w:rPr>
              <w:t>过去三个月</w:t>
            </w:r>
          </w:p>
        </w:tc>
        <w:tc>
          <w:tcPr>
            <w:tcW w:w="1092" w:type="dxa"/>
            <w:vAlign w:val="center"/>
          </w:tcPr>
          <w:p w:rsidR="001E55E2" w:rsidRDefault="005646C1">
            <w:pPr>
              <w:jc w:val="center"/>
            </w:pPr>
            <w:r>
              <w:rPr>
                <w:rFonts w:asciiTheme="minorEastAsia" w:eastAsiaTheme="minorEastAsia" w:hAnsiTheme="minorEastAsia"/>
                <w:color w:val="000000" w:themeColor="text1"/>
                <w:kern w:val="0"/>
              </w:rPr>
              <w:t>0.06%</w:t>
            </w:r>
          </w:p>
        </w:tc>
        <w:tc>
          <w:tcPr>
            <w:tcW w:w="1161" w:type="dxa"/>
            <w:vAlign w:val="center"/>
          </w:tcPr>
          <w:p w:rsidR="001E55E2" w:rsidRDefault="005646C1">
            <w:pPr>
              <w:jc w:val="center"/>
            </w:pPr>
            <w:r>
              <w:rPr>
                <w:rFonts w:asciiTheme="minorEastAsia" w:eastAsiaTheme="minorEastAsia" w:hAnsiTheme="minorEastAsia"/>
                <w:color w:val="000000" w:themeColor="text1"/>
                <w:kern w:val="0"/>
              </w:rPr>
              <w:t>1.74%</w:t>
            </w:r>
          </w:p>
        </w:tc>
        <w:tc>
          <w:tcPr>
            <w:tcW w:w="1181" w:type="dxa"/>
            <w:vAlign w:val="center"/>
          </w:tcPr>
          <w:p w:rsidR="001E55E2" w:rsidRDefault="005646C1">
            <w:pPr>
              <w:jc w:val="center"/>
            </w:pPr>
            <w:r>
              <w:rPr>
                <w:rFonts w:asciiTheme="minorEastAsia" w:eastAsiaTheme="minorEastAsia" w:hAnsiTheme="minorEastAsia"/>
                <w:color w:val="000000" w:themeColor="text1"/>
                <w:kern w:val="0"/>
              </w:rPr>
              <w:t>-2.54%</w:t>
            </w:r>
          </w:p>
        </w:tc>
        <w:tc>
          <w:tcPr>
            <w:tcW w:w="1188" w:type="dxa"/>
            <w:vAlign w:val="center"/>
          </w:tcPr>
          <w:p w:rsidR="001E55E2" w:rsidRDefault="005646C1">
            <w:pPr>
              <w:jc w:val="center"/>
            </w:pPr>
            <w:r>
              <w:rPr>
                <w:rFonts w:asciiTheme="minorEastAsia" w:eastAsiaTheme="minorEastAsia" w:hAnsiTheme="minorEastAsia"/>
                <w:color w:val="000000" w:themeColor="text1"/>
                <w:kern w:val="0"/>
              </w:rPr>
              <w:t>1.28%</w:t>
            </w:r>
          </w:p>
        </w:tc>
        <w:tc>
          <w:tcPr>
            <w:tcW w:w="1199" w:type="dxa"/>
            <w:vAlign w:val="center"/>
          </w:tcPr>
          <w:p w:rsidR="001E55E2" w:rsidRDefault="005646C1">
            <w:pPr>
              <w:jc w:val="center"/>
            </w:pPr>
            <w:r>
              <w:rPr>
                <w:rFonts w:asciiTheme="minorEastAsia" w:eastAsiaTheme="minorEastAsia" w:hAnsiTheme="minorEastAsia"/>
                <w:color w:val="000000" w:themeColor="text1"/>
                <w:kern w:val="0"/>
              </w:rPr>
              <w:t>2.60%</w:t>
            </w:r>
          </w:p>
        </w:tc>
        <w:tc>
          <w:tcPr>
            <w:tcW w:w="1204" w:type="dxa"/>
            <w:vAlign w:val="center"/>
          </w:tcPr>
          <w:p w:rsidR="001E55E2" w:rsidRDefault="005646C1">
            <w:pPr>
              <w:jc w:val="center"/>
            </w:pPr>
            <w:r>
              <w:rPr>
                <w:rFonts w:asciiTheme="minorEastAsia" w:eastAsiaTheme="minorEastAsia" w:hAnsiTheme="minorEastAsia"/>
                <w:color w:val="000000" w:themeColor="text1"/>
                <w:kern w:val="0"/>
              </w:rPr>
              <w:t>0.46%</w:t>
            </w:r>
          </w:p>
        </w:tc>
      </w:tr>
      <w:tr w:rsidR="001E55E2">
        <w:tc>
          <w:tcPr>
            <w:tcW w:w="1395" w:type="dxa"/>
            <w:vAlign w:val="center"/>
          </w:tcPr>
          <w:p w:rsidR="001E55E2" w:rsidRDefault="005646C1">
            <w:pPr>
              <w:jc w:val="left"/>
            </w:pPr>
            <w:r>
              <w:rPr>
                <w:rFonts w:asciiTheme="minorEastAsia" w:eastAsiaTheme="minorEastAsia" w:hAnsiTheme="minorEastAsia"/>
                <w:color w:val="000000" w:themeColor="text1"/>
                <w:kern w:val="0"/>
              </w:rPr>
              <w:t>过去六个月</w:t>
            </w:r>
          </w:p>
        </w:tc>
        <w:tc>
          <w:tcPr>
            <w:tcW w:w="1092" w:type="dxa"/>
            <w:vAlign w:val="center"/>
          </w:tcPr>
          <w:p w:rsidR="001E55E2" w:rsidRDefault="005646C1">
            <w:pPr>
              <w:jc w:val="center"/>
            </w:pPr>
            <w:r>
              <w:rPr>
                <w:rFonts w:asciiTheme="minorEastAsia" w:eastAsiaTheme="minorEastAsia" w:hAnsiTheme="minorEastAsia"/>
                <w:color w:val="000000" w:themeColor="text1"/>
                <w:kern w:val="0"/>
              </w:rPr>
              <w:t>9.59%</w:t>
            </w:r>
          </w:p>
        </w:tc>
        <w:tc>
          <w:tcPr>
            <w:tcW w:w="1161" w:type="dxa"/>
            <w:vAlign w:val="center"/>
          </w:tcPr>
          <w:p w:rsidR="001E55E2" w:rsidRDefault="005646C1">
            <w:pPr>
              <w:jc w:val="center"/>
            </w:pPr>
            <w:r>
              <w:rPr>
                <w:rFonts w:asciiTheme="minorEastAsia" w:eastAsiaTheme="minorEastAsia" w:hAnsiTheme="minorEastAsia"/>
                <w:color w:val="000000" w:themeColor="text1"/>
                <w:kern w:val="0"/>
              </w:rPr>
              <w:t>1.47%</w:t>
            </w:r>
          </w:p>
        </w:tc>
        <w:tc>
          <w:tcPr>
            <w:tcW w:w="1181" w:type="dxa"/>
            <w:vAlign w:val="center"/>
          </w:tcPr>
          <w:p w:rsidR="001E55E2" w:rsidRDefault="005646C1">
            <w:pPr>
              <w:jc w:val="center"/>
            </w:pPr>
            <w:r>
              <w:rPr>
                <w:rFonts w:asciiTheme="minorEastAsia" w:eastAsiaTheme="minorEastAsia" w:hAnsiTheme="minorEastAsia"/>
                <w:color w:val="000000" w:themeColor="text1"/>
                <w:kern w:val="0"/>
              </w:rPr>
              <w:t>8.20%</w:t>
            </w:r>
          </w:p>
        </w:tc>
        <w:tc>
          <w:tcPr>
            <w:tcW w:w="1188" w:type="dxa"/>
            <w:vAlign w:val="center"/>
          </w:tcPr>
          <w:p w:rsidR="001E55E2" w:rsidRDefault="005646C1">
            <w:pPr>
              <w:jc w:val="center"/>
            </w:pPr>
            <w:r>
              <w:rPr>
                <w:rFonts w:asciiTheme="minorEastAsia" w:eastAsiaTheme="minorEastAsia" w:hAnsiTheme="minorEastAsia"/>
                <w:color w:val="000000" w:themeColor="text1"/>
                <w:kern w:val="0"/>
              </w:rPr>
              <w:t>1.06%</w:t>
            </w:r>
          </w:p>
        </w:tc>
        <w:tc>
          <w:tcPr>
            <w:tcW w:w="1199" w:type="dxa"/>
            <w:vAlign w:val="center"/>
          </w:tcPr>
          <w:p w:rsidR="001E55E2" w:rsidRDefault="005646C1">
            <w:pPr>
              <w:jc w:val="center"/>
            </w:pPr>
            <w:r>
              <w:rPr>
                <w:rFonts w:asciiTheme="minorEastAsia" w:eastAsiaTheme="minorEastAsia" w:hAnsiTheme="minorEastAsia"/>
                <w:color w:val="000000" w:themeColor="text1"/>
                <w:kern w:val="0"/>
              </w:rPr>
              <w:t>1.39%</w:t>
            </w:r>
          </w:p>
        </w:tc>
        <w:tc>
          <w:tcPr>
            <w:tcW w:w="1204" w:type="dxa"/>
            <w:vAlign w:val="center"/>
          </w:tcPr>
          <w:p w:rsidR="001E55E2" w:rsidRDefault="005646C1">
            <w:pPr>
              <w:jc w:val="center"/>
            </w:pPr>
            <w:r>
              <w:rPr>
                <w:rFonts w:asciiTheme="minorEastAsia" w:eastAsiaTheme="minorEastAsia" w:hAnsiTheme="minorEastAsia"/>
                <w:color w:val="000000" w:themeColor="text1"/>
                <w:kern w:val="0"/>
              </w:rPr>
              <w:t>0.41%</w:t>
            </w:r>
          </w:p>
        </w:tc>
      </w:tr>
      <w:tr w:rsidR="001E55E2">
        <w:tc>
          <w:tcPr>
            <w:tcW w:w="1395" w:type="dxa"/>
            <w:vAlign w:val="center"/>
          </w:tcPr>
          <w:p w:rsidR="001E55E2" w:rsidRDefault="005646C1">
            <w:pPr>
              <w:jc w:val="left"/>
            </w:pPr>
            <w:r>
              <w:rPr>
                <w:rFonts w:asciiTheme="minorEastAsia" w:eastAsiaTheme="minorEastAsia" w:hAnsiTheme="minorEastAsia"/>
                <w:color w:val="000000" w:themeColor="text1"/>
                <w:kern w:val="0"/>
              </w:rPr>
              <w:t>过去一年</w:t>
            </w:r>
          </w:p>
        </w:tc>
        <w:tc>
          <w:tcPr>
            <w:tcW w:w="1092" w:type="dxa"/>
            <w:vAlign w:val="center"/>
          </w:tcPr>
          <w:p w:rsidR="001E55E2" w:rsidRDefault="005646C1">
            <w:pPr>
              <w:jc w:val="center"/>
            </w:pPr>
            <w:r>
              <w:rPr>
                <w:rFonts w:asciiTheme="minorEastAsia" w:eastAsiaTheme="minorEastAsia" w:hAnsiTheme="minorEastAsia"/>
                <w:color w:val="000000" w:themeColor="text1"/>
                <w:kern w:val="0"/>
              </w:rPr>
              <w:t>60.01%</w:t>
            </w:r>
          </w:p>
        </w:tc>
        <w:tc>
          <w:tcPr>
            <w:tcW w:w="1161" w:type="dxa"/>
            <w:vAlign w:val="center"/>
          </w:tcPr>
          <w:p w:rsidR="001E55E2" w:rsidRDefault="005646C1">
            <w:pPr>
              <w:jc w:val="center"/>
            </w:pPr>
            <w:r>
              <w:rPr>
                <w:rFonts w:asciiTheme="minorEastAsia" w:eastAsiaTheme="minorEastAsia" w:hAnsiTheme="minorEastAsia"/>
                <w:color w:val="000000" w:themeColor="text1"/>
                <w:kern w:val="0"/>
              </w:rPr>
              <w:t>1.50%</w:t>
            </w:r>
          </w:p>
        </w:tc>
        <w:tc>
          <w:tcPr>
            <w:tcW w:w="1181" w:type="dxa"/>
            <w:vAlign w:val="center"/>
          </w:tcPr>
          <w:p w:rsidR="001E55E2" w:rsidRDefault="005646C1">
            <w:pPr>
              <w:jc w:val="center"/>
            </w:pPr>
            <w:r>
              <w:rPr>
                <w:rFonts w:asciiTheme="minorEastAsia" w:eastAsiaTheme="minorEastAsia" w:hAnsiTheme="minorEastAsia"/>
                <w:color w:val="000000" w:themeColor="text1"/>
                <w:kern w:val="0"/>
              </w:rPr>
              <w:t>28.99%</w:t>
            </w:r>
          </w:p>
        </w:tc>
        <w:tc>
          <w:tcPr>
            <w:tcW w:w="1188" w:type="dxa"/>
            <w:vAlign w:val="center"/>
          </w:tcPr>
          <w:p w:rsidR="001E55E2" w:rsidRDefault="005646C1">
            <w:pPr>
              <w:jc w:val="center"/>
            </w:pPr>
            <w:r>
              <w:rPr>
                <w:rFonts w:asciiTheme="minorEastAsia" w:eastAsiaTheme="minorEastAsia" w:hAnsiTheme="minorEastAsia"/>
                <w:color w:val="000000" w:themeColor="text1"/>
                <w:kern w:val="0"/>
              </w:rPr>
              <w:t>1.05%</w:t>
            </w:r>
          </w:p>
        </w:tc>
        <w:tc>
          <w:tcPr>
            <w:tcW w:w="1199" w:type="dxa"/>
            <w:vAlign w:val="center"/>
          </w:tcPr>
          <w:p w:rsidR="001E55E2" w:rsidRDefault="005646C1">
            <w:pPr>
              <w:jc w:val="center"/>
            </w:pPr>
            <w:r>
              <w:rPr>
                <w:rFonts w:asciiTheme="minorEastAsia" w:eastAsiaTheme="minorEastAsia" w:hAnsiTheme="minorEastAsia"/>
                <w:color w:val="000000" w:themeColor="text1"/>
                <w:kern w:val="0"/>
              </w:rPr>
              <w:t>31.02%</w:t>
            </w:r>
          </w:p>
        </w:tc>
        <w:tc>
          <w:tcPr>
            <w:tcW w:w="1204" w:type="dxa"/>
            <w:vAlign w:val="center"/>
          </w:tcPr>
          <w:p w:rsidR="001E55E2" w:rsidRDefault="005646C1">
            <w:pPr>
              <w:jc w:val="center"/>
            </w:pPr>
            <w:r>
              <w:rPr>
                <w:rFonts w:asciiTheme="minorEastAsia" w:eastAsiaTheme="minorEastAsia" w:hAnsiTheme="minorEastAsia"/>
                <w:color w:val="000000" w:themeColor="text1"/>
                <w:kern w:val="0"/>
              </w:rPr>
              <w:t>0.45%</w:t>
            </w:r>
          </w:p>
        </w:tc>
      </w:tr>
      <w:tr w:rsidR="001E55E2">
        <w:tc>
          <w:tcPr>
            <w:tcW w:w="1395" w:type="dxa"/>
            <w:vAlign w:val="center"/>
          </w:tcPr>
          <w:p w:rsidR="001E55E2" w:rsidRDefault="005646C1">
            <w:pPr>
              <w:jc w:val="left"/>
            </w:pPr>
            <w:r>
              <w:rPr>
                <w:rFonts w:asciiTheme="minorEastAsia" w:eastAsiaTheme="minorEastAsia" w:hAnsiTheme="minorEastAsia"/>
                <w:color w:val="000000" w:themeColor="text1"/>
                <w:kern w:val="0"/>
              </w:rPr>
              <w:t>过去三年</w:t>
            </w:r>
          </w:p>
        </w:tc>
        <w:tc>
          <w:tcPr>
            <w:tcW w:w="1092" w:type="dxa"/>
            <w:vAlign w:val="center"/>
          </w:tcPr>
          <w:p w:rsidR="001E55E2" w:rsidRDefault="005646C1">
            <w:pPr>
              <w:jc w:val="center"/>
            </w:pPr>
            <w:r>
              <w:rPr>
                <w:rFonts w:asciiTheme="minorEastAsia" w:eastAsiaTheme="minorEastAsia" w:hAnsiTheme="minorEastAsia"/>
                <w:color w:val="000000" w:themeColor="text1"/>
                <w:kern w:val="0"/>
              </w:rPr>
              <w:t>99.77%</w:t>
            </w:r>
          </w:p>
        </w:tc>
        <w:tc>
          <w:tcPr>
            <w:tcW w:w="1161" w:type="dxa"/>
            <w:vAlign w:val="center"/>
          </w:tcPr>
          <w:p w:rsidR="001E55E2" w:rsidRDefault="005646C1">
            <w:pPr>
              <w:jc w:val="center"/>
            </w:pPr>
            <w:r>
              <w:rPr>
                <w:rFonts w:asciiTheme="minorEastAsia" w:eastAsiaTheme="minorEastAsia" w:hAnsiTheme="minorEastAsia"/>
                <w:color w:val="000000" w:themeColor="text1"/>
                <w:kern w:val="0"/>
              </w:rPr>
              <w:t>1.40%</w:t>
            </w:r>
          </w:p>
        </w:tc>
        <w:tc>
          <w:tcPr>
            <w:tcW w:w="1181" w:type="dxa"/>
            <w:vAlign w:val="center"/>
          </w:tcPr>
          <w:p w:rsidR="001E55E2" w:rsidRDefault="005646C1">
            <w:pPr>
              <w:jc w:val="center"/>
            </w:pPr>
            <w:r>
              <w:rPr>
                <w:rFonts w:asciiTheme="minorEastAsia" w:eastAsiaTheme="minorEastAsia" w:hAnsiTheme="minorEastAsia"/>
                <w:color w:val="000000" w:themeColor="text1"/>
                <w:kern w:val="0"/>
              </w:rPr>
              <w:t>24.73%</w:t>
            </w:r>
          </w:p>
        </w:tc>
        <w:tc>
          <w:tcPr>
            <w:tcW w:w="1188" w:type="dxa"/>
            <w:vAlign w:val="center"/>
          </w:tcPr>
          <w:p w:rsidR="001E55E2" w:rsidRDefault="005646C1">
            <w:pPr>
              <w:jc w:val="center"/>
            </w:pPr>
            <w:r>
              <w:rPr>
                <w:rFonts w:asciiTheme="minorEastAsia" w:eastAsiaTheme="minorEastAsia" w:hAnsiTheme="minorEastAsia"/>
                <w:color w:val="000000" w:themeColor="text1"/>
                <w:kern w:val="0"/>
              </w:rPr>
              <w:t>1.10%</w:t>
            </w:r>
          </w:p>
        </w:tc>
        <w:tc>
          <w:tcPr>
            <w:tcW w:w="1199" w:type="dxa"/>
            <w:vAlign w:val="center"/>
          </w:tcPr>
          <w:p w:rsidR="001E55E2" w:rsidRDefault="005646C1">
            <w:pPr>
              <w:jc w:val="center"/>
            </w:pPr>
            <w:r>
              <w:rPr>
                <w:rFonts w:asciiTheme="minorEastAsia" w:eastAsiaTheme="minorEastAsia" w:hAnsiTheme="minorEastAsia"/>
                <w:color w:val="000000" w:themeColor="text1"/>
                <w:kern w:val="0"/>
              </w:rPr>
              <w:t>75.04%</w:t>
            </w:r>
          </w:p>
        </w:tc>
        <w:tc>
          <w:tcPr>
            <w:tcW w:w="1204" w:type="dxa"/>
            <w:vAlign w:val="center"/>
          </w:tcPr>
          <w:p w:rsidR="001E55E2" w:rsidRDefault="005646C1">
            <w:pPr>
              <w:jc w:val="center"/>
            </w:pPr>
            <w:r>
              <w:rPr>
                <w:rFonts w:asciiTheme="minorEastAsia" w:eastAsiaTheme="minorEastAsia" w:hAnsiTheme="minorEastAsia"/>
                <w:color w:val="000000" w:themeColor="text1"/>
                <w:kern w:val="0"/>
              </w:rPr>
              <w:t>0.30%</w:t>
            </w:r>
          </w:p>
        </w:tc>
      </w:tr>
      <w:tr w:rsidR="001E55E2">
        <w:tc>
          <w:tcPr>
            <w:tcW w:w="1395" w:type="dxa"/>
            <w:vAlign w:val="center"/>
          </w:tcPr>
          <w:p w:rsidR="001E55E2" w:rsidRDefault="005646C1">
            <w:pPr>
              <w:jc w:val="left"/>
            </w:pPr>
            <w:r>
              <w:rPr>
                <w:rFonts w:asciiTheme="minorEastAsia" w:eastAsiaTheme="minorEastAsia" w:hAnsiTheme="minorEastAsia"/>
                <w:color w:val="000000" w:themeColor="text1"/>
                <w:kern w:val="0"/>
              </w:rPr>
              <w:t>过去五年</w:t>
            </w:r>
          </w:p>
        </w:tc>
        <w:tc>
          <w:tcPr>
            <w:tcW w:w="1092" w:type="dxa"/>
            <w:vAlign w:val="center"/>
          </w:tcPr>
          <w:p w:rsidR="001E55E2" w:rsidRDefault="005646C1">
            <w:pPr>
              <w:jc w:val="center"/>
            </w:pPr>
            <w:r>
              <w:rPr>
                <w:rFonts w:asciiTheme="minorEastAsia" w:eastAsiaTheme="minorEastAsia" w:hAnsiTheme="minorEastAsia"/>
                <w:color w:val="000000" w:themeColor="text1"/>
                <w:kern w:val="0"/>
              </w:rPr>
              <w:t>110.72%</w:t>
            </w:r>
          </w:p>
        </w:tc>
        <w:tc>
          <w:tcPr>
            <w:tcW w:w="1161" w:type="dxa"/>
            <w:vAlign w:val="center"/>
          </w:tcPr>
          <w:p w:rsidR="001E55E2" w:rsidRDefault="005646C1">
            <w:pPr>
              <w:jc w:val="center"/>
            </w:pPr>
            <w:r>
              <w:rPr>
                <w:rFonts w:asciiTheme="minorEastAsia" w:eastAsiaTheme="minorEastAsia" w:hAnsiTheme="minorEastAsia"/>
                <w:color w:val="000000" w:themeColor="text1"/>
                <w:kern w:val="0"/>
              </w:rPr>
              <w:t>1.26%</w:t>
            </w:r>
          </w:p>
        </w:tc>
        <w:tc>
          <w:tcPr>
            <w:tcW w:w="1181" w:type="dxa"/>
            <w:vAlign w:val="center"/>
          </w:tcPr>
          <w:p w:rsidR="001E55E2" w:rsidRDefault="005646C1">
            <w:pPr>
              <w:jc w:val="center"/>
            </w:pPr>
            <w:r>
              <w:rPr>
                <w:rFonts w:asciiTheme="minorEastAsia" w:eastAsiaTheme="minorEastAsia" w:hAnsiTheme="minorEastAsia"/>
                <w:color w:val="000000" w:themeColor="text1"/>
                <w:kern w:val="0"/>
              </w:rPr>
              <w:t>45.55%</w:t>
            </w:r>
          </w:p>
        </w:tc>
        <w:tc>
          <w:tcPr>
            <w:tcW w:w="1188" w:type="dxa"/>
            <w:vAlign w:val="center"/>
          </w:tcPr>
          <w:p w:rsidR="001E55E2" w:rsidRDefault="005646C1">
            <w:pPr>
              <w:jc w:val="center"/>
            </w:pPr>
            <w:r>
              <w:rPr>
                <w:rFonts w:asciiTheme="minorEastAsia" w:eastAsiaTheme="minorEastAsia" w:hAnsiTheme="minorEastAsia"/>
                <w:color w:val="000000" w:themeColor="text1"/>
                <w:kern w:val="0"/>
              </w:rPr>
              <w:t>0.94%</w:t>
            </w:r>
          </w:p>
        </w:tc>
        <w:tc>
          <w:tcPr>
            <w:tcW w:w="1199" w:type="dxa"/>
            <w:vAlign w:val="center"/>
          </w:tcPr>
          <w:p w:rsidR="001E55E2" w:rsidRDefault="005646C1">
            <w:pPr>
              <w:jc w:val="center"/>
            </w:pPr>
            <w:r>
              <w:rPr>
                <w:rFonts w:asciiTheme="minorEastAsia" w:eastAsiaTheme="minorEastAsia" w:hAnsiTheme="minorEastAsia"/>
                <w:color w:val="000000" w:themeColor="text1"/>
                <w:kern w:val="0"/>
              </w:rPr>
              <w:t>65.17%</w:t>
            </w:r>
          </w:p>
        </w:tc>
        <w:tc>
          <w:tcPr>
            <w:tcW w:w="1204" w:type="dxa"/>
            <w:vAlign w:val="center"/>
          </w:tcPr>
          <w:p w:rsidR="001E55E2" w:rsidRDefault="005646C1">
            <w:pPr>
              <w:jc w:val="center"/>
            </w:pPr>
            <w:r>
              <w:rPr>
                <w:rFonts w:asciiTheme="minorEastAsia" w:eastAsiaTheme="minorEastAsia" w:hAnsiTheme="minorEastAsia"/>
                <w:color w:val="000000" w:themeColor="text1"/>
                <w:kern w:val="0"/>
              </w:rPr>
              <w:t>0.32%</w:t>
            </w:r>
          </w:p>
        </w:tc>
      </w:tr>
      <w:tr w:rsidR="001E55E2">
        <w:tc>
          <w:tcPr>
            <w:tcW w:w="1395" w:type="dxa"/>
            <w:vAlign w:val="center"/>
          </w:tcPr>
          <w:p w:rsidR="001E55E2" w:rsidRDefault="005646C1">
            <w:pPr>
              <w:jc w:val="left"/>
            </w:pPr>
            <w:r>
              <w:rPr>
                <w:rFonts w:asciiTheme="minorEastAsia" w:eastAsiaTheme="minorEastAsia" w:hAnsiTheme="minorEastAsia"/>
                <w:color w:val="000000" w:themeColor="text1"/>
                <w:kern w:val="0"/>
              </w:rPr>
              <w:t>自基金合同生效起至今</w:t>
            </w:r>
          </w:p>
        </w:tc>
        <w:tc>
          <w:tcPr>
            <w:tcW w:w="1092" w:type="dxa"/>
            <w:vAlign w:val="center"/>
          </w:tcPr>
          <w:p w:rsidR="001E55E2" w:rsidRDefault="005646C1">
            <w:pPr>
              <w:jc w:val="center"/>
            </w:pPr>
            <w:r>
              <w:rPr>
                <w:rFonts w:asciiTheme="minorEastAsia" w:eastAsiaTheme="minorEastAsia" w:hAnsiTheme="minorEastAsia"/>
                <w:color w:val="000000" w:themeColor="text1"/>
                <w:kern w:val="0"/>
              </w:rPr>
              <w:t>306.01%</w:t>
            </w:r>
          </w:p>
        </w:tc>
        <w:tc>
          <w:tcPr>
            <w:tcW w:w="1161" w:type="dxa"/>
            <w:vAlign w:val="center"/>
          </w:tcPr>
          <w:p w:rsidR="001E55E2" w:rsidRDefault="005646C1">
            <w:pPr>
              <w:jc w:val="center"/>
            </w:pPr>
            <w:r>
              <w:rPr>
                <w:rFonts w:asciiTheme="minorEastAsia" w:eastAsiaTheme="minorEastAsia" w:hAnsiTheme="minorEastAsia"/>
                <w:color w:val="000000" w:themeColor="text1"/>
                <w:kern w:val="0"/>
              </w:rPr>
              <w:t>1.63%</w:t>
            </w:r>
          </w:p>
        </w:tc>
        <w:tc>
          <w:tcPr>
            <w:tcW w:w="1181" w:type="dxa"/>
            <w:vAlign w:val="center"/>
          </w:tcPr>
          <w:p w:rsidR="001E55E2" w:rsidRDefault="005646C1">
            <w:pPr>
              <w:jc w:val="center"/>
            </w:pPr>
            <w:r>
              <w:rPr>
                <w:rFonts w:asciiTheme="minorEastAsia" w:eastAsiaTheme="minorEastAsia" w:hAnsiTheme="minorEastAsia"/>
                <w:color w:val="000000" w:themeColor="text1"/>
                <w:kern w:val="0"/>
              </w:rPr>
              <w:t>189.96%</w:t>
            </w:r>
          </w:p>
        </w:tc>
        <w:tc>
          <w:tcPr>
            <w:tcW w:w="1188" w:type="dxa"/>
            <w:vAlign w:val="center"/>
          </w:tcPr>
          <w:p w:rsidR="001E55E2" w:rsidRDefault="005646C1">
            <w:pPr>
              <w:jc w:val="center"/>
            </w:pPr>
            <w:r>
              <w:rPr>
                <w:rFonts w:asciiTheme="minorEastAsia" w:eastAsiaTheme="minorEastAsia" w:hAnsiTheme="minorEastAsia"/>
                <w:color w:val="000000" w:themeColor="text1"/>
                <w:kern w:val="0"/>
              </w:rPr>
              <w:t>1.39%</w:t>
            </w:r>
          </w:p>
        </w:tc>
        <w:tc>
          <w:tcPr>
            <w:tcW w:w="1199" w:type="dxa"/>
            <w:vAlign w:val="center"/>
          </w:tcPr>
          <w:p w:rsidR="001E55E2" w:rsidRDefault="005646C1">
            <w:pPr>
              <w:jc w:val="center"/>
            </w:pPr>
            <w:r>
              <w:rPr>
                <w:rFonts w:asciiTheme="minorEastAsia" w:eastAsiaTheme="minorEastAsia" w:hAnsiTheme="minorEastAsia"/>
                <w:color w:val="000000" w:themeColor="text1"/>
                <w:kern w:val="0"/>
              </w:rPr>
              <w:t>116.05%</w:t>
            </w:r>
          </w:p>
        </w:tc>
        <w:tc>
          <w:tcPr>
            <w:tcW w:w="1204" w:type="dxa"/>
            <w:vAlign w:val="center"/>
          </w:tcPr>
          <w:p w:rsidR="001E55E2" w:rsidRDefault="005646C1">
            <w:pPr>
              <w:jc w:val="center"/>
            </w:pPr>
            <w:r>
              <w:rPr>
                <w:rFonts w:asciiTheme="minorEastAsia" w:eastAsiaTheme="minorEastAsia" w:hAnsiTheme="minorEastAsia"/>
                <w:color w:val="000000" w:themeColor="text1"/>
                <w:kern w:val="0"/>
              </w:rPr>
              <w:t>0.24%</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e"/>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06738" w:rsidRDefault="00454D20">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上投摩根成长先锋混合型证券投资基金</w:t>
      </w:r>
    </w:p>
    <w:p w:rsidR="00D06738" w:rsidRDefault="00454D20">
      <w:pPr>
        <w:pStyle w:val="ae"/>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06738" w:rsidRDefault="00454D20">
      <w:pPr>
        <w:pStyle w:val="ae"/>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2006年9月20日</w:t>
      </w:r>
      <w:r>
        <w:rPr>
          <w:rFonts w:asciiTheme="minorEastAsia" w:eastAsiaTheme="minorEastAsia" w:hAnsiTheme="minorEastAsia" w:hint="eastAsia"/>
          <w:color w:val="000000" w:themeColor="text1"/>
        </w:rPr>
        <w:t>至2021年3月31日)</w:t>
      </w:r>
    </w:p>
    <w:p w:rsidR="00D06738" w:rsidRDefault="00454D20">
      <w:pPr>
        <w:pStyle w:val="ae"/>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1E55E2" w:rsidRDefault="005646C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w:t>
      </w:r>
      <w:r>
        <w:rPr>
          <w:rFonts w:asciiTheme="minorEastAsia" w:eastAsiaTheme="minorEastAsia" w:hAnsiTheme="minorEastAsia"/>
          <w:color w:val="000000" w:themeColor="text1"/>
        </w:rPr>
        <w:t>2006</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9</w:t>
      </w:r>
      <w:r>
        <w:rPr>
          <w:rFonts w:asciiTheme="minorEastAsia" w:eastAsiaTheme="minorEastAsia" w:hAnsiTheme="minorEastAsia"/>
          <w:color w:val="000000" w:themeColor="text1"/>
        </w:rPr>
        <w:t>月</w:t>
      </w:r>
      <w:r>
        <w:rPr>
          <w:rFonts w:asciiTheme="minorEastAsia" w:eastAsiaTheme="minorEastAsia" w:hAnsiTheme="minorEastAsia"/>
          <w:color w:val="000000" w:themeColor="text1"/>
        </w:rPr>
        <w:t>20</w:t>
      </w:r>
      <w:r>
        <w:rPr>
          <w:rFonts w:asciiTheme="minorEastAsia" w:eastAsiaTheme="minorEastAsia" w:hAnsiTheme="minorEastAsia"/>
          <w:color w:val="000000" w:themeColor="text1"/>
        </w:rPr>
        <w:t>日，图示的时间段为合同生效日至本报告期末。</w:t>
      </w:r>
    </w:p>
    <w:p w:rsidR="001E55E2" w:rsidRDefault="005646C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本基金建仓期为本基金合同生效日起</w:t>
      </w:r>
      <w:r>
        <w:rPr>
          <w:rFonts w:asciiTheme="minorEastAsia" w:eastAsiaTheme="minorEastAsia" w:hAnsiTheme="minorEastAsia"/>
          <w:color w:val="000000" w:themeColor="text1"/>
        </w:rPr>
        <w:t>6</w:t>
      </w:r>
      <w:r>
        <w:rPr>
          <w:rFonts w:asciiTheme="minorEastAsia" w:eastAsiaTheme="minorEastAsia" w:hAnsiTheme="minorEastAsia"/>
          <w:color w:val="000000" w:themeColor="text1"/>
        </w:rPr>
        <w:t>个月，建仓期结束时资产配置比例符合本基金基金合同规定。</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本基金的业绩比较基准于2013年12月7日由原“富时中国A600成长指数×80%+同业存款利率×20%”变更为“沪深300指数收益率×80%+中债总指数收益率×20%”。</w:t>
      </w:r>
    </w:p>
    <w:p w:rsidR="00D06738" w:rsidRDefault="00D06738">
      <w:pPr>
        <w:tabs>
          <w:tab w:val="left" w:pos="1800"/>
        </w:tabs>
        <w:spacing w:line="360" w:lineRule="auto"/>
        <w:rPr>
          <w:rFonts w:asciiTheme="minorEastAsia" w:eastAsiaTheme="minorEastAsia" w:hAnsiTheme="minorEastAsia"/>
          <w:color w:val="000000" w:themeColor="text1"/>
          <w:sz w:val="24"/>
          <w:szCs w:val="24"/>
        </w:rPr>
      </w:pPr>
    </w:p>
    <w:p w:rsidR="00D06738" w:rsidRDefault="00D06738">
      <w:pPr>
        <w:tabs>
          <w:tab w:val="left" w:pos="1800"/>
        </w:tabs>
        <w:spacing w:line="288" w:lineRule="auto"/>
        <w:rPr>
          <w:rFonts w:asciiTheme="minorEastAsia" w:eastAsiaTheme="minorEastAsia" w:hAnsiTheme="minorEastAsia"/>
          <w:color w:val="000000" w:themeColor="text1"/>
          <w:sz w:val="24"/>
          <w:szCs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trPr>
          <w:cantSplit/>
          <w:trHeight w:val="292"/>
        </w:trPr>
        <w:tc>
          <w:tcPr>
            <w:tcW w:w="851"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06738" w:rsidRDefault="00454D20">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06738">
        <w:trPr>
          <w:cantSplit/>
        </w:trPr>
        <w:tc>
          <w:tcPr>
            <w:tcW w:w="851"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06738" w:rsidRDefault="00D06738">
            <w:pPr>
              <w:widowControl/>
              <w:spacing w:line="360" w:lineRule="auto"/>
              <w:jc w:val="left"/>
              <w:rPr>
                <w:rFonts w:asciiTheme="minorEastAsia" w:eastAsiaTheme="minorEastAsia" w:hAnsiTheme="minorEastAsia"/>
                <w:color w:val="000000" w:themeColor="text1"/>
                <w:kern w:val="0"/>
              </w:rPr>
            </w:pPr>
          </w:p>
        </w:tc>
      </w:tr>
      <w:tr w:rsidR="001E55E2">
        <w:tc>
          <w:tcPr>
            <w:tcW w:w="851" w:type="dxa"/>
            <w:vAlign w:val="center"/>
          </w:tcPr>
          <w:p w:rsidR="001E55E2" w:rsidRDefault="005646C1">
            <w:pPr>
              <w:jc w:val="center"/>
            </w:pPr>
            <w:r>
              <w:rPr>
                <w:rFonts w:asciiTheme="minorEastAsia" w:eastAsiaTheme="minorEastAsia" w:hAnsiTheme="minorEastAsia"/>
                <w:color w:val="000000" w:themeColor="text1"/>
              </w:rPr>
              <w:t>倪权生</w:t>
            </w:r>
          </w:p>
        </w:tc>
        <w:tc>
          <w:tcPr>
            <w:tcW w:w="850" w:type="dxa"/>
            <w:vAlign w:val="center"/>
          </w:tcPr>
          <w:p w:rsidR="001E55E2" w:rsidRDefault="005646C1">
            <w:pPr>
              <w:jc w:val="center"/>
            </w:pPr>
            <w:r>
              <w:rPr>
                <w:rFonts w:asciiTheme="minorEastAsia" w:eastAsiaTheme="minorEastAsia" w:hAnsiTheme="minorEastAsia"/>
                <w:color w:val="000000" w:themeColor="text1"/>
              </w:rPr>
              <w:t>本基金基金经理</w:t>
            </w:r>
          </w:p>
        </w:tc>
        <w:tc>
          <w:tcPr>
            <w:tcW w:w="1560" w:type="dxa"/>
            <w:vAlign w:val="center"/>
          </w:tcPr>
          <w:p w:rsidR="001E55E2" w:rsidRDefault="005646C1">
            <w:pPr>
              <w:jc w:val="center"/>
            </w:pPr>
            <w:r>
              <w:rPr>
                <w:rFonts w:asciiTheme="minorEastAsia" w:eastAsiaTheme="minorEastAsia" w:hAnsiTheme="minorEastAsia"/>
                <w:color w:val="000000" w:themeColor="text1"/>
              </w:rPr>
              <w:t>2019-12-27</w:t>
            </w:r>
          </w:p>
        </w:tc>
        <w:tc>
          <w:tcPr>
            <w:tcW w:w="1559" w:type="dxa"/>
            <w:vAlign w:val="center"/>
          </w:tcPr>
          <w:p w:rsidR="001E55E2" w:rsidRDefault="005646C1">
            <w:pPr>
              <w:jc w:val="center"/>
            </w:pPr>
            <w:r>
              <w:rPr>
                <w:rFonts w:asciiTheme="minorEastAsia" w:eastAsiaTheme="minorEastAsia" w:hAnsiTheme="minorEastAsia"/>
                <w:color w:val="000000" w:themeColor="text1"/>
              </w:rPr>
              <w:t>-</w:t>
            </w:r>
          </w:p>
        </w:tc>
        <w:tc>
          <w:tcPr>
            <w:tcW w:w="1417" w:type="dxa"/>
            <w:vAlign w:val="center"/>
          </w:tcPr>
          <w:p w:rsidR="001E55E2" w:rsidRDefault="005646C1">
            <w:pPr>
              <w:jc w:val="center"/>
            </w:pPr>
            <w:r>
              <w:rPr>
                <w:rFonts w:asciiTheme="minorEastAsia" w:eastAsiaTheme="minorEastAsia" w:hAnsiTheme="minorEastAsia"/>
                <w:color w:val="000000" w:themeColor="text1"/>
              </w:rPr>
              <w:t>10</w:t>
            </w:r>
            <w:r>
              <w:rPr>
                <w:rFonts w:asciiTheme="minorEastAsia" w:eastAsiaTheme="minorEastAsia" w:hAnsiTheme="minorEastAsia"/>
                <w:color w:val="000000" w:themeColor="text1"/>
              </w:rPr>
              <w:t>年</w:t>
            </w:r>
          </w:p>
        </w:tc>
        <w:tc>
          <w:tcPr>
            <w:tcW w:w="2694" w:type="dxa"/>
            <w:vAlign w:val="center"/>
          </w:tcPr>
          <w:p w:rsidR="001E55E2" w:rsidRDefault="005646C1">
            <w:r>
              <w:rPr>
                <w:rFonts w:asciiTheme="minorEastAsia" w:eastAsiaTheme="minorEastAsia" w:hAnsiTheme="minorEastAsia"/>
                <w:color w:val="000000" w:themeColor="text1"/>
              </w:rPr>
              <w:t>倪权生先生，上海交通大学金融学博士。自</w:t>
            </w:r>
            <w:r>
              <w:rPr>
                <w:rFonts w:asciiTheme="minorEastAsia" w:eastAsiaTheme="minorEastAsia" w:hAnsiTheme="minorEastAsia"/>
                <w:color w:val="000000" w:themeColor="text1"/>
              </w:rPr>
              <w:t>2011</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7</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2014</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月，在博时基金管理有限公司任高级研究员；</w:t>
            </w:r>
            <w:r>
              <w:rPr>
                <w:rFonts w:asciiTheme="minorEastAsia" w:eastAsiaTheme="minorEastAsia" w:hAnsiTheme="minorEastAsia"/>
                <w:color w:val="000000" w:themeColor="text1"/>
              </w:rPr>
              <w:t>2015</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月至</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月，在浙商基金管理有限公司历任投资经理助理、基金经理</w:t>
            </w:r>
            <w:r>
              <w:rPr>
                <w:rFonts w:asciiTheme="minorEastAsia" w:eastAsiaTheme="minorEastAsia" w:hAnsiTheme="minorEastAsia"/>
                <w:color w:val="000000" w:themeColor="text1"/>
              </w:rPr>
              <w:t>/</w:t>
            </w:r>
            <w:r>
              <w:rPr>
                <w:rFonts w:asciiTheme="minorEastAsia" w:eastAsiaTheme="minorEastAsia" w:hAnsiTheme="minorEastAsia"/>
                <w:color w:val="000000" w:themeColor="text1"/>
              </w:rPr>
              <w:t>股票投资部副总经理；</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8</w:t>
            </w:r>
            <w:r>
              <w:rPr>
                <w:rFonts w:asciiTheme="minorEastAsia" w:eastAsiaTheme="minorEastAsia" w:hAnsiTheme="minorEastAsia"/>
                <w:color w:val="000000" w:themeColor="text1"/>
              </w:rPr>
              <w:t>月起加入上投摩根基金管理有限公司，</w:t>
            </w:r>
            <w:r>
              <w:rPr>
                <w:rFonts w:asciiTheme="minorEastAsia" w:eastAsiaTheme="minorEastAsia" w:hAnsiTheme="minorEastAsia"/>
                <w:color w:val="000000" w:themeColor="text1"/>
              </w:rPr>
              <w:lastRenderedPageBreak/>
              <w:t>现任国内权益投资部领先组副组长兼资深基金经理。自</w:t>
            </w:r>
            <w:r>
              <w:rPr>
                <w:rFonts w:asciiTheme="minorEastAsia" w:eastAsiaTheme="minorEastAsia" w:hAnsiTheme="minorEastAsia"/>
                <w:color w:val="000000" w:themeColor="text1"/>
              </w:rPr>
              <w:t>2019</w:t>
            </w:r>
            <w:r>
              <w:rPr>
                <w:rFonts w:asciiTheme="minorEastAsia" w:eastAsiaTheme="minorEastAsia" w:hAnsiTheme="minorEastAsia"/>
                <w:color w:val="000000" w:themeColor="text1"/>
              </w:rPr>
              <w:t>年</w:t>
            </w:r>
            <w:r>
              <w:rPr>
                <w:rFonts w:asciiTheme="minorEastAsia" w:eastAsiaTheme="minorEastAsia" w:hAnsiTheme="minorEastAsia"/>
                <w:color w:val="000000" w:themeColor="text1"/>
              </w:rPr>
              <w:t>12</w:t>
            </w:r>
            <w:r>
              <w:rPr>
                <w:rFonts w:asciiTheme="minorEastAsia" w:eastAsiaTheme="minorEastAsia" w:hAnsiTheme="minorEastAsia"/>
                <w:color w:val="000000" w:themeColor="text1"/>
              </w:rPr>
              <w:t>月起任上投摩根成长先锋混合型证券投资基金基金经理。</w:t>
            </w:r>
          </w:p>
        </w:tc>
      </w:tr>
    </w:tbl>
    <w:p w:rsidR="001E55E2" w:rsidRDefault="005646C1">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w:t>
      </w:r>
      <w:r>
        <w:rPr>
          <w:rFonts w:asciiTheme="minorEastAsia" w:eastAsiaTheme="minorEastAsia" w:hAnsiTheme="minorEastAsia"/>
          <w:color w:val="000000" w:themeColor="text1"/>
        </w:rPr>
        <w:t>1.</w:t>
      </w:r>
      <w:r>
        <w:rPr>
          <w:rFonts w:asciiTheme="minorEastAsia" w:eastAsiaTheme="minorEastAsia" w:hAnsiTheme="minorEastAsia"/>
          <w:color w:val="000000" w:themeColor="text1"/>
        </w:rPr>
        <w:t>任职日期和离任日期均指根据公司决定确定的聘任日期和解聘日期。</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成长先锋混合型证券投资基金基金合同》的规定。基金经理对个股和投资组合的比例遵循了投资决策委员会的授权限制，基金投资比例符合基金合同和法律法规的要求。</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w:t>
      </w:r>
      <w:r>
        <w:rPr>
          <w:rFonts w:asciiTheme="minorEastAsia" w:eastAsiaTheme="minorEastAsia" w:hAnsiTheme="minorEastAsia" w:hint="eastAsia"/>
          <w:color w:val="000000" w:themeColor="text1"/>
        </w:rPr>
        <w:lastRenderedPageBreak/>
        <w:t>当日成交量的5%的情形：无。</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中国经济延续</w:t>
      </w:r>
      <w:r>
        <w:rPr>
          <w:rFonts w:asciiTheme="minorEastAsia" w:eastAsiaTheme="minorEastAsia" w:hAnsiTheme="minorEastAsia"/>
          <w:color w:val="000000" w:themeColor="text1"/>
        </w:rPr>
        <w:t>2020</w:t>
      </w:r>
      <w:r>
        <w:rPr>
          <w:rFonts w:asciiTheme="minorEastAsia" w:eastAsiaTheme="minorEastAsia" w:hAnsiTheme="minorEastAsia"/>
          <w:color w:val="000000" w:themeColor="text1"/>
        </w:rPr>
        <w:t>年下半年以来持续向好趋势，各行业经济数据也有较好表现，随着全球疫苗渗透率的提升，全球经济活动有望加快恢复正常。基于经济活动恢复，产业链各环节需求提升，叠加补库存需求，不少大宗商品及产成品价格在短期供需错配的背景下出现价格上涨。经济结构方面，工业生产趋势性向好，价格水平上，工业品与</w:t>
      </w:r>
      <w:r>
        <w:rPr>
          <w:rFonts w:asciiTheme="minorEastAsia" w:eastAsiaTheme="minorEastAsia" w:hAnsiTheme="minorEastAsia"/>
          <w:color w:val="000000" w:themeColor="text1"/>
        </w:rPr>
        <w:t>PPI</w:t>
      </w:r>
      <w:r>
        <w:rPr>
          <w:rFonts w:asciiTheme="minorEastAsia" w:eastAsiaTheme="minorEastAsia" w:hAnsiTheme="minorEastAsia"/>
          <w:color w:val="000000" w:themeColor="text1"/>
        </w:rPr>
        <w:t>上涨呈现出量价同向波动，表现出工业领域较好的需求修复特征。由于技术效应，预计经济和生产各项指标同比增幅较高。回顾资本市场，今年一季度经历了先涨后跌较大幅度的波动，随着经济复苏预期提升，市场对货币政策转向的担</w:t>
      </w:r>
      <w:r>
        <w:rPr>
          <w:rFonts w:asciiTheme="minorEastAsia" w:eastAsiaTheme="minorEastAsia" w:hAnsiTheme="minorEastAsia"/>
          <w:color w:val="000000" w:themeColor="text1"/>
        </w:rPr>
        <w:t>心加剧，一些高估值个股回调较大。</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展望后市，随着近期市场的调整，我们认为部分优质资产估值回到合理中枢水平。从A股整体市场来看，大部分个股估值处于历史相对较低位置，其中不乏一些质地较好，具有中长期成长前景的中盘标的，这类资产值得重点关注。配置思路上，仍然寻找估值和基本面匹配的优质公司。行业方面，重点关注顺周期的地产竣工链、有色化工、银行等板块，以及长期成长确定性高的光伏、新能源车产业链等。另外，具有消费属性的医药制品、符合消费升级需求的家电等公司，也处于品类成长期，也是重点关注方向。</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本报告期上投摩根成长先锋混合份额净值增长率为:0.06%，同期业绩比较基准收益率为:-2.54%。</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1,560,930,795.55</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82.78</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1,560,930,795.55</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82.78</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06738" w:rsidRDefault="00454D20">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06738" w:rsidRDefault="00454D20">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D06738">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06738" w:rsidRDefault="00454D20">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294,692,553.72</w:t>
            </w:r>
          </w:p>
        </w:tc>
        <w:tc>
          <w:tcPr>
            <w:tcW w:w="1843" w:type="dxa"/>
            <w:vAlign w:val="center"/>
          </w:tcPr>
          <w:p w:rsidR="00D06738" w:rsidRDefault="00454D20">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15.63</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29,943,420.59</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1.59</w:t>
            </w:r>
          </w:p>
        </w:tc>
      </w:tr>
      <w:tr w:rsidR="00D06738">
        <w:trPr>
          <w:jc w:val="center"/>
        </w:trPr>
        <w:tc>
          <w:tcPr>
            <w:tcW w:w="720" w:type="dxa"/>
            <w:vAlign w:val="center"/>
          </w:tcPr>
          <w:p w:rsidR="00D06738" w:rsidRDefault="00454D20">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06738" w:rsidRDefault="00454D20">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1,885,566,769.86</w:t>
            </w:r>
          </w:p>
        </w:tc>
        <w:tc>
          <w:tcPr>
            <w:tcW w:w="1843" w:type="dxa"/>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06738" w:rsidRDefault="00454D20">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38,926,368.00</w:t>
            </w:r>
          </w:p>
          <w:p w:rsidR="00D06738" w:rsidRDefault="00D06738">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2.09</w:t>
            </w:r>
          </w:p>
          <w:p w:rsidR="00D06738" w:rsidRDefault="00D06738">
            <w:pPr>
              <w:jc w:val="right"/>
              <w:rPr>
                <w:rFonts w:asciiTheme="minorEastAsia" w:eastAsiaTheme="minorEastAsia" w:hAnsiTheme="minorEastAsia" w:cs="宋体"/>
                <w:color w:val="000000" w:themeColor="text1"/>
                <w:kern w:val="0"/>
              </w:rPr>
            </w:pP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1,338,111,378.53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71.82</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24,036.12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14,858,844.03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0.80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121,173,101.13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10,200.30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28,192,110.56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1.51</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19,628,981.40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1.05</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5,775.48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0.00</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06738">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D06738">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Default="00454D20">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1,560,930,795.55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Default="00454D20">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83.78</w:t>
            </w:r>
          </w:p>
        </w:tc>
      </w:tr>
    </w:tbl>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f4"/>
        <w:tblW w:w="8528" w:type="dxa"/>
        <w:tblLayout w:type="fixed"/>
        <w:tblLook w:val="04A0" w:firstRow="1" w:lastRow="0" w:firstColumn="1" w:lastColumn="0" w:noHBand="0" w:noVBand="1"/>
      </w:tblPr>
      <w:tblGrid>
        <w:gridCol w:w="817"/>
        <w:gridCol w:w="1276"/>
        <w:gridCol w:w="1701"/>
        <w:gridCol w:w="1276"/>
        <w:gridCol w:w="1842"/>
        <w:gridCol w:w="1616"/>
      </w:tblGrid>
      <w:tr w:rsidR="00D06738">
        <w:tc>
          <w:tcPr>
            <w:tcW w:w="817"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06738" w:rsidRDefault="00454D20">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1E55E2">
        <w:tc>
          <w:tcPr>
            <w:tcW w:w="817" w:type="dxa"/>
            <w:vAlign w:val="center"/>
          </w:tcPr>
          <w:p w:rsidR="001E55E2" w:rsidRDefault="005646C1">
            <w:pPr>
              <w:jc w:val="center"/>
            </w:pPr>
            <w:r>
              <w:rPr>
                <w:rFonts w:asciiTheme="minorEastAsia" w:eastAsiaTheme="minorEastAsia" w:hAnsiTheme="minorEastAsia" w:cs="宋体"/>
                <w:color w:val="000000" w:themeColor="text1"/>
                <w:kern w:val="0"/>
              </w:rPr>
              <w:t>1</w:t>
            </w:r>
          </w:p>
        </w:tc>
        <w:tc>
          <w:tcPr>
            <w:tcW w:w="1276" w:type="dxa"/>
            <w:vAlign w:val="center"/>
          </w:tcPr>
          <w:p w:rsidR="001E55E2" w:rsidRDefault="005646C1">
            <w:pPr>
              <w:jc w:val="center"/>
            </w:pPr>
            <w:r>
              <w:rPr>
                <w:rFonts w:asciiTheme="minorEastAsia" w:eastAsiaTheme="minorEastAsia" w:hAnsiTheme="minorEastAsia" w:cs="宋体"/>
                <w:color w:val="000000" w:themeColor="text1"/>
                <w:kern w:val="0"/>
              </w:rPr>
              <w:t>000661</w:t>
            </w:r>
          </w:p>
        </w:tc>
        <w:tc>
          <w:tcPr>
            <w:tcW w:w="1701" w:type="dxa"/>
            <w:vAlign w:val="center"/>
          </w:tcPr>
          <w:p w:rsidR="001E55E2" w:rsidRDefault="005646C1">
            <w:pPr>
              <w:jc w:val="center"/>
            </w:pPr>
            <w:r>
              <w:rPr>
                <w:rFonts w:asciiTheme="minorEastAsia" w:eastAsiaTheme="minorEastAsia" w:hAnsiTheme="minorEastAsia" w:cs="宋体"/>
                <w:color w:val="000000" w:themeColor="text1"/>
                <w:kern w:val="0"/>
              </w:rPr>
              <w:t>长春高新</w:t>
            </w:r>
          </w:p>
        </w:tc>
        <w:tc>
          <w:tcPr>
            <w:tcW w:w="1276" w:type="dxa"/>
            <w:vAlign w:val="center"/>
          </w:tcPr>
          <w:p w:rsidR="001E55E2" w:rsidRDefault="005646C1">
            <w:pPr>
              <w:jc w:val="right"/>
            </w:pPr>
            <w:r>
              <w:rPr>
                <w:rFonts w:asciiTheme="minorEastAsia" w:eastAsiaTheme="minorEastAsia" w:hAnsiTheme="minorEastAsia" w:cs="宋体"/>
                <w:color w:val="000000" w:themeColor="text1"/>
                <w:kern w:val="0"/>
              </w:rPr>
              <w:t>277,917</w:t>
            </w:r>
          </w:p>
        </w:tc>
        <w:tc>
          <w:tcPr>
            <w:tcW w:w="1842" w:type="dxa"/>
            <w:vAlign w:val="center"/>
          </w:tcPr>
          <w:p w:rsidR="001E55E2" w:rsidRDefault="005646C1">
            <w:pPr>
              <w:jc w:val="right"/>
            </w:pPr>
            <w:r>
              <w:rPr>
                <w:rFonts w:asciiTheme="minorEastAsia" w:eastAsiaTheme="minorEastAsia" w:hAnsiTheme="minorEastAsia" w:cs="宋体"/>
                <w:color w:val="000000" w:themeColor="text1"/>
                <w:kern w:val="0"/>
              </w:rPr>
              <w:t>125,821,363.41</w:t>
            </w:r>
          </w:p>
        </w:tc>
        <w:tc>
          <w:tcPr>
            <w:tcW w:w="1616" w:type="dxa"/>
            <w:vAlign w:val="center"/>
          </w:tcPr>
          <w:p w:rsidR="001E55E2" w:rsidRDefault="005646C1">
            <w:pPr>
              <w:jc w:val="right"/>
            </w:pPr>
            <w:r>
              <w:rPr>
                <w:rFonts w:asciiTheme="minorEastAsia" w:eastAsiaTheme="minorEastAsia" w:hAnsiTheme="minorEastAsia" w:cs="宋体"/>
                <w:color w:val="000000" w:themeColor="text1"/>
                <w:kern w:val="0"/>
              </w:rPr>
              <w:t>6.75</w:t>
            </w:r>
          </w:p>
        </w:tc>
      </w:tr>
      <w:tr w:rsidR="001E55E2">
        <w:tc>
          <w:tcPr>
            <w:tcW w:w="817" w:type="dxa"/>
            <w:vAlign w:val="center"/>
          </w:tcPr>
          <w:p w:rsidR="001E55E2" w:rsidRDefault="005646C1">
            <w:pPr>
              <w:jc w:val="center"/>
            </w:pPr>
            <w:r>
              <w:rPr>
                <w:rFonts w:asciiTheme="minorEastAsia" w:eastAsiaTheme="minorEastAsia" w:hAnsiTheme="minorEastAsia" w:cs="宋体"/>
                <w:color w:val="000000" w:themeColor="text1"/>
                <w:kern w:val="0"/>
              </w:rPr>
              <w:t>2</w:t>
            </w:r>
          </w:p>
        </w:tc>
        <w:tc>
          <w:tcPr>
            <w:tcW w:w="1276" w:type="dxa"/>
            <w:vAlign w:val="center"/>
          </w:tcPr>
          <w:p w:rsidR="001E55E2" w:rsidRDefault="005646C1">
            <w:pPr>
              <w:jc w:val="center"/>
            </w:pPr>
            <w:r>
              <w:rPr>
                <w:rFonts w:asciiTheme="minorEastAsia" w:eastAsiaTheme="minorEastAsia" w:hAnsiTheme="minorEastAsia" w:cs="宋体"/>
                <w:color w:val="000000" w:themeColor="text1"/>
                <w:kern w:val="0"/>
              </w:rPr>
              <w:t>688169</w:t>
            </w:r>
          </w:p>
        </w:tc>
        <w:tc>
          <w:tcPr>
            <w:tcW w:w="1701" w:type="dxa"/>
            <w:vAlign w:val="center"/>
          </w:tcPr>
          <w:p w:rsidR="001E55E2" w:rsidRDefault="005646C1">
            <w:pPr>
              <w:jc w:val="center"/>
            </w:pPr>
            <w:r>
              <w:rPr>
                <w:rFonts w:asciiTheme="minorEastAsia" w:eastAsiaTheme="minorEastAsia" w:hAnsiTheme="minorEastAsia" w:cs="宋体"/>
                <w:color w:val="000000" w:themeColor="text1"/>
                <w:kern w:val="0"/>
              </w:rPr>
              <w:t>石头科技</w:t>
            </w:r>
          </w:p>
        </w:tc>
        <w:tc>
          <w:tcPr>
            <w:tcW w:w="1276" w:type="dxa"/>
            <w:vAlign w:val="center"/>
          </w:tcPr>
          <w:p w:rsidR="001E55E2" w:rsidRDefault="005646C1">
            <w:pPr>
              <w:jc w:val="right"/>
            </w:pPr>
            <w:r>
              <w:rPr>
                <w:rFonts w:asciiTheme="minorEastAsia" w:eastAsiaTheme="minorEastAsia" w:hAnsiTheme="minorEastAsia" w:cs="宋体"/>
                <w:color w:val="000000" w:themeColor="text1"/>
                <w:kern w:val="0"/>
              </w:rPr>
              <w:t>72,139</w:t>
            </w:r>
          </w:p>
        </w:tc>
        <w:tc>
          <w:tcPr>
            <w:tcW w:w="1842" w:type="dxa"/>
            <w:vAlign w:val="center"/>
          </w:tcPr>
          <w:p w:rsidR="001E55E2" w:rsidRDefault="005646C1">
            <w:pPr>
              <w:jc w:val="right"/>
            </w:pPr>
            <w:r>
              <w:rPr>
                <w:rFonts w:asciiTheme="minorEastAsia" w:eastAsiaTheme="minorEastAsia" w:hAnsiTheme="minorEastAsia" w:cs="宋体"/>
                <w:color w:val="000000" w:themeColor="text1"/>
                <w:kern w:val="0"/>
              </w:rPr>
              <w:t>84,186,213.00</w:t>
            </w:r>
          </w:p>
        </w:tc>
        <w:tc>
          <w:tcPr>
            <w:tcW w:w="1616" w:type="dxa"/>
            <w:vAlign w:val="center"/>
          </w:tcPr>
          <w:p w:rsidR="001E55E2" w:rsidRDefault="005646C1">
            <w:pPr>
              <w:jc w:val="right"/>
            </w:pPr>
            <w:r>
              <w:rPr>
                <w:rFonts w:asciiTheme="minorEastAsia" w:eastAsiaTheme="minorEastAsia" w:hAnsiTheme="minorEastAsia" w:cs="宋体"/>
                <w:color w:val="000000" w:themeColor="text1"/>
                <w:kern w:val="0"/>
              </w:rPr>
              <w:t>4.52</w:t>
            </w:r>
          </w:p>
        </w:tc>
      </w:tr>
      <w:tr w:rsidR="001E55E2">
        <w:tc>
          <w:tcPr>
            <w:tcW w:w="817" w:type="dxa"/>
            <w:vAlign w:val="center"/>
          </w:tcPr>
          <w:p w:rsidR="001E55E2" w:rsidRDefault="005646C1">
            <w:pPr>
              <w:jc w:val="center"/>
            </w:pPr>
            <w:r>
              <w:rPr>
                <w:rFonts w:asciiTheme="minorEastAsia" w:eastAsiaTheme="minorEastAsia" w:hAnsiTheme="minorEastAsia" w:cs="宋体"/>
                <w:color w:val="000000" w:themeColor="text1"/>
                <w:kern w:val="0"/>
              </w:rPr>
              <w:t>3</w:t>
            </w:r>
          </w:p>
        </w:tc>
        <w:tc>
          <w:tcPr>
            <w:tcW w:w="1276" w:type="dxa"/>
            <w:vAlign w:val="center"/>
          </w:tcPr>
          <w:p w:rsidR="001E55E2" w:rsidRDefault="005646C1">
            <w:pPr>
              <w:jc w:val="center"/>
            </w:pPr>
            <w:r>
              <w:rPr>
                <w:rFonts w:asciiTheme="minorEastAsia" w:eastAsiaTheme="minorEastAsia" w:hAnsiTheme="minorEastAsia" w:cs="宋体"/>
                <w:color w:val="000000" w:themeColor="text1"/>
                <w:kern w:val="0"/>
              </w:rPr>
              <w:t>603816</w:t>
            </w:r>
          </w:p>
        </w:tc>
        <w:tc>
          <w:tcPr>
            <w:tcW w:w="1701" w:type="dxa"/>
            <w:vAlign w:val="center"/>
          </w:tcPr>
          <w:p w:rsidR="001E55E2" w:rsidRDefault="005646C1">
            <w:pPr>
              <w:jc w:val="center"/>
            </w:pPr>
            <w:r>
              <w:rPr>
                <w:rFonts w:asciiTheme="minorEastAsia" w:eastAsiaTheme="minorEastAsia" w:hAnsiTheme="minorEastAsia" w:cs="宋体"/>
                <w:color w:val="000000" w:themeColor="text1"/>
                <w:kern w:val="0"/>
              </w:rPr>
              <w:t>顾家家居</w:t>
            </w:r>
          </w:p>
        </w:tc>
        <w:tc>
          <w:tcPr>
            <w:tcW w:w="1276" w:type="dxa"/>
            <w:vAlign w:val="center"/>
          </w:tcPr>
          <w:p w:rsidR="001E55E2" w:rsidRDefault="005646C1">
            <w:pPr>
              <w:jc w:val="right"/>
            </w:pPr>
            <w:r>
              <w:rPr>
                <w:rFonts w:asciiTheme="minorEastAsia" w:eastAsiaTheme="minorEastAsia" w:hAnsiTheme="minorEastAsia" w:cs="宋体"/>
                <w:color w:val="000000" w:themeColor="text1"/>
                <w:kern w:val="0"/>
              </w:rPr>
              <w:t>808,500</w:t>
            </w:r>
          </w:p>
        </w:tc>
        <w:tc>
          <w:tcPr>
            <w:tcW w:w="1842" w:type="dxa"/>
            <w:vAlign w:val="center"/>
          </w:tcPr>
          <w:p w:rsidR="001E55E2" w:rsidRDefault="005646C1">
            <w:pPr>
              <w:jc w:val="right"/>
            </w:pPr>
            <w:r>
              <w:rPr>
                <w:rFonts w:asciiTheme="minorEastAsia" w:eastAsiaTheme="minorEastAsia" w:hAnsiTheme="minorEastAsia" w:cs="宋体"/>
                <w:color w:val="000000" w:themeColor="text1"/>
                <w:kern w:val="0"/>
              </w:rPr>
              <w:t>65,132,760.00</w:t>
            </w:r>
          </w:p>
        </w:tc>
        <w:tc>
          <w:tcPr>
            <w:tcW w:w="1616" w:type="dxa"/>
            <w:vAlign w:val="center"/>
          </w:tcPr>
          <w:p w:rsidR="001E55E2" w:rsidRDefault="005646C1">
            <w:pPr>
              <w:jc w:val="right"/>
            </w:pPr>
            <w:r>
              <w:rPr>
                <w:rFonts w:asciiTheme="minorEastAsia" w:eastAsiaTheme="minorEastAsia" w:hAnsiTheme="minorEastAsia" w:cs="宋体"/>
                <w:color w:val="000000" w:themeColor="text1"/>
                <w:kern w:val="0"/>
              </w:rPr>
              <w:t>3.50</w:t>
            </w:r>
          </w:p>
        </w:tc>
      </w:tr>
      <w:tr w:rsidR="001E55E2">
        <w:tc>
          <w:tcPr>
            <w:tcW w:w="817" w:type="dxa"/>
            <w:vAlign w:val="center"/>
          </w:tcPr>
          <w:p w:rsidR="001E55E2" w:rsidRDefault="005646C1">
            <w:pPr>
              <w:jc w:val="center"/>
            </w:pPr>
            <w:r>
              <w:rPr>
                <w:rFonts w:asciiTheme="minorEastAsia" w:eastAsiaTheme="minorEastAsia" w:hAnsiTheme="minorEastAsia" w:cs="宋体"/>
                <w:color w:val="000000" w:themeColor="text1"/>
                <w:kern w:val="0"/>
              </w:rPr>
              <w:t>4</w:t>
            </w:r>
          </w:p>
        </w:tc>
        <w:tc>
          <w:tcPr>
            <w:tcW w:w="1276" w:type="dxa"/>
            <w:vAlign w:val="center"/>
          </w:tcPr>
          <w:p w:rsidR="001E55E2" w:rsidRDefault="005646C1">
            <w:pPr>
              <w:jc w:val="center"/>
            </w:pPr>
            <w:r>
              <w:rPr>
                <w:rFonts w:asciiTheme="minorEastAsia" w:eastAsiaTheme="minorEastAsia" w:hAnsiTheme="minorEastAsia" w:cs="宋体"/>
                <w:color w:val="000000" w:themeColor="text1"/>
                <w:kern w:val="0"/>
              </w:rPr>
              <w:t>600438</w:t>
            </w:r>
          </w:p>
        </w:tc>
        <w:tc>
          <w:tcPr>
            <w:tcW w:w="1701" w:type="dxa"/>
            <w:vAlign w:val="center"/>
          </w:tcPr>
          <w:p w:rsidR="001E55E2" w:rsidRDefault="005646C1">
            <w:pPr>
              <w:jc w:val="center"/>
            </w:pPr>
            <w:r>
              <w:rPr>
                <w:rFonts w:asciiTheme="minorEastAsia" w:eastAsiaTheme="minorEastAsia" w:hAnsiTheme="minorEastAsia" w:cs="宋体"/>
                <w:color w:val="000000" w:themeColor="text1"/>
                <w:kern w:val="0"/>
              </w:rPr>
              <w:t>通威股份</w:t>
            </w:r>
          </w:p>
        </w:tc>
        <w:tc>
          <w:tcPr>
            <w:tcW w:w="1276" w:type="dxa"/>
            <w:vAlign w:val="center"/>
          </w:tcPr>
          <w:p w:rsidR="001E55E2" w:rsidRDefault="005646C1">
            <w:pPr>
              <w:jc w:val="right"/>
            </w:pPr>
            <w:r>
              <w:rPr>
                <w:rFonts w:asciiTheme="minorEastAsia" w:eastAsiaTheme="minorEastAsia" w:hAnsiTheme="minorEastAsia" w:cs="宋体"/>
                <w:color w:val="000000" w:themeColor="text1"/>
                <w:kern w:val="0"/>
              </w:rPr>
              <w:t>1,885,280</w:t>
            </w:r>
          </w:p>
        </w:tc>
        <w:tc>
          <w:tcPr>
            <w:tcW w:w="1842" w:type="dxa"/>
            <w:vAlign w:val="center"/>
          </w:tcPr>
          <w:p w:rsidR="001E55E2" w:rsidRDefault="005646C1">
            <w:pPr>
              <w:jc w:val="right"/>
            </w:pPr>
            <w:r>
              <w:rPr>
                <w:rFonts w:asciiTheme="minorEastAsia" w:eastAsiaTheme="minorEastAsia" w:hAnsiTheme="minorEastAsia" w:cs="宋体"/>
                <w:color w:val="000000" w:themeColor="text1"/>
                <w:kern w:val="0"/>
              </w:rPr>
              <w:t>61,724,067.20</w:t>
            </w:r>
          </w:p>
        </w:tc>
        <w:tc>
          <w:tcPr>
            <w:tcW w:w="1616" w:type="dxa"/>
            <w:vAlign w:val="center"/>
          </w:tcPr>
          <w:p w:rsidR="001E55E2" w:rsidRDefault="005646C1">
            <w:pPr>
              <w:jc w:val="right"/>
            </w:pPr>
            <w:r>
              <w:rPr>
                <w:rFonts w:asciiTheme="minorEastAsia" w:eastAsiaTheme="minorEastAsia" w:hAnsiTheme="minorEastAsia" w:cs="宋体"/>
                <w:color w:val="000000" w:themeColor="text1"/>
                <w:kern w:val="0"/>
              </w:rPr>
              <w:t>3.31</w:t>
            </w:r>
          </w:p>
        </w:tc>
      </w:tr>
      <w:tr w:rsidR="001E55E2">
        <w:tc>
          <w:tcPr>
            <w:tcW w:w="817" w:type="dxa"/>
            <w:vAlign w:val="center"/>
          </w:tcPr>
          <w:p w:rsidR="001E55E2" w:rsidRDefault="005646C1">
            <w:pPr>
              <w:jc w:val="center"/>
            </w:pPr>
            <w:r>
              <w:rPr>
                <w:rFonts w:asciiTheme="minorEastAsia" w:eastAsiaTheme="minorEastAsia" w:hAnsiTheme="minorEastAsia" w:cs="宋体"/>
                <w:color w:val="000000" w:themeColor="text1"/>
                <w:kern w:val="0"/>
              </w:rPr>
              <w:t>5</w:t>
            </w:r>
          </w:p>
        </w:tc>
        <w:tc>
          <w:tcPr>
            <w:tcW w:w="1276" w:type="dxa"/>
            <w:vAlign w:val="center"/>
          </w:tcPr>
          <w:p w:rsidR="001E55E2" w:rsidRDefault="005646C1">
            <w:pPr>
              <w:jc w:val="center"/>
            </w:pPr>
            <w:r>
              <w:rPr>
                <w:rFonts w:asciiTheme="minorEastAsia" w:eastAsiaTheme="minorEastAsia" w:hAnsiTheme="minorEastAsia" w:cs="宋体"/>
                <w:color w:val="000000" w:themeColor="text1"/>
                <w:kern w:val="0"/>
              </w:rPr>
              <w:t>002271</w:t>
            </w:r>
          </w:p>
        </w:tc>
        <w:tc>
          <w:tcPr>
            <w:tcW w:w="1701" w:type="dxa"/>
            <w:vAlign w:val="center"/>
          </w:tcPr>
          <w:p w:rsidR="001E55E2" w:rsidRDefault="005646C1">
            <w:pPr>
              <w:jc w:val="center"/>
            </w:pPr>
            <w:r>
              <w:rPr>
                <w:rFonts w:asciiTheme="minorEastAsia" w:eastAsiaTheme="minorEastAsia" w:hAnsiTheme="minorEastAsia" w:cs="宋体"/>
                <w:color w:val="000000" w:themeColor="text1"/>
                <w:kern w:val="0"/>
              </w:rPr>
              <w:t>东方雨虹</w:t>
            </w:r>
          </w:p>
        </w:tc>
        <w:tc>
          <w:tcPr>
            <w:tcW w:w="1276" w:type="dxa"/>
            <w:vAlign w:val="center"/>
          </w:tcPr>
          <w:p w:rsidR="001E55E2" w:rsidRDefault="005646C1">
            <w:pPr>
              <w:jc w:val="right"/>
            </w:pPr>
            <w:r>
              <w:rPr>
                <w:rFonts w:asciiTheme="minorEastAsia" w:eastAsiaTheme="minorEastAsia" w:hAnsiTheme="minorEastAsia" w:cs="宋体"/>
                <w:color w:val="000000" w:themeColor="text1"/>
                <w:kern w:val="0"/>
              </w:rPr>
              <w:t>1,156,009</w:t>
            </w:r>
          </w:p>
        </w:tc>
        <w:tc>
          <w:tcPr>
            <w:tcW w:w="1842" w:type="dxa"/>
            <w:vAlign w:val="center"/>
          </w:tcPr>
          <w:p w:rsidR="001E55E2" w:rsidRDefault="005646C1">
            <w:pPr>
              <w:jc w:val="right"/>
            </w:pPr>
            <w:r>
              <w:rPr>
                <w:rFonts w:asciiTheme="minorEastAsia" w:eastAsiaTheme="minorEastAsia" w:hAnsiTheme="minorEastAsia" w:cs="宋体"/>
                <w:color w:val="000000" w:themeColor="text1"/>
                <w:kern w:val="0"/>
              </w:rPr>
              <w:t>59,141,420.44</w:t>
            </w:r>
          </w:p>
        </w:tc>
        <w:tc>
          <w:tcPr>
            <w:tcW w:w="1616" w:type="dxa"/>
            <w:vAlign w:val="center"/>
          </w:tcPr>
          <w:p w:rsidR="001E55E2" w:rsidRDefault="005646C1">
            <w:pPr>
              <w:jc w:val="right"/>
            </w:pPr>
            <w:r>
              <w:rPr>
                <w:rFonts w:asciiTheme="minorEastAsia" w:eastAsiaTheme="minorEastAsia" w:hAnsiTheme="minorEastAsia" w:cs="宋体"/>
                <w:color w:val="000000" w:themeColor="text1"/>
                <w:kern w:val="0"/>
              </w:rPr>
              <w:t>3.17</w:t>
            </w:r>
          </w:p>
        </w:tc>
      </w:tr>
      <w:tr w:rsidR="001E55E2">
        <w:tc>
          <w:tcPr>
            <w:tcW w:w="817" w:type="dxa"/>
            <w:vAlign w:val="center"/>
          </w:tcPr>
          <w:p w:rsidR="001E55E2" w:rsidRDefault="005646C1">
            <w:pPr>
              <w:jc w:val="center"/>
            </w:pPr>
            <w:r>
              <w:rPr>
                <w:rFonts w:asciiTheme="minorEastAsia" w:eastAsiaTheme="minorEastAsia" w:hAnsiTheme="minorEastAsia" w:cs="宋体"/>
                <w:color w:val="000000" w:themeColor="text1"/>
                <w:kern w:val="0"/>
              </w:rPr>
              <w:t>6</w:t>
            </w:r>
          </w:p>
        </w:tc>
        <w:tc>
          <w:tcPr>
            <w:tcW w:w="1276" w:type="dxa"/>
            <w:vAlign w:val="center"/>
          </w:tcPr>
          <w:p w:rsidR="001E55E2" w:rsidRDefault="005646C1">
            <w:pPr>
              <w:jc w:val="center"/>
            </w:pPr>
            <w:r>
              <w:rPr>
                <w:rFonts w:asciiTheme="minorEastAsia" w:eastAsiaTheme="minorEastAsia" w:hAnsiTheme="minorEastAsia" w:cs="宋体"/>
                <w:color w:val="000000" w:themeColor="text1"/>
                <w:kern w:val="0"/>
              </w:rPr>
              <w:t>002236</w:t>
            </w:r>
          </w:p>
        </w:tc>
        <w:tc>
          <w:tcPr>
            <w:tcW w:w="1701" w:type="dxa"/>
            <w:vAlign w:val="center"/>
          </w:tcPr>
          <w:p w:rsidR="001E55E2" w:rsidRDefault="005646C1">
            <w:pPr>
              <w:jc w:val="center"/>
            </w:pPr>
            <w:r>
              <w:rPr>
                <w:rFonts w:asciiTheme="minorEastAsia" w:eastAsiaTheme="minorEastAsia" w:hAnsiTheme="minorEastAsia" w:cs="宋体"/>
                <w:color w:val="000000" w:themeColor="text1"/>
                <w:kern w:val="0"/>
              </w:rPr>
              <w:t>大华股份</w:t>
            </w:r>
          </w:p>
        </w:tc>
        <w:tc>
          <w:tcPr>
            <w:tcW w:w="1276" w:type="dxa"/>
            <w:vAlign w:val="center"/>
          </w:tcPr>
          <w:p w:rsidR="001E55E2" w:rsidRDefault="005646C1">
            <w:pPr>
              <w:jc w:val="right"/>
            </w:pPr>
            <w:r>
              <w:rPr>
                <w:rFonts w:asciiTheme="minorEastAsia" w:eastAsiaTheme="minorEastAsia" w:hAnsiTheme="minorEastAsia" w:cs="宋体"/>
                <w:color w:val="000000" w:themeColor="text1"/>
                <w:kern w:val="0"/>
              </w:rPr>
              <w:t>2,180,626</w:t>
            </w:r>
          </w:p>
        </w:tc>
        <w:tc>
          <w:tcPr>
            <w:tcW w:w="1842" w:type="dxa"/>
            <w:vAlign w:val="center"/>
          </w:tcPr>
          <w:p w:rsidR="001E55E2" w:rsidRDefault="005646C1">
            <w:pPr>
              <w:jc w:val="right"/>
            </w:pPr>
            <w:r>
              <w:rPr>
                <w:rFonts w:asciiTheme="minorEastAsia" w:eastAsiaTheme="minorEastAsia" w:hAnsiTheme="minorEastAsia" w:cs="宋体"/>
                <w:color w:val="000000" w:themeColor="text1"/>
                <w:kern w:val="0"/>
              </w:rPr>
              <w:t>53,796,043.42</w:t>
            </w:r>
          </w:p>
        </w:tc>
        <w:tc>
          <w:tcPr>
            <w:tcW w:w="1616" w:type="dxa"/>
            <w:vAlign w:val="center"/>
          </w:tcPr>
          <w:p w:rsidR="001E55E2" w:rsidRDefault="005646C1">
            <w:pPr>
              <w:jc w:val="right"/>
            </w:pPr>
            <w:r>
              <w:rPr>
                <w:rFonts w:asciiTheme="minorEastAsia" w:eastAsiaTheme="minorEastAsia" w:hAnsiTheme="minorEastAsia" w:cs="宋体"/>
                <w:color w:val="000000" w:themeColor="text1"/>
                <w:kern w:val="0"/>
              </w:rPr>
              <w:t>2.89</w:t>
            </w:r>
          </w:p>
        </w:tc>
      </w:tr>
      <w:tr w:rsidR="001E55E2">
        <w:tc>
          <w:tcPr>
            <w:tcW w:w="817" w:type="dxa"/>
            <w:vAlign w:val="center"/>
          </w:tcPr>
          <w:p w:rsidR="001E55E2" w:rsidRDefault="005646C1">
            <w:pPr>
              <w:jc w:val="center"/>
            </w:pPr>
            <w:r>
              <w:rPr>
                <w:rFonts w:asciiTheme="minorEastAsia" w:eastAsiaTheme="minorEastAsia" w:hAnsiTheme="minorEastAsia" w:cs="宋体"/>
                <w:color w:val="000000" w:themeColor="text1"/>
                <w:kern w:val="0"/>
              </w:rPr>
              <w:t>7</w:t>
            </w:r>
          </w:p>
        </w:tc>
        <w:tc>
          <w:tcPr>
            <w:tcW w:w="1276" w:type="dxa"/>
            <w:vAlign w:val="center"/>
          </w:tcPr>
          <w:p w:rsidR="001E55E2" w:rsidRDefault="005646C1">
            <w:pPr>
              <w:jc w:val="center"/>
            </w:pPr>
            <w:r>
              <w:rPr>
                <w:rFonts w:asciiTheme="minorEastAsia" w:eastAsiaTheme="minorEastAsia" w:hAnsiTheme="minorEastAsia" w:cs="宋体"/>
                <w:color w:val="000000" w:themeColor="text1"/>
                <w:kern w:val="0"/>
              </w:rPr>
              <w:t>603486</w:t>
            </w:r>
          </w:p>
        </w:tc>
        <w:tc>
          <w:tcPr>
            <w:tcW w:w="1701" w:type="dxa"/>
            <w:vAlign w:val="center"/>
          </w:tcPr>
          <w:p w:rsidR="001E55E2" w:rsidRDefault="005646C1">
            <w:pPr>
              <w:jc w:val="center"/>
            </w:pPr>
            <w:r>
              <w:rPr>
                <w:rFonts w:asciiTheme="minorEastAsia" w:eastAsiaTheme="minorEastAsia" w:hAnsiTheme="minorEastAsia" w:cs="宋体"/>
                <w:color w:val="000000" w:themeColor="text1"/>
                <w:kern w:val="0"/>
              </w:rPr>
              <w:t>科沃斯</w:t>
            </w:r>
          </w:p>
        </w:tc>
        <w:tc>
          <w:tcPr>
            <w:tcW w:w="1276" w:type="dxa"/>
            <w:vAlign w:val="center"/>
          </w:tcPr>
          <w:p w:rsidR="001E55E2" w:rsidRDefault="005646C1">
            <w:pPr>
              <w:jc w:val="right"/>
            </w:pPr>
            <w:r>
              <w:rPr>
                <w:rFonts w:asciiTheme="minorEastAsia" w:eastAsiaTheme="minorEastAsia" w:hAnsiTheme="minorEastAsia" w:cs="宋体"/>
                <w:color w:val="000000" w:themeColor="text1"/>
                <w:kern w:val="0"/>
              </w:rPr>
              <w:t>387,600</w:t>
            </w:r>
          </w:p>
        </w:tc>
        <w:tc>
          <w:tcPr>
            <w:tcW w:w="1842" w:type="dxa"/>
            <w:vAlign w:val="center"/>
          </w:tcPr>
          <w:p w:rsidR="001E55E2" w:rsidRDefault="005646C1">
            <w:pPr>
              <w:jc w:val="right"/>
            </w:pPr>
            <w:r>
              <w:rPr>
                <w:rFonts w:asciiTheme="minorEastAsia" w:eastAsiaTheme="minorEastAsia" w:hAnsiTheme="minorEastAsia" w:cs="宋体"/>
                <w:color w:val="000000" w:themeColor="text1"/>
                <w:kern w:val="0"/>
              </w:rPr>
              <w:t>52,907,400.00</w:t>
            </w:r>
          </w:p>
        </w:tc>
        <w:tc>
          <w:tcPr>
            <w:tcW w:w="1616" w:type="dxa"/>
            <w:vAlign w:val="center"/>
          </w:tcPr>
          <w:p w:rsidR="001E55E2" w:rsidRDefault="005646C1">
            <w:pPr>
              <w:jc w:val="right"/>
            </w:pPr>
            <w:r>
              <w:rPr>
                <w:rFonts w:asciiTheme="minorEastAsia" w:eastAsiaTheme="minorEastAsia" w:hAnsiTheme="minorEastAsia" w:cs="宋体"/>
                <w:color w:val="000000" w:themeColor="text1"/>
                <w:kern w:val="0"/>
              </w:rPr>
              <w:t>2.84</w:t>
            </w:r>
          </w:p>
        </w:tc>
      </w:tr>
      <w:tr w:rsidR="001E55E2">
        <w:tc>
          <w:tcPr>
            <w:tcW w:w="817" w:type="dxa"/>
            <w:vAlign w:val="center"/>
          </w:tcPr>
          <w:p w:rsidR="001E55E2" w:rsidRDefault="005646C1">
            <w:pPr>
              <w:jc w:val="center"/>
            </w:pPr>
            <w:r>
              <w:rPr>
                <w:rFonts w:asciiTheme="minorEastAsia" w:eastAsiaTheme="minorEastAsia" w:hAnsiTheme="minorEastAsia" w:cs="宋体"/>
                <w:color w:val="000000" w:themeColor="text1"/>
                <w:kern w:val="0"/>
              </w:rPr>
              <w:t>8</w:t>
            </w:r>
          </w:p>
        </w:tc>
        <w:tc>
          <w:tcPr>
            <w:tcW w:w="1276" w:type="dxa"/>
            <w:vAlign w:val="center"/>
          </w:tcPr>
          <w:p w:rsidR="001E55E2" w:rsidRDefault="005646C1">
            <w:pPr>
              <w:jc w:val="center"/>
            </w:pPr>
            <w:r>
              <w:rPr>
                <w:rFonts w:asciiTheme="minorEastAsia" w:eastAsiaTheme="minorEastAsia" w:hAnsiTheme="minorEastAsia" w:cs="宋体"/>
                <w:color w:val="000000" w:themeColor="text1"/>
                <w:kern w:val="0"/>
              </w:rPr>
              <w:t>002311</w:t>
            </w:r>
          </w:p>
        </w:tc>
        <w:tc>
          <w:tcPr>
            <w:tcW w:w="1701" w:type="dxa"/>
            <w:vAlign w:val="center"/>
          </w:tcPr>
          <w:p w:rsidR="001E55E2" w:rsidRDefault="005646C1">
            <w:pPr>
              <w:jc w:val="center"/>
            </w:pPr>
            <w:r>
              <w:rPr>
                <w:rFonts w:asciiTheme="minorEastAsia" w:eastAsiaTheme="minorEastAsia" w:hAnsiTheme="minorEastAsia" w:cs="宋体"/>
                <w:color w:val="000000" w:themeColor="text1"/>
                <w:kern w:val="0"/>
              </w:rPr>
              <w:t>海大集团</w:t>
            </w:r>
          </w:p>
        </w:tc>
        <w:tc>
          <w:tcPr>
            <w:tcW w:w="1276" w:type="dxa"/>
            <w:vAlign w:val="center"/>
          </w:tcPr>
          <w:p w:rsidR="001E55E2" w:rsidRDefault="005646C1">
            <w:pPr>
              <w:jc w:val="right"/>
            </w:pPr>
            <w:r>
              <w:rPr>
                <w:rFonts w:asciiTheme="minorEastAsia" w:eastAsiaTheme="minorEastAsia" w:hAnsiTheme="minorEastAsia" w:cs="宋体"/>
                <w:color w:val="000000" w:themeColor="text1"/>
                <w:kern w:val="0"/>
              </w:rPr>
              <w:t>669,934</w:t>
            </w:r>
          </w:p>
        </w:tc>
        <w:tc>
          <w:tcPr>
            <w:tcW w:w="1842" w:type="dxa"/>
            <w:vAlign w:val="center"/>
          </w:tcPr>
          <w:p w:rsidR="001E55E2" w:rsidRDefault="005646C1">
            <w:pPr>
              <w:jc w:val="right"/>
            </w:pPr>
            <w:r>
              <w:rPr>
                <w:rFonts w:asciiTheme="minorEastAsia" w:eastAsiaTheme="minorEastAsia" w:hAnsiTheme="minorEastAsia" w:cs="宋体"/>
                <w:color w:val="000000" w:themeColor="text1"/>
                <w:kern w:val="0"/>
              </w:rPr>
              <w:t>52,254,852.00</w:t>
            </w:r>
          </w:p>
        </w:tc>
        <w:tc>
          <w:tcPr>
            <w:tcW w:w="1616" w:type="dxa"/>
            <w:vAlign w:val="center"/>
          </w:tcPr>
          <w:p w:rsidR="001E55E2" w:rsidRDefault="005646C1">
            <w:pPr>
              <w:jc w:val="right"/>
            </w:pPr>
            <w:r>
              <w:rPr>
                <w:rFonts w:asciiTheme="minorEastAsia" w:eastAsiaTheme="minorEastAsia" w:hAnsiTheme="minorEastAsia" w:cs="宋体"/>
                <w:color w:val="000000" w:themeColor="text1"/>
                <w:kern w:val="0"/>
              </w:rPr>
              <w:t>2.80</w:t>
            </w:r>
          </w:p>
        </w:tc>
      </w:tr>
      <w:tr w:rsidR="001E55E2">
        <w:tc>
          <w:tcPr>
            <w:tcW w:w="817" w:type="dxa"/>
            <w:vAlign w:val="center"/>
          </w:tcPr>
          <w:p w:rsidR="001E55E2" w:rsidRDefault="005646C1">
            <w:pPr>
              <w:jc w:val="center"/>
            </w:pPr>
            <w:r>
              <w:rPr>
                <w:rFonts w:asciiTheme="minorEastAsia" w:eastAsiaTheme="minorEastAsia" w:hAnsiTheme="minorEastAsia" w:cs="宋体"/>
                <w:color w:val="000000" w:themeColor="text1"/>
                <w:kern w:val="0"/>
              </w:rPr>
              <w:t>9</w:t>
            </w:r>
          </w:p>
        </w:tc>
        <w:tc>
          <w:tcPr>
            <w:tcW w:w="1276" w:type="dxa"/>
            <w:vAlign w:val="center"/>
          </w:tcPr>
          <w:p w:rsidR="001E55E2" w:rsidRDefault="005646C1">
            <w:pPr>
              <w:jc w:val="center"/>
            </w:pPr>
            <w:r>
              <w:rPr>
                <w:rFonts w:asciiTheme="minorEastAsia" w:eastAsiaTheme="minorEastAsia" w:hAnsiTheme="minorEastAsia" w:cs="宋体"/>
                <w:color w:val="000000" w:themeColor="text1"/>
                <w:kern w:val="0"/>
              </w:rPr>
              <w:t>300014</w:t>
            </w:r>
          </w:p>
        </w:tc>
        <w:tc>
          <w:tcPr>
            <w:tcW w:w="1701" w:type="dxa"/>
            <w:vAlign w:val="center"/>
          </w:tcPr>
          <w:p w:rsidR="001E55E2" w:rsidRDefault="005646C1">
            <w:pPr>
              <w:jc w:val="center"/>
            </w:pPr>
            <w:r>
              <w:rPr>
                <w:rFonts w:asciiTheme="minorEastAsia" w:eastAsiaTheme="minorEastAsia" w:hAnsiTheme="minorEastAsia" w:cs="宋体"/>
                <w:color w:val="000000" w:themeColor="text1"/>
                <w:kern w:val="0"/>
              </w:rPr>
              <w:t>亿纬锂能</w:t>
            </w:r>
          </w:p>
        </w:tc>
        <w:tc>
          <w:tcPr>
            <w:tcW w:w="1276" w:type="dxa"/>
            <w:vAlign w:val="center"/>
          </w:tcPr>
          <w:p w:rsidR="001E55E2" w:rsidRDefault="005646C1">
            <w:pPr>
              <w:jc w:val="right"/>
            </w:pPr>
            <w:r>
              <w:rPr>
                <w:rFonts w:asciiTheme="minorEastAsia" w:eastAsiaTheme="minorEastAsia" w:hAnsiTheme="minorEastAsia" w:cs="宋体"/>
                <w:color w:val="000000" w:themeColor="text1"/>
                <w:kern w:val="0"/>
              </w:rPr>
              <w:t>690,051</w:t>
            </w:r>
          </w:p>
        </w:tc>
        <w:tc>
          <w:tcPr>
            <w:tcW w:w="1842" w:type="dxa"/>
            <w:vAlign w:val="center"/>
          </w:tcPr>
          <w:p w:rsidR="001E55E2" w:rsidRDefault="005646C1">
            <w:pPr>
              <w:jc w:val="right"/>
            </w:pPr>
            <w:r>
              <w:rPr>
                <w:rFonts w:asciiTheme="minorEastAsia" w:eastAsiaTheme="minorEastAsia" w:hAnsiTheme="minorEastAsia" w:cs="宋体"/>
                <w:color w:val="000000" w:themeColor="text1"/>
                <w:kern w:val="0"/>
              </w:rPr>
              <w:t>51,857,332.65</w:t>
            </w:r>
          </w:p>
        </w:tc>
        <w:tc>
          <w:tcPr>
            <w:tcW w:w="1616" w:type="dxa"/>
            <w:vAlign w:val="center"/>
          </w:tcPr>
          <w:p w:rsidR="001E55E2" w:rsidRDefault="005646C1">
            <w:pPr>
              <w:jc w:val="right"/>
            </w:pPr>
            <w:r>
              <w:rPr>
                <w:rFonts w:asciiTheme="minorEastAsia" w:eastAsiaTheme="minorEastAsia" w:hAnsiTheme="minorEastAsia" w:cs="宋体"/>
                <w:color w:val="000000" w:themeColor="text1"/>
                <w:kern w:val="0"/>
              </w:rPr>
              <w:t>2.78</w:t>
            </w:r>
          </w:p>
        </w:tc>
      </w:tr>
      <w:tr w:rsidR="001E55E2">
        <w:tc>
          <w:tcPr>
            <w:tcW w:w="817" w:type="dxa"/>
            <w:vAlign w:val="center"/>
          </w:tcPr>
          <w:p w:rsidR="001E55E2" w:rsidRDefault="005646C1">
            <w:pPr>
              <w:jc w:val="center"/>
            </w:pPr>
            <w:r>
              <w:rPr>
                <w:rFonts w:asciiTheme="minorEastAsia" w:eastAsiaTheme="minorEastAsia" w:hAnsiTheme="minorEastAsia" w:cs="宋体"/>
                <w:color w:val="000000" w:themeColor="text1"/>
                <w:kern w:val="0"/>
              </w:rPr>
              <w:t>10</w:t>
            </w:r>
          </w:p>
        </w:tc>
        <w:tc>
          <w:tcPr>
            <w:tcW w:w="1276" w:type="dxa"/>
            <w:vAlign w:val="center"/>
          </w:tcPr>
          <w:p w:rsidR="001E55E2" w:rsidRDefault="005646C1">
            <w:pPr>
              <w:jc w:val="center"/>
            </w:pPr>
            <w:r>
              <w:rPr>
                <w:rFonts w:asciiTheme="minorEastAsia" w:eastAsiaTheme="minorEastAsia" w:hAnsiTheme="minorEastAsia" w:cs="宋体"/>
                <w:color w:val="000000" w:themeColor="text1"/>
                <w:kern w:val="0"/>
              </w:rPr>
              <w:t>300327</w:t>
            </w:r>
          </w:p>
        </w:tc>
        <w:tc>
          <w:tcPr>
            <w:tcW w:w="1701" w:type="dxa"/>
            <w:vAlign w:val="center"/>
          </w:tcPr>
          <w:p w:rsidR="001E55E2" w:rsidRDefault="005646C1">
            <w:pPr>
              <w:jc w:val="center"/>
            </w:pPr>
            <w:r>
              <w:rPr>
                <w:rFonts w:asciiTheme="minorEastAsia" w:eastAsiaTheme="minorEastAsia" w:hAnsiTheme="minorEastAsia" w:cs="宋体"/>
                <w:color w:val="000000" w:themeColor="text1"/>
                <w:kern w:val="0"/>
              </w:rPr>
              <w:t>中颖电子</w:t>
            </w:r>
          </w:p>
        </w:tc>
        <w:tc>
          <w:tcPr>
            <w:tcW w:w="1276" w:type="dxa"/>
            <w:vAlign w:val="center"/>
          </w:tcPr>
          <w:p w:rsidR="001E55E2" w:rsidRDefault="005646C1">
            <w:pPr>
              <w:jc w:val="right"/>
            </w:pPr>
            <w:r>
              <w:rPr>
                <w:rFonts w:asciiTheme="minorEastAsia" w:eastAsiaTheme="minorEastAsia" w:hAnsiTheme="minorEastAsia" w:cs="宋体"/>
                <w:color w:val="000000" w:themeColor="text1"/>
                <w:kern w:val="0"/>
              </w:rPr>
              <w:t>1,153,809</w:t>
            </w:r>
          </w:p>
        </w:tc>
        <w:tc>
          <w:tcPr>
            <w:tcW w:w="1842" w:type="dxa"/>
            <w:vAlign w:val="center"/>
          </w:tcPr>
          <w:p w:rsidR="001E55E2" w:rsidRDefault="005646C1">
            <w:pPr>
              <w:jc w:val="right"/>
            </w:pPr>
            <w:r>
              <w:rPr>
                <w:rFonts w:asciiTheme="minorEastAsia" w:eastAsiaTheme="minorEastAsia" w:hAnsiTheme="minorEastAsia" w:cs="宋体"/>
                <w:color w:val="000000" w:themeColor="text1"/>
                <w:kern w:val="0"/>
              </w:rPr>
              <w:t>44,767,789.20</w:t>
            </w:r>
          </w:p>
        </w:tc>
        <w:tc>
          <w:tcPr>
            <w:tcW w:w="1616" w:type="dxa"/>
            <w:vAlign w:val="center"/>
          </w:tcPr>
          <w:p w:rsidR="001E55E2" w:rsidRDefault="005646C1">
            <w:pPr>
              <w:jc w:val="right"/>
            </w:pPr>
            <w:r>
              <w:rPr>
                <w:rFonts w:asciiTheme="minorEastAsia" w:eastAsiaTheme="minorEastAsia" w:hAnsiTheme="minorEastAsia" w:cs="宋体"/>
                <w:color w:val="000000" w:themeColor="text1"/>
                <w:kern w:val="0"/>
              </w:rPr>
              <w:t>2.40</w:t>
            </w:r>
          </w:p>
        </w:tc>
      </w:tr>
    </w:tbl>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06738" w:rsidRDefault="00D06738">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lastRenderedPageBreak/>
        <w:t>5.7 报告期末按公允价值占基金资产净值比例大小排序的前五名贵金属投资明细</w:t>
      </w:r>
    </w:p>
    <w:p w:rsidR="00D06738" w:rsidRDefault="00454D20">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06738" w:rsidRDefault="00D06738">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06738" w:rsidRDefault="00D06738">
      <w:pPr>
        <w:adjustRightInd w:val="0"/>
        <w:snapToGrid w:val="0"/>
        <w:spacing w:line="360" w:lineRule="exact"/>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Default="00454D20">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tc>
          <w:tcPr>
            <w:tcW w:w="1235"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06738" w:rsidRDefault="00454D20">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714,918.64</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29,063,430.98</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47,952.07</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117,118.90</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06738">
        <w:tc>
          <w:tcPr>
            <w:tcW w:w="1235" w:type="dxa"/>
            <w:vAlign w:val="center"/>
          </w:tcPr>
          <w:p w:rsidR="00D06738" w:rsidRDefault="00454D20">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06738" w:rsidRDefault="00454D20">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29,943,420.59</w:t>
            </w:r>
          </w:p>
        </w:tc>
      </w:tr>
    </w:tbl>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lastRenderedPageBreak/>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06738" w:rsidRDefault="00D06738">
      <w:pPr>
        <w:autoSpaceDE w:val="0"/>
        <w:autoSpaceDN w:val="0"/>
        <w:adjustRightInd w:val="0"/>
        <w:spacing w:line="360" w:lineRule="auto"/>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06738" w:rsidRDefault="00454D20">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1,160,684,166.85</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217,585,788.02</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298,103,157.32</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报告期期间</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06738">
        <w:tc>
          <w:tcPr>
            <w:tcW w:w="4609"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Default="00454D20">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1,080,166,797.55</w:t>
            </w:r>
          </w:p>
        </w:tc>
      </w:tr>
    </w:tbl>
    <w:p w:rsidR="00D06738" w:rsidRDefault="00454D20">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06738" w:rsidRDefault="00454D20">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06738" w:rsidRDefault="00454D20">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06738" w:rsidRDefault="00D06738">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06738" w:rsidRDefault="00454D20">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、中国证监会批准上投摩根成长先锋混合型证券投资基金设立的文件；</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Pr>
          <w:rFonts w:asciiTheme="minorEastAsia" w:eastAsiaTheme="minorEastAsia" w:hAnsiTheme="minorEastAsia" w:hint="eastAsia"/>
          <w:color w:val="000000" w:themeColor="text1"/>
        </w:rPr>
        <w:t>、《上投摩根成长先锋混合型证券投资基金基金合同》；</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Pr>
          <w:rFonts w:asciiTheme="minorEastAsia" w:eastAsiaTheme="minorEastAsia" w:hAnsiTheme="minorEastAsia" w:hint="eastAsia"/>
          <w:color w:val="000000" w:themeColor="text1"/>
        </w:rPr>
        <w:t>、《上投摩根成长先锋混合型证券投资基金托管协议》；</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、《上投摩根开放式基金业务规则》；</w:t>
      </w:r>
    </w:p>
    <w:p w:rsidR="001E55E2" w:rsidRDefault="005646C1">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5</w:t>
      </w: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rPr>
        <w:t>基金管理人业务资格批件、营业执照；</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6、基金托管人业务资格批件和营业执照。</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D06738" w:rsidRDefault="00D06738">
      <w:pPr>
        <w:spacing w:line="360" w:lineRule="auto"/>
        <w:ind w:firstLineChars="200" w:firstLine="480"/>
        <w:rPr>
          <w:rFonts w:asciiTheme="minorEastAsia" w:eastAsiaTheme="minorEastAsia" w:hAnsiTheme="minorEastAsia"/>
          <w:color w:val="000000" w:themeColor="text1"/>
          <w:sz w:val="24"/>
          <w:szCs w:val="24"/>
        </w:rPr>
      </w:pPr>
    </w:p>
    <w:p w:rsidR="00D06738" w:rsidRDefault="00454D2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D06738" w:rsidRDefault="00454D20">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D06738">
      <w:pPr>
        <w:spacing w:line="360" w:lineRule="auto"/>
        <w:ind w:left="840"/>
        <w:jc w:val="right"/>
        <w:rPr>
          <w:rFonts w:asciiTheme="minorEastAsia" w:eastAsiaTheme="minorEastAsia" w:hAnsiTheme="minorEastAsia"/>
          <w:color w:val="000000" w:themeColor="text1"/>
          <w:sz w:val="24"/>
          <w:szCs w:val="24"/>
        </w:rPr>
      </w:pP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D06738" w:rsidRDefault="00454D20">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二〇二一年四月二十二日</w:t>
      </w:r>
    </w:p>
    <w:p w:rsidR="00D06738" w:rsidRDefault="00D06738">
      <w:pPr>
        <w:spacing w:line="360" w:lineRule="auto"/>
        <w:ind w:left="840"/>
        <w:jc w:val="right"/>
        <w:rPr>
          <w:rFonts w:asciiTheme="minorEastAsia" w:eastAsiaTheme="minorEastAsia" w:hAnsiTheme="minorEastAsia"/>
          <w:b/>
          <w:bCs/>
          <w:color w:val="000000" w:themeColor="text1"/>
          <w:sz w:val="24"/>
          <w:szCs w:val="24"/>
        </w:rPr>
      </w:pPr>
    </w:p>
    <w:p w:rsidR="00D06738" w:rsidRDefault="00D06738">
      <w:pPr>
        <w:rPr>
          <w:rFonts w:asciiTheme="minorEastAsia" w:eastAsiaTheme="minorEastAsia" w:hAnsiTheme="minorEastAsia"/>
          <w:color w:val="000000" w:themeColor="text1"/>
          <w:sz w:val="24"/>
          <w:szCs w:val="24"/>
        </w:rPr>
      </w:pPr>
    </w:p>
    <w:sectPr w:rsidR="00D06738">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FDA" w:rsidRDefault="003A7FDA">
      <w:r>
        <w:separator/>
      </w:r>
    </w:p>
  </w:endnote>
  <w:endnote w:type="continuationSeparator" w:id="0">
    <w:p w:rsidR="003A7FDA" w:rsidRDefault="003A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5646C1" w:rsidRPr="005646C1">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5646C1">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FDA" w:rsidRDefault="003A7FDA">
      <w:r>
        <w:separator/>
      </w:r>
    </w:p>
  </w:footnote>
  <w:footnote w:type="continuationSeparator" w:id="0">
    <w:p w:rsidR="003A7FDA" w:rsidRDefault="003A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上投摩根成长先锋混合型证券投资基金</w:t>
    </w:r>
    <w:r>
      <w:rPr>
        <w:rFonts w:hint="eastAsia"/>
      </w:rPr>
      <w:t>2021</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E55E2"/>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46C1"/>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uiPriority w:val="9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B1F95D-250B-4263-8E18-BB9B1B2B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Wentian.Zhou@FA</cp:lastModifiedBy>
  <cp:revision>267</cp:revision>
  <dcterms:created xsi:type="dcterms:W3CDTF">2012-10-16T06:07:00Z</dcterms:created>
  <dcterms:modified xsi:type="dcterms:W3CDTF">2021-04-21T02:54:00Z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