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上投摩根成长先锋混合型证券投资基金</w:t>
      </w: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2020年第3季度报告</w:t>
      </w:r>
    </w:p>
    <w:p w:rsidR="00D06738" w:rsidRDefault="00454D20">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2020年9月30日</w:t>
      </w: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rPr>
          <w:rFonts w:asciiTheme="minorEastAsia" w:eastAsiaTheme="minorEastAsia" w:hAnsiTheme="minorEastAsia"/>
          <w:b/>
          <w:bCs/>
          <w:color w:val="000000" w:themeColor="text1"/>
          <w:sz w:val="24"/>
          <w:szCs w:val="24"/>
        </w:rPr>
      </w:pP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中国建设银行股份有限公司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sectPr w:rsidR="00D06738">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二〇二〇年十月二十八日</w:t>
      </w:r>
    </w:p>
    <w:p w:rsidR="00D06738" w:rsidRDefault="00454D20">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DE1259" w:rsidRDefault="0093670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DE1259" w:rsidRDefault="0093670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基金托管人中国建设银行股份有限公司根据本基金合同规定，于</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27</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DE1259" w:rsidRDefault="0093670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DE1259" w:rsidRDefault="0093670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DE1259" w:rsidRDefault="0093670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本报告期自2020年7月1日起至9月30日止。</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上投摩根成长先锋混合</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378010</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378010</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2006年9月20日</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1,157,353,161.42</w:t>
            </w:r>
            <w:r>
              <w:rPr>
                <w:rFonts w:asciiTheme="minorEastAsia" w:eastAsiaTheme="minorEastAsia" w:hAnsiTheme="minorEastAsia" w:hint="eastAsia"/>
                <w:color w:val="000000" w:themeColor="text1"/>
                <w:kern w:val="0"/>
              </w:rPr>
              <w:t>份</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本基金主要投资于国内市场上展现最佳成长特质的股票，积极捕捉高成长性上市公司所带来的投资机会，努力实现基金资产长期稳健增值。</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（1）股票投资策略 本基金采取定量分析与定性分析相结合方式，挖掘具有突出成长潜力且被当前市场低估的上市公司，主动出击、积极管理将是本基金运作的重要特色。 （2）固定收益类投资策略 本基金以股票投资为主，一般</w:t>
            </w:r>
            <w:r>
              <w:rPr>
                <w:rFonts w:asciiTheme="minorEastAsia" w:eastAsiaTheme="minorEastAsia" w:hAnsiTheme="minorEastAsia"/>
                <w:color w:val="000000" w:themeColor="text1"/>
                <w:kern w:val="0"/>
              </w:rPr>
              <w:lastRenderedPageBreak/>
              <w:t>市场情况下，基金管理人不会积极追求大类资产配置，但为进一步控制投资风险，优化组合流动性管理，本基金将适度防御性资产配置，进行债券、货币市场工具等品种投资。 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沪深300指数收益率×80%+中债总指数收益率×20%</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DE1259" w:rsidRDefault="0093670C">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本基金是主动型混合型基金，属于证券投资基金的较高风险品种，预期风险收益水平低于股票型基金，高于债券基金和货币市场基金。</w:t>
            </w:r>
          </w:p>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中国建设银行股份有限公司</w:t>
            </w:r>
          </w:p>
        </w:tc>
      </w:tr>
    </w:tbl>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93670C" w:rsidTr="0093670C">
        <w:tc>
          <w:tcPr>
            <w:tcW w:w="3402" w:type="dxa"/>
            <w:vAlign w:val="center"/>
          </w:tcPr>
          <w:p w:rsidR="00D06738" w:rsidRDefault="00454D20">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D06738" w:rsidRDefault="00454D20">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D06738" w:rsidRDefault="00454D20">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2020年7月1日-2020年9月30日</w:t>
            </w:r>
            <w:r>
              <w:rPr>
                <w:rFonts w:asciiTheme="minorEastAsia" w:eastAsiaTheme="minorEastAsia" w:hAnsiTheme="minorEastAsia" w:cs="宋体" w:hint="eastAsia"/>
                <w:color w:val="000000" w:themeColor="text1"/>
              </w:rPr>
              <w:t>)</w:t>
            </w:r>
          </w:p>
        </w:tc>
      </w:tr>
      <w:tr w:rsidR="0093670C" w:rsidTr="0093670C">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300,517,106.57</w:t>
            </w:r>
          </w:p>
        </w:tc>
      </w:tr>
      <w:tr w:rsidR="0093670C" w:rsidTr="0093670C">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209,337,479.35</w:t>
            </w:r>
          </w:p>
        </w:tc>
      </w:tr>
      <w:tr w:rsidR="0093670C" w:rsidTr="0093670C">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lastRenderedPageBreak/>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0.1784</w:t>
            </w:r>
          </w:p>
        </w:tc>
      </w:tr>
      <w:tr w:rsidR="0093670C" w:rsidTr="0093670C">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1,821,443,253.31</w:t>
            </w:r>
          </w:p>
        </w:tc>
      </w:tr>
      <w:tr w:rsidR="0093670C" w:rsidTr="0093670C">
        <w:trPr>
          <w:trHeight w:val="158"/>
        </w:trPr>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1.5738</w:t>
            </w:r>
          </w:p>
        </w:tc>
      </w:tr>
    </w:tbl>
    <w:p w:rsidR="00DE1259" w:rsidRDefault="0093670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D06738" w:rsidRDefault="00454D20">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tc>
          <w:tcPr>
            <w:tcW w:w="139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DE1259">
        <w:tc>
          <w:tcPr>
            <w:tcW w:w="1395" w:type="dxa"/>
            <w:vAlign w:val="center"/>
          </w:tcPr>
          <w:p w:rsidR="00DE1259" w:rsidRDefault="0093670C">
            <w:pPr>
              <w:jc w:val="left"/>
            </w:pPr>
            <w:r>
              <w:rPr>
                <w:rFonts w:asciiTheme="minorEastAsia" w:eastAsiaTheme="minorEastAsia" w:hAnsiTheme="minorEastAsia"/>
                <w:color w:val="000000" w:themeColor="text1"/>
                <w:kern w:val="0"/>
              </w:rPr>
              <w:t>过去三个月</w:t>
            </w:r>
          </w:p>
        </w:tc>
        <w:tc>
          <w:tcPr>
            <w:tcW w:w="1092" w:type="dxa"/>
            <w:vAlign w:val="center"/>
          </w:tcPr>
          <w:p w:rsidR="00DE1259" w:rsidRDefault="0093670C">
            <w:pPr>
              <w:jc w:val="center"/>
            </w:pPr>
            <w:r>
              <w:rPr>
                <w:rFonts w:asciiTheme="minorEastAsia" w:eastAsiaTheme="minorEastAsia" w:hAnsiTheme="minorEastAsia"/>
                <w:color w:val="000000" w:themeColor="text1"/>
                <w:kern w:val="0"/>
              </w:rPr>
              <w:t>12.39%</w:t>
            </w:r>
          </w:p>
        </w:tc>
        <w:tc>
          <w:tcPr>
            <w:tcW w:w="1161" w:type="dxa"/>
            <w:vAlign w:val="center"/>
          </w:tcPr>
          <w:p w:rsidR="00DE1259" w:rsidRDefault="0093670C">
            <w:pPr>
              <w:jc w:val="center"/>
            </w:pPr>
            <w:r>
              <w:rPr>
                <w:rFonts w:asciiTheme="minorEastAsia" w:eastAsiaTheme="minorEastAsia" w:hAnsiTheme="minorEastAsia"/>
                <w:color w:val="000000" w:themeColor="text1"/>
                <w:kern w:val="0"/>
              </w:rPr>
              <w:t>1.83%</w:t>
            </w:r>
          </w:p>
        </w:tc>
        <w:tc>
          <w:tcPr>
            <w:tcW w:w="1181" w:type="dxa"/>
            <w:vAlign w:val="center"/>
          </w:tcPr>
          <w:p w:rsidR="00DE1259" w:rsidRDefault="0093670C">
            <w:pPr>
              <w:jc w:val="center"/>
            </w:pPr>
            <w:r>
              <w:rPr>
                <w:rFonts w:asciiTheme="minorEastAsia" w:eastAsiaTheme="minorEastAsia" w:hAnsiTheme="minorEastAsia"/>
                <w:color w:val="000000" w:themeColor="text1"/>
                <w:kern w:val="0"/>
              </w:rPr>
              <w:t>7.73%</w:t>
            </w:r>
          </w:p>
        </w:tc>
        <w:tc>
          <w:tcPr>
            <w:tcW w:w="1188" w:type="dxa"/>
            <w:vAlign w:val="center"/>
          </w:tcPr>
          <w:p w:rsidR="00DE1259" w:rsidRDefault="0093670C">
            <w:pPr>
              <w:jc w:val="center"/>
            </w:pPr>
            <w:r>
              <w:rPr>
                <w:rFonts w:asciiTheme="minorEastAsia" w:eastAsiaTheme="minorEastAsia" w:hAnsiTheme="minorEastAsia"/>
                <w:color w:val="000000" w:themeColor="text1"/>
                <w:kern w:val="0"/>
              </w:rPr>
              <w:t>1.28%</w:t>
            </w:r>
          </w:p>
        </w:tc>
        <w:tc>
          <w:tcPr>
            <w:tcW w:w="1199" w:type="dxa"/>
            <w:vAlign w:val="center"/>
          </w:tcPr>
          <w:p w:rsidR="00DE1259" w:rsidRDefault="0093670C">
            <w:pPr>
              <w:jc w:val="center"/>
            </w:pPr>
            <w:r>
              <w:rPr>
                <w:rFonts w:asciiTheme="minorEastAsia" w:eastAsiaTheme="minorEastAsia" w:hAnsiTheme="minorEastAsia"/>
                <w:color w:val="000000" w:themeColor="text1"/>
                <w:kern w:val="0"/>
              </w:rPr>
              <w:t>4.66%</w:t>
            </w:r>
          </w:p>
        </w:tc>
        <w:tc>
          <w:tcPr>
            <w:tcW w:w="1204" w:type="dxa"/>
            <w:vAlign w:val="center"/>
          </w:tcPr>
          <w:p w:rsidR="00DE1259" w:rsidRDefault="0093670C">
            <w:pPr>
              <w:jc w:val="center"/>
            </w:pPr>
            <w:r>
              <w:rPr>
                <w:rFonts w:asciiTheme="minorEastAsia" w:eastAsiaTheme="minorEastAsia" w:hAnsiTheme="minorEastAsia"/>
                <w:color w:val="000000" w:themeColor="text1"/>
                <w:kern w:val="0"/>
              </w:rPr>
              <w:t>0.55%</w:t>
            </w:r>
          </w:p>
        </w:tc>
      </w:tr>
      <w:tr w:rsidR="00DE1259">
        <w:tc>
          <w:tcPr>
            <w:tcW w:w="1395" w:type="dxa"/>
            <w:vAlign w:val="center"/>
          </w:tcPr>
          <w:p w:rsidR="00DE1259" w:rsidRDefault="0093670C">
            <w:pPr>
              <w:jc w:val="left"/>
            </w:pPr>
            <w:r>
              <w:rPr>
                <w:rFonts w:asciiTheme="minorEastAsia" w:eastAsiaTheme="minorEastAsia" w:hAnsiTheme="minorEastAsia"/>
                <w:color w:val="000000" w:themeColor="text1"/>
                <w:kern w:val="0"/>
              </w:rPr>
              <w:t>过去六个月</w:t>
            </w:r>
          </w:p>
        </w:tc>
        <w:tc>
          <w:tcPr>
            <w:tcW w:w="1092" w:type="dxa"/>
            <w:vAlign w:val="center"/>
          </w:tcPr>
          <w:p w:rsidR="00DE1259" w:rsidRDefault="0093670C">
            <w:pPr>
              <w:jc w:val="center"/>
            </w:pPr>
            <w:r>
              <w:rPr>
                <w:rFonts w:asciiTheme="minorEastAsia" w:eastAsiaTheme="minorEastAsia" w:hAnsiTheme="minorEastAsia"/>
                <w:color w:val="000000" w:themeColor="text1"/>
                <w:kern w:val="0"/>
              </w:rPr>
              <w:t>46.01%</w:t>
            </w:r>
          </w:p>
        </w:tc>
        <w:tc>
          <w:tcPr>
            <w:tcW w:w="1161" w:type="dxa"/>
            <w:vAlign w:val="center"/>
          </w:tcPr>
          <w:p w:rsidR="00DE1259" w:rsidRDefault="0093670C">
            <w:pPr>
              <w:jc w:val="center"/>
            </w:pPr>
            <w:r>
              <w:rPr>
                <w:rFonts w:asciiTheme="minorEastAsia" w:eastAsiaTheme="minorEastAsia" w:hAnsiTheme="minorEastAsia"/>
                <w:color w:val="000000" w:themeColor="text1"/>
                <w:kern w:val="0"/>
              </w:rPr>
              <w:t>1.53%</w:t>
            </w:r>
          </w:p>
        </w:tc>
        <w:tc>
          <w:tcPr>
            <w:tcW w:w="1181" w:type="dxa"/>
            <w:vAlign w:val="center"/>
          </w:tcPr>
          <w:p w:rsidR="00DE1259" w:rsidRDefault="0093670C">
            <w:pPr>
              <w:jc w:val="center"/>
            </w:pPr>
            <w:r>
              <w:rPr>
                <w:rFonts w:asciiTheme="minorEastAsia" w:eastAsiaTheme="minorEastAsia" w:hAnsiTheme="minorEastAsia"/>
                <w:color w:val="000000" w:themeColor="text1"/>
                <w:kern w:val="0"/>
              </w:rPr>
              <w:t>18.82%</w:t>
            </w:r>
          </w:p>
        </w:tc>
        <w:tc>
          <w:tcPr>
            <w:tcW w:w="1188" w:type="dxa"/>
            <w:vAlign w:val="center"/>
          </w:tcPr>
          <w:p w:rsidR="00DE1259" w:rsidRDefault="0093670C">
            <w:pPr>
              <w:jc w:val="center"/>
            </w:pPr>
            <w:r>
              <w:rPr>
                <w:rFonts w:asciiTheme="minorEastAsia" w:eastAsiaTheme="minorEastAsia" w:hAnsiTheme="minorEastAsia"/>
                <w:color w:val="000000" w:themeColor="text1"/>
                <w:kern w:val="0"/>
              </w:rPr>
              <w:t>1.05%</w:t>
            </w:r>
          </w:p>
        </w:tc>
        <w:tc>
          <w:tcPr>
            <w:tcW w:w="1199" w:type="dxa"/>
            <w:vAlign w:val="center"/>
          </w:tcPr>
          <w:p w:rsidR="00DE1259" w:rsidRDefault="0093670C">
            <w:pPr>
              <w:jc w:val="center"/>
            </w:pPr>
            <w:r>
              <w:rPr>
                <w:rFonts w:asciiTheme="minorEastAsia" w:eastAsiaTheme="minorEastAsia" w:hAnsiTheme="minorEastAsia"/>
                <w:color w:val="000000" w:themeColor="text1"/>
                <w:kern w:val="0"/>
              </w:rPr>
              <w:t>27.19%</w:t>
            </w:r>
          </w:p>
        </w:tc>
        <w:tc>
          <w:tcPr>
            <w:tcW w:w="1204" w:type="dxa"/>
            <w:vAlign w:val="center"/>
          </w:tcPr>
          <w:p w:rsidR="00DE1259" w:rsidRDefault="0093670C">
            <w:pPr>
              <w:jc w:val="center"/>
            </w:pPr>
            <w:r>
              <w:rPr>
                <w:rFonts w:asciiTheme="minorEastAsia" w:eastAsiaTheme="minorEastAsia" w:hAnsiTheme="minorEastAsia"/>
                <w:color w:val="000000" w:themeColor="text1"/>
                <w:kern w:val="0"/>
              </w:rPr>
              <w:t>0.48%</w:t>
            </w:r>
          </w:p>
        </w:tc>
      </w:tr>
      <w:tr w:rsidR="00DE1259">
        <w:tc>
          <w:tcPr>
            <w:tcW w:w="1395" w:type="dxa"/>
            <w:vAlign w:val="center"/>
          </w:tcPr>
          <w:p w:rsidR="00DE1259" w:rsidRDefault="0093670C">
            <w:pPr>
              <w:jc w:val="left"/>
            </w:pPr>
            <w:r>
              <w:rPr>
                <w:rFonts w:asciiTheme="minorEastAsia" w:eastAsiaTheme="minorEastAsia" w:hAnsiTheme="minorEastAsia"/>
                <w:color w:val="000000" w:themeColor="text1"/>
                <w:kern w:val="0"/>
              </w:rPr>
              <w:t>过去一年</w:t>
            </w:r>
          </w:p>
        </w:tc>
        <w:tc>
          <w:tcPr>
            <w:tcW w:w="1092" w:type="dxa"/>
            <w:vAlign w:val="center"/>
          </w:tcPr>
          <w:p w:rsidR="00DE1259" w:rsidRDefault="0093670C">
            <w:pPr>
              <w:jc w:val="center"/>
            </w:pPr>
            <w:r>
              <w:rPr>
                <w:rFonts w:asciiTheme="minorEastAsia" w:eastAsiaTheme="minorEastAsia" w:hAnsiTheme="minorEastAsia"/>
                <w:color w:val="000000" w:themeColor="text1"/>
                <w:kern w:val="0"/>
              </w:rPr>
              <w:t>59.47%</w:t>
            </w:r>
          </w:p>
        </w:tc>
        <w:tc>
          <w:tcPr>
            <w:tcW w:w="1161" w:type="dxa"/>
            <w:vAlign w:val="center"/>
          </w:tcPr>
          <w:p w:rsidR="00DE1259" w:rsidRDefault="0093670C">
            <w:pPr>
              <w:jc w:val="center"/>
            </w:pPr>
            <w:r>
              <w:rPr>
                <w:rFonts w:asciiTheme="minorEastAsia" w:eastAsiaTheme="minorEastAsia" w:hAnsiTheme="minorEastAsia"/>
                <w:color w:val="000000" w:themeColor="text1"/>
                <w:kern w:val="0"/>
              </w:rPr>
              <w:t>1.59%</w:t>
            </w:r>
          </w:p>
        </w:tc>
        <w:tc>
          <w:tcPr>
            <w:tcW w:w="1181" w:type="dxa"/>
            <w:vAlign w:val="center"/>
          </w:tcPr>
          <w:p w:rsidR="00DE1259" w:rsidRDefault="0093670C">
            <w:pPr>
              <w:jc w:val="center"/>
            </w:pPr>
            <w:r>
              <w:rPr>
                <w:rFonts w:asciiTheme="minorEastAsia" w:eastAsiaTheme="minorEastAsia" w:hAnsiTheme="minorEastAsia"/>
                <w:color w:val="000000" w:themeColor="text1"/>
                <w:kern w:val="0"/>
              </w:rPr>
              <w:t>16.14%</w:t>
            </w:r>
          </w:p>
        </w:tc>
        <w:tc>
          <w:tcPr>
            <w:tcW w:w="1188" w:type="dxa"/>
            <w:vAlign w:val="center"/>
          </w:tcPr>
          <w:p w:rsidR="00DE1259" w:rsidRDefault="0093670C">
            <w:pPr>
              <w:jc w:val="center"/>
            </w:pPr>
            <w:r>
              <w:rPr>
                <w:rFonts w:asciiTheme="minorEastAsia" w:eastAsiaTheme="minorEastAsia" w:hAnsiTheme="minorEastAsia"/>
                <w:color w:val="000000" w:themeColor="text1"/>
                <w:kern w:val="0"/>
              </w:rPr>
              <w:t>1.10%</w:t>
            </w:r>
          </w:p>
        </w:tc>
        <w:tc>
          <w:tcPr>
            <w:tcW w:w="1199" w:type="dxa"/>
            <w:vAlign w:val="center"/>
          </w:tcPr>
          <w:p w:rsidR="00DE1259" w:rsidRDefault="0093670C">
            <w:pPr>
              <w:jc w:val="center"/>
            </w:pPr>
            <w:r>
              <w:rPr>
                <w:rFonts w:asciiTheme="minorEastAsia" w:eastAsiaTheme="minorEastAsia" w:hAnsiTheme="minorEastAsia"/>
                <w:color w:val="000000" w:themeColor="text1"/>
                <w:kern w:val="0"/>
              </w:rPr>
              <w:t>43.33%</w:t>
            </w:r>
          </w:p>
        </w:tc>
        <w:tc>
          <w:tcPr>
            <w:tcW w:w="1204" w:type="dxa"/>
            <w:vAlign w:val="center"/>
          </w:tcPr>
          <w:p w:rsidR="00DE1259" w:rsidRDefault="0093670C">
            <w:pPr>
              <w:jc w:val="center"/>
            </w:pPr>
            <w:r>
              <w:rPr>
                <w:rFonts w:asciiTheme="minorEastAsia" w:eastAsiaTheme="minorEastAsia" w:hAnsiTheme="minorEastAsia"/>
                <w:color w:val="000000" w:themeColor="text1"/>
                <w:kern w:val="0"/>
              </w:rPr>
              <w:t>0.49%</w:t>
            </w:r>
          </w:p>
        </w:tc>
      </w:tr>
      <w:tr w:rsidR="00DE1259">
        <w:tc>
          <w:tcPr>
            <w:tcW w:w="1395" w:type="dxa"/>
            <w:vAlign w:val="center"/>
          </w:tcPr>
          <w:p w:rsidR="00DE1259" w:rsidRDefault="0093670C">
            <w:pPr>
              <w:jc w:val="left"/>
            </w:pPr>
            <w:r>
              <w:rPr>
                <w:rFonts w:asciiTheme="minorEastAsia" w:eastAsiaTheme="minorEastAsia" w:hAnsiTheme="minorEastAsia"/>
                <w:color w:val="000000" w:themeColor="text1"/>
                <w:kern w:val="0"/>
              </w:rPr>
              <w:t>过去三年</w:t>
            </w:r>
          </w:p>
        </w:tc>
        <w:tc>
          <w:tcPr>
            <w:tcW w:w="1092" w:type="dxa"/>
            <w:vAlign w:val="center"/>
          </w:tcPr>
          <w:p w:rsidR="00DE1259" w:rsidRDefault="0093670C">
            <w:pPr>
              <w:jc w:val="center"/>
            </w:pPr>
            <w:r>
              <w:rPr>
                <w:rFonts w:asciiTheme="minorEastAsia" w:eastAsiaTheme="minorEastAsia" w:hAnsiTheme="minorEastAsia"/>
                <w:color w:val="000000" w:themeColor="text1"/>
                <w:kern w:val="0"/>
              </w:rPr>
              <w:t>91.47%</w:t>
            </w:r>
          </w:p>
        </w:tc>
        <w:tc>
          <w:tcPr>
            <w:tcW w:w="1161" w:type="dxa"/>
            <w:vAlign w:val="center"/>
          </w:tcPr>
          <w:p w:rsidR="00DE1259" w:rsidRDefault="0093670C">
            <w:pPr>
              <w:jc w:val="center"/>
            </w:pPr>
            <w:r>
              <w:rPr>
                <w:rFonts w:asciiTheme="minorEastAsia" w:eastAsiaTheme="minorEastAsia" w:hAnsiTheme="minorEastAsia"/>
                <w:color w:val="000000" w:themeColor="text1"/>
                <w:kern w:val="0"/>
              </w:rPr>
              <w:t>1.33%</w:t>
            </w:r>
          </w:p>
        </w:tc>
        <w:tc>
          <w:tcPr>
            <w:tcW w:w="1181" w:type="dxa"/>
            <w:vAlign w:val="center"/>
          </w:tcPr>
          <w:p w:rsidR="00DE1259" w:rsidRDefault="0093670C">
            <w:pPr>
              <w:jc w:val="center"/>
            </w:pPr>
            <w:r>
              <w:rPr>
                <w:rFonts w:asciiTheme="minorEastAsia" w:eastAsiaTheme="minorEastAsia" w:hAnsiTheme="minorEastAsia"/>
                <w:color w:val="000000" w:themeColor="text1"/>
                <w:kern w:val="0"/>
              </w:rPr>
              <w:t>16.57%</w:t>
            </w:r>
          </w:p>
        </w:tc>
        <w:tc>
          <w:tcPr>
            <w:tcW w:w="1188" w:type="dxa"/>
            <w:vAlign w:val="center"/>
          </w:tcPr>
          <w:p w:rsidR="00DE1259" w:rsidRDefault="0093670C">
            <w:pPr>
              <w:jc w:val="center"/>
            </w:pPr>
            <w:r>
              <w:rPr>
                <w:rFonts w:asciiTheme="minorEastAsia" w:eastAsiaTheme="minorEastAsia" w:hAnsiTheme="minorEastAsia"/>
                <w:color w:val="000000" w:themeColor="text1"/>
                <w:kern w:val="0"/>
              </w:rPr>
              <w:t>1.06%</w:t>
            </w:r>
          </w:p>
        </w:tc>
        <w:tc>
          <w:tcPr>
            <w:tcW w:w="1199" w:type="dxa"/>
            <w:vAlign w:val="center"/>
          </w:tcPr>
          <w:p w:rsidR="00DE1259" w:rsidRDefault="0093670C">
            <w:pPr>
              <w:jc w:val="center"/>
            </w:pPr>
            <w:r>
              <w:rPr>
                <w:rFonts w:asciiTheme="minorEastAsia" w:eastAsiaTheme="minorEastAsia" w:hAnsiTheme="minorEastAsia"/>
                <w:color w:val="000000" w:themeColor="text1"/>
                <w:kern w:val="0"/>
              </w:rPr>
              <w:t>74.90%</w:t>
            </w:r>
          </w:p>
        </w:tc>
        <w:tc>
          <w:tcPr>
            <w:tcW w:w="1204" w:type="dxa"/>
            <w:vAlign w:val="center"/>
          </w:tcPr>
          <w:p w:rsidR="00DE1259" w:rsidRDefault="0093670C">
            <w:pPr>
              <w:jc w:val="center"/>
            </w:pPr>
            <w:r>
              <w:rPr>
                <w:rFonts w:asciiTheme="minorEastAsia" w:eastAsiaTheme="minorEastAsia" w:hAnsiTheme="minorEastAsia"/>
                <w:color w:val="000000" w:themeColor="text1"/>
                <w:kern w:val="0"/>
              </w:rPr>
              <w:t>0.27%</w:t>
            </w:r>
          </w:p>
        </w:tc>
      </w:tr>
      <w:tr w:rsidR="00DE1259">
        <w:tc>
          <w:tcPr>
            <w:tcW w:w="1395" w:type="dxa"/>
            <w:vAlign w:val="center"/>
          </w:tcPr>
          <w:p w:rsidR="00DE1259" w:rsidRDefault="0093670C">
            <w:pPr>
              <w:jc w:val="left"/>
            </w:pPr>
            <w:r>
              <w:rPr>
                <w:rFonts w:asciiTheme="minorEastAsia" w:eastAsiaTheme="minorEastAsia" w:hAnsiTheme="minorEastAsia"/>
                <w:color w:val="000000" w:themeColor="text1"/>
                <w:kern w:val="0"/>
              </w:rPr>
              <w:t>过去五年</w:t>
            </w:r>
          </w:p>
        </w:tc>
        <w:tc>
          <w:tcPr>
            <w:tcW w:w="1092" w:type="dxa"/>
            <w:vAlign w:val="center"/>
          </w:tcPr>
          <w:p w:rsidR="00DE1259" w:rsidRDefault="0093670C">
            <w:pPr>
              <w:jc w:val="center"/>
            </w:pPr>
            <w:r>
              <w:rPr>
                <w:rFonts w:asciiTheme="minorEastAsia" w:eastAsiaTheme="minorEastAsia" w:hAnsiTheme="minorEastAsia"/>
                <w:color w:val="000000" w:themeColor="text1"/>
                <w:kern w:val="0"/>
              </w:rPr>
              <w:t>98.57%</w:t>
            </w:r>
          </w:p>
        </w:tc>
        <w:tc>
          <w:tcPr>
            <w:tcW w:w="1161" w:type="dxa"/>
            <w:vAlign w:val="center"/>
          </w:tcPr>
          <w:p w:rsidR="00DE1259" w:rsidRDefault="0093670C">
            <w:pPr>
              <w:jc w:val="center"/>
            </w:pPr>
            <w:r>
              <w:rPr>
                <w:rFonts w:asciiTheme="minorEastAsia" w:eastAsiaTheme="minorEastAsia" w:hAnsiTheme="minorEastAsia"/>
                <w:color w:val="000000" w:themeColor="text1"/>
                <w:kern w:val="0"/>
              </w:rPr>
              <w:t>1.44%</w:t>
            </w:r>
          </w:p>
        </w:tc>
        <w:tc>
          <w:tcPr>
            <w:tcW w:w="1181" w:type="dxa"/>
            <w:vAlign w:val="center"/>
          </w:tcPr>
          <w:p w:rsidR="00DE1259" w:rsidRDefault="0093670C">
            <w:pPr>
              <w:jc w:val="center"/>
            </w:pPr>
            <w:r>
              <w:rPr>
                <w:rFonts w:asciiTheme="minorEastAsia" w:eastAsiaTheme="minorEastAsia" w:hAnsiTheme="minorEastAsia"/>
                <w:color w:val="000000" w:themeColor="text1"/>
                <w:kern w:val="0"/>
              </w:rPr>
              <w:t>35.00%</w:t>
            </w:r>
          </w:p>
        </w:tc>
        <w:tc>
          <w:tcPr>
            <w:tcW w:w="1188" w:type="dxa"/>
            <w:vAlign w:val="center"/>
          </w:tcPr>
          <w:p w:rsidR="00DE1259" w:rsidRDefault="0093670C">
            <w:pPr>
              <w:jc w:val="center"/>
            </w:pPr>
            <w:r>
              <w:rPr>
                <w:rFonts w:asciiTheme="minorEastAsia" w:eastAsiaTheme="minorEastAsia" w:hAnsiTheme="minorEastAsia"/>
                <w:color w:val="000000" w:themeColor="text1"/>
                <w:kern w:val="0"/>
              </w:rPr>
              <w:t>1.02%</w:t>
            </w:r>
          </w:p>
        </w:tc>
        <w:tc>
          <w:tcPr>
            <w:tcW w:w="1199" w:type="dxa"/>
            <w:vAlign w:val="center"/>
          </w:tcPr>
          <w:p w:rsidR="00DE1259" w:rsidRDefault="0093670C">
            <w:pPr>
              <w:jc w:val="center"/>
            </w:pPr>
            <w:r>
              <w:rPr>
                <w:rFonts w:asciiTheme="minorEastAsia" w:eastAsiaTheme="minorEastAsia" w:hAnsiTheme="minorEastAsia"/>
                <w:color w:val="000000" w:themeColor="text1"/>
                <w:kern w:val="0"/>
              </w:rPr>
              <w:t>63.57%</w:t>
            </w:r>
          </w:p>
        </w:tc>
        <w:tc>
          <w:tcPr>
            <w:tcW w:w="1204" w:type="dxa"/>
            <w:vAlign w:val="center"/>
          </w:tcPr>
          <w:p w:rsidR="00DE1259" w:rsidRDefault="0093670C">
            <w:pPr>
              <w:jc w:val="center"/>
            </w:pPr>
            <w:r>
              <w:rPr>
                <w:rFonts w:asciiTheme="minorEastAsia" w:eastAsiaTheme="minorEastAsia" w:hAnsiTheme="minorEastAsia"/>
                <w:color w:val="000000" w:themeColor="text1"/>
                <w:kern w:val="0"/>
              </w:rPr>
              <w:t>0.42%</w:t>
            </w:r>
          </w:p>
        </w:tc>
      </w:tr>
      <w:tr w:rsidR="00DE1259">
        <w:tc>
          <w:tcPr>
            <w:tcW w:w="1395" w:type="dxa"/>
            <w:vAlign w:val="center"/>
          </w:tcPr>
          <w:p w:rsidR="00DE1259" w:rsidRDefault="0093670C">
            <w:pPr>
              <w:jc w:val="left"/>
            </w:pPr>
            <w:r>
              <w:rPr>
                <w:rFonts w:asciiTheme="minorEastAsia" w:eastAsiaTheme="minorEastAsia" w:hAnsiTheme="minorEastAsia"/>
                <w:color w:val="000000" w:themeColor="text1"/>
                <w:kern w:val="0"/>
              </w:rPr>
              <w:t>自基金合同生效起至今</w:t>
            </w:r>
          </w:p>
        </w:tc>
        <w:tc>
          <w:tcPr>
            <w:tcW w:w="1092" w:type="dxa"/>
            <w:vAlign w:val="center"/>
          </w:tcPr>
          <w:p w:rsidR="00DE1259" w:rsidRDefault="0093670C">
            <w:pPr>
              <w:jc w:val="center"/>
            </w:pPr>
            <w:r>
              <w:rPr>
                <w:rFonts w:asciiTheme="minorEastAsia" w:eastAsiaTheme="minorEastAsia" w:hAnsiTheme="minorEastAsia"/>
                <w:color w:val="000000" w:themeColor="text1"/>
                <w:kern w:val="0"/>
              </w:rPr>
              <w:t>270.47%</w:t>
            </w:r>
          </w:p>
        </w:tc>
        <w:tc>
          <w:tcPr>
            <w:tcW w:w="1161" w:type="dxa"/>
            <w:vAlign w:val="center"/>
          </w:tcPr>
          <w:p w:rsidR="00DE1259" w:rsidRDefault="0093670C">
            <w:pPr>
              <w:jc w:val="center"/>
            </w:pPr>
            <w:r>
              <w:rPr>
                <w:rFonts w:asciiTheme="minorEastAsia" w:eastAsiaTheme="minorEastAsia" w:hAnsiTheme="minorEastAsia"/>
                <w:color w:val="000000" w:themeColor="text1"/>
                <w:kern w:val="0"/>
              </w:rPr>
              <w:t>1.63%</w:t>
            </w:r>
          </w:p>
        </w:tc>
        <w:tc>
          <w:tcPr>
            <w:tcW w:w="1181" w:type="dxa"/>
            <w:vAlign w:val="center"/>
          </w:tcPr>
          <w:p w:rsidR="00DE1259" w:rsidRDefault="0093670C">
            <w:pPr>
              <w:jc w:val="center"/>
            </w:pPr>
            <w:r>
              <w:rPr>
                <w:rFonts w:asciiTheme="minorEastAsia" w:eastAsiaTheme="minorEastAsia" w:hAnsiTheme="minorEastAsia"/>
                <w:color w:val="000000" w:themeColor="text1"/>
                <w:kern w:val="0"/>
              </w:rPr>
              <w:t>166.38%</w:t>
            </w:r>
          </w:p>
        </w:tc>
        <w:tc>
          <w:tcPr>
            <w:tcW w:w="1188" w:type="dxa"/>
            <w:vAlign w:val="center"/>
          </w:tcPr>
          <w:p w:rsidR="00DE1259" w:rsidRDefault="0093670C">
            <w:pPr>
              <w:jc w:val="center"/>
            </w:pPr>
            <w:r>
              <w:rPr>
                <w:rFonts w:asciiTheme="minorEastAsia" w:eastAsiaTheme="minorEastAsia" w:hAnsiTheme="minorEastAsia"/>
                <w:color w:val="000000" w:themeColor="text1"/>
                <w:kern w:val="0"/>
              </w:rPr>
              <w:t>1.40%</w:t>
            </w:r>
          </w:p>
        </w:tc>
        <w:tc>
          <w:tcPr>
            <w:tcW w:w="1199" w:type="dxa"/>
            <w:vAlign w:val="center"/>
          </w:tcPr>
          <w:p w:rsidR="00DE1259" w:rsidRDefault="0093670C">
            <w:pPr>
              <w:jc w:val="center"/>
            </w:pPr>
            <w:r>
              <w:rPr>
                <w:rFonts w:asciiTheme="minorEastAsia" w:eastAsiaTheme="minorEastAsia" w:hAnsiTheme="minorEastAsia"/>
                <w:color w:val="000000" w:themeColor="text1"/>
                <w:kern w:val="0"/>
              </w:rPr>
              <w:t>104.09%</w:t>
            </w:r>
          </w:p>
        </w:tc>
        <w:tc>
          <w:tcPr>
            <w:tcW w:w="1204" w:type="dxa"/>
            <w:vAlign w:val="center"/>
          </w:tcPr>
          <w:p w:rsidR="00DE1259" w:rsidRDefault="0093670C">
            <w:pPr>
              <w:jc w:val="center"/>
            </w:pPr>
            <w:r>
              <w:rPr>
                <w:rFonts w:asciiTheme="minorEastAsia" w:eastAsiaTheme="minorEastAsia" w:hAnsiTheme="minorEastAsia"/>
                <w:color w:val="000000" w:themeColor="text1"/>
                <w:kern w:val="0"/>
              </w:rPr>
              <w:t>0.23%</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D06738" w:rsidRDefault="00454D20">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上投摩根成长先锋混合型证券投资基金</w:t>
      </w:r>
    </w:p>
    <w:p w:rsidR="00D06738" w:rsidRDefault="00454D20">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D06738" w:rsidRDefault="00454D20">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2006年9月20日</w:t>
      </w:r>
      <w:r>
        <w:rPr>
          <w:rFonts w:asciiTheme="minorEastAsia" w:eastAsiaTheme="minorEastAsia" w:hAnsiTheme="minorEastAsia" w:hint="eastAsia"/>
          <w:color w:val="000000" w:themeColor="text1"/>
        </w:rPr>
        <w:t>至2020年9月30日)</w:t>
      </w:r>
    </w:p>
    <w:p w:rsidR="00D06738" w:rsidRDefault="00454D20">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DE1259" w:rsidRDefault="0093670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w:t>
      </w:r>
      <w:r>
        <w:rPr>
          <w:rFonts w:asciiTheme="minorEastAsia" w:eastAsiaTheme="minorEastAsia" w:hAnsiTheme="minorEastAsia"/>
          <w:color w:val="000000" w:themeColor="text1"/>
        </w:rPr>
        <w:t>2006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日，图示时间段为</w:t>
      </w:r>
      <w:r>
        <w:rPr>
          <w:rFonts w:asciiTheme="minorEastAsia" w:eastAsiaTheme="minorEastAsia" w:hAnsiTheme="minorEastAsia"/>
          <w:color w:val="000000" w:themeColor="text1"/>
        </w:rPr>
        <w:t>2006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30</w:t>
      </w:r>
      <w:r>
        <w:rPr>
          <w:rFonts w:asciiTheme="minorEastAsia" w:eastAsiaTheme="minorEastAsia" w:hAnsiTheme="minorEastAsia"/>
          <w:color w:val="000000" w:themeColor="text1"/>
        </w:rPr>
        <w:t>日。</w:t>
      </w:r>
    </w:p>
    <w:p w:rsidR="00DE1259" w:rsidRDefault="0093670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w:t>
      </w:r>
      <w:r>
        <w:rPr>
          <w:rFonts w:asciiTheme="minorEastAsia" w:eastAsiaTheme="minorEastAsia" w:hAnsiTheme="minorEastAsia"/>
          <w:color w:val="000000" w:themeColor="text1"/>
        </w:rPr>
        <w:t>2006</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20</w:t>
      </w:r>
      <w:r>
        <w:rPr>
          <w:rFonts w:asciiTheme="minorEastAsia" w:eastAsiaTheme="minorEastAsia" w:hAnsiTheme="minorEastAsia"/>
          <w:color w:val="000000" w:themeColor="text1"/>
        </w:rPr>
        <w:t>日至</w:t>
      </w:r>
      <w:r>
        <w:rPr>
          <w:rFonts w:asciiTheme="minorEastAsia" w:eastAsiaTheme="minorEastAsia" w:hAnsiTheme="minorEastAsia"/>
          <w:color w:val="000000" w:themeColor="text1"/>
        </w:rPr>
        <w:t>2007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3</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19</w:t>
      </w:r>
      <w:r>
        <w:rPr>
          <w:rFonts w:asciiTheme="minorEastAsia" w:eastAsiaTheme="minorEastAsia" w:hAnsiTheme="minorEastAsia"/>
          <w:color w:val="000000" w:themeColor="text1"/>
        </w:rPr>
        <w:t>日，建仓期结束时资产配置比例符合本基金基金合同规定。</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本基金的业绩比较基准于2013年12月7日由原“富时中国A600成长指数×80%+同业存款利率×20%”变更为“沪深300指数收益率×80%+中债总指数收益率×20%”。</w:t>
      </w:r>
    </w:p>
    <w:p w:rsidR="00D06738" w:rsidRDefault="00D06738">
      <w:pPr>
        <w:tabs>
          <w:tab w:val="left" w:pos="1800"/>
        </w:tabs>
        <w:spacing w:line="360" w:lineRule="auto"/>
        <w:rPr>
          <w:rFonts w:asciiTheme="minorEastAsia" w:eastAsiaTheme="minorEastAsia" w:hAnsiTheme="minorEastAsia"/>
          <w:color w:val="000000" w:themeColor="text1"/>
          <w:sz w:val="24"/>
          <w:szCs w:val="24"/>
        </w:rPr>
      </w:pPr>
    </w:p>
    <w:p w:rsidR="00D06738" w:rsidRDefault="00D06738">
      <w:pPr>
        <w:tabs>
          <w:tab w:val="left" w:pos="1800"/>
        </w:tabs>
        <w:spacing w:line="288" w:lineRule="auto"/>
        <w:rPr>
          <w:rFonts w:asciiTheme="minorEastAsia" w:eastAsiaTheme="minorEastAsia" w:hAnsiTheme="minorEastAsia"/>
          <w:color w:val="000000" w:themeColor="text1"/>
          <w:sz w:val="24"/>
          <w:szCs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trPr>
          <w:cantSplit/>
          <w:trHeight w:val="292"/>
        </w:trPr>
        <w:tc>
          <w:tcPr>
            <w:tcW w:w="851"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D06738">
        <w:trPr>
          <w:cantSplit/>
        </w:trPr>
        <w:tc>
          <w:tcPr>
            <w:tcW w:w="851"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r>
      <w:tr w:rsidR="00DE1259">
        <w:tc>
          <w:tcPr>
            <w:tcW w:w="851" w:type="dxa"/>
            <w:vAlign w:val="center"/>
          </w:tcPr>
          <w:p w:rsidR="00DE1259" w:rsidRDefault="0093670C">
            <w:pPr>
              <w:jc w:val="center"/>
            </w:pPr>
            <w:r>
              <w:rPr>
                <w:rFonts w:asciiTheme="minorEastAsia" w:eastAsiaTheme="minorEastAsia" w:hAnsiTheme="minorEastAsia"/>
                <w:color w:val="000000" w:themeColor="text1"/>
              </w:rPr>
              <w:t>朱晓龙</w:t>
            </w:r>
          </w:p>
        </w:tc>
        <w:tc>
          <w:tcPr>
            <w:tcW w:w="850" w:type="dxa"/>
            <w:vAlign w:val="center"/>
          </w:tcPr>
          <w:p w:rsidR="00DE1259" w:rsidRDefault="0093670C">
            <w:pPr>
              <w:jc w:val="center"/>
            </w:pPr>
            <w:r>
              <w:rPr>
                <w:rFonts w:asciiTheme="minorEastAsia" w:eastAsiaTheme="minorEastAsia" w:hAnsiTheme="minorEastAsia"/>
                <w:color w:val="000000" w:themeColor="text1"/>
              </w:rPr>
              <w:t>本基金基金经理、研究部总监</w:t>
            </w:r>
          </w:p>
        </w:tc>
        <w:tc>
          <w:tcPr>
            <w:tcW w:w="1560" w:type="dxa"/>
            <w:vAlign w:val="center"/>
          </w:tcPr>
          <w:p w:rsidR="00DE1259" w:rsidRDefault="0093670C">
            <w:pPr>
              <w:jc w:val="center"/>
            </w:pPr>
            <w:r>
              <w:rPr>
                <w:rFonts w:asciiTheme="minorEastAsia" w:eastAsiaTheme="minorEastAsia" w:hAnsiTheme="minorEastAsia"/>
                <w:color w:val="000000" w:themeColor="text1"/>
              </w:rPr>
              <w:t>2019-08-16</w:t>
            </w:r>
          </w:p>
        </w:tc>
        <w:tc>
          <w:tcPr>
            <w:tcW w:w="1559" w:type="dxa"/>
            <w:vAlign w:val="center"/>
          </w:tcPr>
          <w:p w:rsidR="00DE1259" w:rsidRDefault="0093670C">
            <w:pPr>
              <w:jc w:val="center"/>
            </w:pPr>
            <w:r>
              <w:rPr>
                <w:rFonts w:asciiTheme="minorEastAsia" w:eastAsiaTheme="minorEastAsia" w:hAnsiTheme="minorEastAsia"/>
                <w:color w:val="000000" w:themeColor="text1"/>
              </w:rPr>
              <w:t>-</w:t>
            </w:r>
          </w:p>
        </w:tc>
        <w:tc>
          <w:tcPr>
            <w:tcW w:w="1417" w:type="dxa"/>
            <w:vAlign w:val="center"/>
          </w:tcPr>
          <w:p w:rsidR="00DE1259" w:rsidRDefault="0093670C">
            <w:pPr>
              <w:jc w:val="center"/>
            </w:pPr>
            <w:r>
              <w:rPr>
                <w:rFonts w:asciiTheme="minorEastAsia" w:eastAsiaTheme="minorEastAsia" w:hAnsiTheme="minorEastAsia"/>
                <w:color w:val="000000" w:themeColor="text1"/>
              </w:rPr>
              <w:t>13</w:t>
            </w:r>
            <w:r>
              <w:rPr>
                <w:rFonts w:asciiTheme="minorEastAsia" w:eastAsiaTheme="minorEastAsia" w:hAnsiTheme="minorEastAsia"/>
                <w:color w:val="000000" w:themeColor="text1"/>
              </w:rPr>
              <w:t>年</w:t>
            </w:r>
          </w:p>
        </w:tc>
        <w:tc>
          <w:tcPr>
            <w:tcW w:w="2694" w:type="dxa"/>
            <w:vAlign w:val="center"/>
          </w:tcPr>
          <w:p w:rsidR="00DE1259" w:rsidRDefault="0093670C">
            <w:r>
              <w:rPr>
                <w:rFonts w:asciiTheme="minorEastAsia" w:eastAsiaTheme="minorEastAsia" w:hAnsiTheme="minorEastAsia"/>
                <w:color w:val="000000" w:themeColor="text1"/>
              </w:rPr>
              <w:t>朱晓龙先生，自</w:t>
            </w:r>
            <w:r>
              <w:rPr>
                <w:rFonts w:asciiTheme="minorEastAsia" w:eastAsiaTheme="minorEastAsia" w:hAnsiTheme="minorEastAsia"/>
                <w:color w:val="000000" w:themeColor="text1"/>
              </w:rPr>
              <w:t>2007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月在平安资产管理有限责任公司担任研究员；自</w:t>
            </w:r>
            <w:r>
              <w:rPr>
                <w:rFonts w:asciiTheme="minorEastAsia" w:eastAsiaTheme="minorEastAsia" w:hAnsiTheme="minorEastAsia"/>
                <w:color w:val="000000" w:themeColor="text1"/>
              </w:rPr>
              <w:t>2011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月起加入上投摩根基金管理有限公司，历任行业专家、研究部副总监兼基金经理助理，现任研究部总监兼基金经理。自</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月起担任上投摩根策略精选灵活</w:t>
            </w:r>
            <w:r>
              <w:rPr>
                <w:rFonts w:asciiTheme="minorEastAsia" w:eastAsiaTheme="minorEastAsia" w:hAnsiTheme="minorEastAsia"/>
                <w:color w:val="000000" w:themeColor="text1"/>
              </w:rPr>
              <w:lastRenderedPageBreak/>
              <w:t>配置混合型证券投资基金基金经理，自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月起同时担任上投摩根大盘蓝筹股票型证券投资基金基金经理，自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月起同时担任上投摩根成长先锋混合型证券投资基金基金经理，自</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6</w:t>
            </w:r>
            <w:r>
              <w:rPr>
                <w:rFonts w:asciiTheme="minorEastAsia" w:eastAsiaTheme="minorEastAsia" w:hAnsiTheme="minorEastAsia"/>
                <w:color w:val="000000" w:themeColor="text1"/>
              </w:rPr>
              <w:t>月起同时担任上投摩根研究驱动股票型证券投资基金基金经理。</w:t>
            </w:r>
          </w:p>
        </w:tc>
      </w:tr>
      <w:tr w:rsidR="00DE1259">
        <w:tc>
          <w:tcPr>
            <w:tcW w:w="851" w:type="dxa"/>
            <w:vAlign w:val="center"/>
          </w:tcPr>
          <w:p w:rsidR="00DE1259" w:rsidRDefault="0093670C">
            <w:pPr>
              <w:jc w:val="center"/>
            </w:pPr>
            <w:r>
              <w:rPr>
                <w:rFonts w:asciiTheme="minorEastAsia" w:eastAsiaTheme="minorEastAsia" w:hAnsiTheme="minorEastAsia"/>
                <w:color w:val="000000" w:themeColor="text1"/>
              </w:rPr>
              <w:lastRenderedPageBreak/>
              <w:t>倪权生</w:t>
            </w:r>
          </w:p>
        </w:tc>
        <w:tc>
          <w:tcPr>
            <w:tcW w:w="850" w:type="dxa"/>
            <w:vAlign w:val="center"/>
          </w:tcPr>
          <w:p w:rsidR="00DE1259" w:rsidRDefault="0093670C">
            <w:pPr>
              <w:jc w:val="center"/>
            </w:pPr>
            <w:r>
              <w:rPr>
                <w:rFonts w:asciiTheme="minorEastAsia" w:eastAsiaTheme="minorEastAsia" w:hAnsiTheme="minorEastAsia"/>
                <w:color w:val="000000" w:themeColor="text1"/>
              </w:rPr>
              <w:t>本基金基金经理</w:t>
            </w:r>
          </w:p>
        </w:tc>
        <w:tc>
          <w:tcPr>
            <w:tcW w:w="1560" w:type="dxa"/>
            <w:vAlign w:val="center"/>
          </w:tcPr>
          <w:p w:rsidR="00DE1259" w:rsidRDefault="0093670C">
            <w:pPr>
              <w:jc w:val="center"/>
            </w:pPr>
            <w:r>
              <w:rPr>
                <w:rFonts w:asciiTheme="minorEastAsia" w:eastAsiaTheme="minorEastAsia" w:hAnsiTheme="minorEastAsia"/>
                <w:color w:val="000000" w:themeColor="text1"/>
              </w:rPr>
              <w:t>2019-12-27</w:t>
            </w:r>
          </w:p>
        </w:tc>
        <w:tc>
          <w:tcPr>
            <w:tcW w:w="1559" w:type="dxa"/>
            <w:vAlign w:val="center"/>
          </w:tcPr>
          <w:p w:rsidR="00DE1259" w:rsidRDefault="0093670C">
            <w:pPr>
              <w:jc w:val="center"/>
            </w:pPr>
            <w:r>
              <w:rPr>
                <w:rFonts w:asciiTheme="minorEastAsia" w:eastAsiaTheme="minorEastAsia" w:hAnsiTheme="minorEastAsia"/>
                <w:color w:val="000000" w:themeColor="text1"/>
              </w:rPr>
              <w:t>-</w:t>
            </w:r>
          </w:p>
        </w:tc>
        <w:tc>
          <w:tcPr>
            <w:tcW w:w="1417" w:type="dxa"/>
            <w:vAlign w:val="center"/>
          </w:tcPr>
          <w:p w:rsidR="00DE1259" w:rsidRDefault="0093670C">
            <w:pPr>
              <w:jc w:val="center"/>
            </w:pP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年</w:t>
            </w:r>
          </w:p>
        </w:tc>
        <w:tc>
          <w:tcPr>
            <w:tcW w:w="2694" w:type="dxa"/>
            <w:vAlign w:val="center"/>
          </w:tcPr>
          <w:p w:rsidR="00DE1259" w:rsidRDefault="0093670C">
            <w:r>
              <w:rPr>
                <w:rFonts w:asciiTheme="minorEastAsia" w:eastAsiaTheme="minorEastAsia" w:hAnsiTheme="minorEastAsia"/>
                <w:color w:val="000000" w:themeColor="text1"/>
              </w:rPr>
              <w:t>倪权生先生，上海交通大学金融学博士。自</w:t>
            </w:r>
            <w:r>
              <w:rPr>
                <w:rFonts w:asciiTheme="minorEastAsia" w:eastAsiaTheme="minorEastAsia" w:hAnsiTheme="minorEastAsia"/>
                <w:color w:val="000000" w:themeColor="text1"/>
              </w:rPr>
              <w:t>2011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月，在博时基金管理有限公司任高级研究员；</w:t>
            </w:r>
            <w:r>
              <w:rPr>
                <w:rFonts w:asciiTheme="minorEastAsia" w:eastAsiaTheme="minorEastAsia" w:hAnsiTheme="minorEastAsia"/>
                <w:color w:val="000000" w:themeColor="text1"/>
              </w:rPr>
              <w:t>2015</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月，在浙商基金管理有限公司历任投资经理助理、基金经理</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股票投资部副总经理；</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8</w:t>
            </w:r>
            <w:r>
              <w:rPr>
                <w:rFonts w:asciiTheme="minorEastAsia" w:eastAsiaTheme="minorEastAsia" w:hAnsiTheme="minorEastAsia"/>
                <w:color w:val="000000" w:themeColor="text1"/>
              </w:rPr>
              <w:t>月起加入上投摩根基金管理有限公司，现任国内权益投资部领先组副组长兼资深基金经理。自</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月起任上投摩根成长先锋混合型证券投资基金基金经理。</w:t>
            </w:r>
          </w:p>
        </w:tc>
      </w:tr>
    </w:tbl>
    <w:p w:rsidR="00DE1259" w:rsidRDefault="0093670C">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任职日期和离任日期均指根据公司决定确定的聘任日期和解聘日期。</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2.证券从业的含义遵从行业协会《证券业从业人员资格管理办法》的相关规定。</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成长先锋混合型证券投资基金基金合同》的规定。基金经理对个股和投资组合的比例遵循了投资决策委员会的授权限制，基金投资比例符合基金合同和法律法规的要求。</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DE1259" w:rsidRDefault="0093670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w:t>
      </w:r>
      <w:r>
        <w:rPr>
          <w:rFonts w:asciiTheme="minorEastAsia" w:eastAsiaTheme="minorEastAsia" w:hAnsiTheme="minorEastAsia"/>
          <w:color w:val="000000" w:themeColor="text1"/>
        </w:rPr>
        <w:lastRenderedPageBreak/>
        <w:t>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E1259" w:rsidRDefault="0093670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asciiTheme="minorEastAsia" w:eastAsiaTheme="minorEastAsia" w:hAnsi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DE1259" w:rsidRDefault="0093670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DE1259" w:rsidRDefault="0093670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宏观经济继续延续二季度以来的恢复态势，多数行业在三季度逐步恢复到正常运行状态。在经历了年初较快的涨幅之后，市场呈现震荡格局，由于上半年涨幅较大，估值在历史分位数相对较高的板块有所调整。本基金适度降低了前期涨幅较大，估值处于高位的个股，并且重点关注新能源车产业链（汽车零部件行业）、食品、化工、军工等板块。</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后市，四季度是组合配置切换至明年的重要时间窗口。从组合管理角度，重点仍然关注中期业绩确定性高、长期具备成长性的行业或个股，重点关注长期成长性确定性高且弹性大的新能源汽车产业链，汽车电动化和智能化是长期趋势，行业急速扩容，相关零配件和材料公司进入高速成长期。我们认为疫情过后，中国制造业的优势进一步加强，特别是在高端制造业，随着海外供给的不稳定因素增加，国内企业在全球产业链中的份额有望提升。传统行业中，地产竣工链条的中期景气度仍然趋势向好，尽管受房地产行业监管政策短期有一定的波动，我们认为在相关政策的调整下，上下游公司财务报表将有望改善。在总量稳定改善及集中度显著提升的背景下，消费建材、工程机械龙头公司的成长性较好。随着居民生活</w:t>
      </w:r>
      <w:r>
        <w:rPr>
          <w:rFonts w:asciiTheme="minorEastAsia" w:eastAsiaTheme="minorEastAsia" w:hAnsiTheme="minorEastAsia"/>
          <w:color w:val="000000" w:themeColor="text1"/>
        </w:rPr>
        <w:lastRenderedPageBreak/>
        <w:t>逐步恢复正常，消费领域趋势有望继续向好，龙头消费公司凭借品牌、渠道等优势，营销增长具有较好的稳定性。尽管二、三季度适度降低了医药的配置，但我们仍然继续关注此板块，部分品种估值经历三季度的调整后，已经回落到合理位置，且长期成长性较好。军工也是三季度以来市场关注提升的板块，军工是未来几年营收增长确定性较高的大板块，我们将关注成长性好，同时估值合理的品种。</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本报告期上投摩根成长先锋混合份额净值增长率为:12.39%，同期业绩比较基准收益率为:7.73%。</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1,602,588,829.82</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86.78</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1,602,588,829.82</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86.78</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D06738" w:rsidRDefault="00454D20">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222,777,057.73</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12.06</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21,383,383.60</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1.16</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lastRenderedPageBreak/>
              <w:t>8</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1,846,749,271.15</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D06738" w:rsidRDefault="00454D20">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14,886,265.64</w:t>
            </w:r>
          </w:p>
          <w:p w:rsidR="00D06738" w:rsidRDefault="00D06738">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0.82</w:t>
            </w:r>
          </w:p>
          <w:p w:rsidR="00D06738" w:rsidRDefault="00D06738">
            <w:pPr>
              <w:jc w:val="right"/>
              <w:rPr>
                <w:rFonts w:asciiTheme="minorEastAsia" w:eastAsiaTheme="minorEastAsia" w:hAnsiTheme="minorEastAsia" w:cs="宋体"/>
                <w:color w:val="000000" w:themeColor="text1"/>
                <w:kern w:val="0"/>
              </w:rPr>
            </w:pP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1,404,487,500.50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77.11</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13,029.12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42,542.17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96,046,611.51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5.27</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32,105,098.36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1.76</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16,635,015.00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0.91</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38,312,285.90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2.10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15,348.36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45,133.26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D06738">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1,602,588,829.82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87.98</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D06738">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DE1259">
        <w:tc>
          <w:tcPr>
            <w:tcW w:w="817" w:type="dxa"/>
            <w:vAlign w:val="center"/>
          </w:tcPr>
          <w:p w:rsidR="00DE1259" w:rsidRDefault="0093670C">
            <w:pPr>
              <w:jc w:val="center"/>
            </w:pPr>
            <w:r>
              <w:rPr>
                <w:rFonts w:asciiTheme="minorEastAsia" w:eastAsiaTheme="minorEastAsia" w:hAnsiTheme="minorEastAsia" w:cs="宋体"/>
                <w:color w:val="000000" w:themeColor="text1"/>
                <w:kern w:val="0"/>
              </w:rPr>
              <w:t>1</w:t>
            </w:r>
          </w:p>
        </w:tc>
        <w:tc>
          <w:tcPr>
            <w:tcW w:w="1276" w:type="dxa"/>
            <w:vAlign w:val="center"/>
          </w:tcPr>
          <w:p w:rsidR="00DE1259" w:rsidRDefault="0093670C">
            <w:pPr>
              <w:jc w:val="center"/>
            </w:pPr>
            <w:r>
              <w:rPr>
                <w:rFonts w:asciiTheme="minorEastAsia" w:eastAsiaTheme="minorEastAsia" w:hAnsiTheme="minorEastAsia" w:cs="宋体"/>
                <w:color w:val="000000" w:themeColor="text1"/>
                <w:kern w:val="0"/>
              </w:rPr>
              <w:t>601012</w:t>
            </w:r>
          </w:p>
        </w:tc>
        <w:tc>
          <w:tcPr>
            <w:tcW w:w="1701" w:type="dxa"/>
            <w:vAlign w:val="center"/>
          </w:tcPr>
          <w:p w:rsidR="00DE1259" w:rsidRDefault="0093670C">
            <w:pPr>
              <w:jc w:val="center"/>
            </w:pPr>
            <w:r>
              <w:rPr>
                <w:rFonts w:asciiTheme="minorEastAsia" w:eastAsiaTheme="minorEastAsia" w:hAnsiTheme="minorEastAsia" w:cs="宋体"/>
                <w:color w:val="000000" w:themeColor="text1"/>
                <w:kern w:val="0"/>
              </w:rPr>
              <w:t>隆基股份</w:t>
            </w:r>
          </w:p>
        </w:tc>
        <w:tc>
          <w:tcPr>
            <w:tcW w:w="1276" w:type="dxa"/>
            <w:vAlign w:val="center"/>
          </w:tcPr>
          <w:p w:rsidR="00DE1259" w:rsidRDefault="0093670C">
            <w:pPr>
              <w:jc w:val="right"/>
            </w:pPr>
            <w:r>
              <w:rPr>
                <w:rFonts w:asciiTheme="minorEastAsia" w:eastAsiaTheme="minorEastAsia" w:hAnsiTheme="minorEastAsia" w:cs="宋体"/>
                <w:color w:val="000000" w:themeColor="text1"/>
                <w:kern w:val="0"/>
              </w:rPr>
              <w:t>1,363,172</w:t>
            </w:r>
          </w:p>
        </w:tc>
        <w:tc>
          <w:tcPr>
            <w:tcW w:w="1842" w:type="dxa"/>
            <w:vAlign w:val="center"/>
          </w:tcPr>
          <w:p w:rsidR="00DE1259" w:rsidRDefault="0093670C">
            <w:pPr>
              <w:jc w:val="right"/>
            </w:pPr>
            <w:r>
              <w:rPr>
                <w:rFonts w:asciiTheme="minorEastAsia" w:eastAsiaTheme="minorEastAsia" w:hAnsiTheme="minorEastAsia" w:cs="宋体"/>
                <w:color w:val="000000" w:themeColor="text1"/>
                <w:kern w:val="0"/>
              </w:rPr>
              <w:t>102,251,531.72</w:t>
            </w:r>
          </w:p>
        </w:tc>
        <w:tc>
          <w:tcPr>
            <w:tcW w:w="1616" w:type="dxa"/>
            <w:vAlign w:val="center"/>
          </w:tcPr>
          <w:p w:rsidR="00DE1259" w:rsidRDefault="0093670C">
            <w:pPr>
              <w:jc w:val="right"/>
            </w:pPr>
            <w:r>
              <w:rPr>
                <w:rFonts w:asciiTheme="minorEastAsia" w:eastAsiaTheme="minorEastAsia" w:hAnsiTheme="minorEastAsia" w:cs="宋体"/>
                <w:color w:val="000000" w:themeColor="text1"/>
                <w:kern w:val="0"/>
              </w:rPr>
              <w:t>5.61</w:t>
            </w:r>
          </w:p>
        </w:tc>
      </w:tr>
      <w:tr w:rsidR="00DE1259">
        <w:tc>
          <w:tcPr>
            <w:tcW w:w="817" w:type="dxa"/>
            <w:vAlign w:val="center"/>
          </w:tcPr>
          <w:p w:rsidR="00DE1259" w:rsidRDefault="0093670C">
            <w:pPr>
              <w:jc w:val="center"/>
            </w:pPr>
            <w:r>
              <w:rPr>
                <w:rFonts w:asciiTheme="minorEastAsia" w:eastAsiaTheme="minorEastAsia" w:hAnsiTheme="minorEastAsia" w:cs="宋体"/>
                <w:color w:val="000000" w:themeColor="text1"/>
                <w:kern w:val="0"/>
              </w:rPr>
              <w:lastRenderedPageBreak/>
              <w:t>2</w:t>
            </w:r>
          </w:p>
        </w:tc>
        <w:tc>
          <w:tcPr>
            <w:tcW w:w="1276" w:type="dxa"/>
            <w:vAlign w:val="center"/>
          </w:tcPr>
          <w:p w:rsidR="00DE1259" w:rsidRDefault="0093670C">
            <w:pPr>
              <w:jc w:val="center"/>
            </w:pPr>
            <w:r>
              <w:rPr>
                <w:rFonts w:asciiTheme="minorEastAsia" w:eastAsiaTheme="minorEastAsia" w:hAnsiTheme="minorEastAsia" w:cs="宋体"/>
                <w:color w:val="000000" w:themeColor="text1"/>
                <w:kern w:val="0"/>
              </w:rPr>
              <w:t>600984</w:t>
            </w:r>
          </w:p>
        </w:tc>
        <w:tc>
          <w:tcPr>
            <w:tcW w:w="1701" w:type="dxa"/>
            <w:vAlign w:val="center"/>
          </w:tcPr>
          <w:p w:rsidR="00DE1259" w:rsidRDefault="0093670C">
            <w:pPr>
              <w:jc w:val="center"/>
            </w:pPr>
            <w:r>
              <w:rPr>
                <w:rFonts w:asciiTheme="minorEastAsia" w:eastAsiaTheme="minorEastAsia" w:hAnsiTheme="minorEastAsia" w:cs="宋体"/>
                <w:color w:val="000000" w:themeColor="text1"/>
                <w:kern w:val="0"/>
              </w:rPr>
              <w:t>建设机械</w:t>
            </w:r>
          </w:p>
        </w:tc>
        <w:tc>
          <w:tcPr>
            <w:tcW w:w="1276" w:type="dxa"/>
            <w:vAlign w:val="center"/>
          </w:tcPr>
          <w:p w:rsidR="00DE1259" w:rsidRDefault="0093670C">
            <w:pPr>
              <w:jc w:val="right"/>
            </w:pPr>
            <w:r>
              <w:rPr>
                <w:rFonts w:asciiTheme="minorEastAsia" w:eastAsiaTheme="minorEastAsia" w:hAnsiTheme="minorEastAsia" w:cs="宋体"/>
                <w:color w:val="000000" w:themeColor="text1"/>
                <w:kern w:val="0"/>
              </w:rPr>
              <w:t>3,992,564</w:t>
            </w:r>
          </w:p>
        </w:tc>
        <w:tc>
          <w:tcPr>
            <w:tcW w:w="1842" w:type="dxa"/>
            <w:vAlign w:val="center"/>
          </w:tcPr>
          <w:p w:rsidR="00DE1259" w:rsidRDefault="0093670C">
            <w:pPr>
              <w:jc w:val="right"/>
            </w:pPr>
            <w:r>
              <w:rPr>
                <w:rFonts w:asciiTheme="minorEastAsia" w:eastAsiaTheme="minorEastAsia" w:hAnsiTheme="minorEastAsia" w:cs="宋体"/>
                <w:color w:val="000000" w:themeColor="text1"/>
                <w:kern w:val="0"/>
              </w:rPr>
              <w:t>85,081,538.84</w:t>
            </w:r>
          </w:p>
        </w:tc>
        <w:tc>
          <w:tcPr>
            <w:tcW w:w="1616" w:type="dxa"/>
            <w:vAlign w:val="center"/>
          </w:tcPr>
          <w:p w:rsidR="00DE1259" w:rsidRDefault="0093670C">
            <w:pPr>
              <w:jc w:val="right"/>
            </w:pPr>
            <w:r>
              <w:rPr>
                <w:rFonts w:asciiTheme="minorEastAsia" w:eastAsiaTheme="minorEastAsia" w:hAnsiTheme="minorEastAsia" w:cs="宋体"/>
                <w:color w:val="000000" w:themeColor="text1"/>
                <w:kern w:val="0"/>
              </w:rPr>
              <w:t>4.67</w:t>
            </w:r>
          </w:p>
        </w:tc>
      </w:tr>
      <w:tr w:rsidR="00DE1259">
        <w:tc>
          <w:tcPr>
            <w:tcW w:w="817" w:type="dxa"/>
            <w:vAlign w:val="center"/>
          </w:tcPr>
          <w:p w:rsidR="00DE1259" w:rsidRDefault="0093670C">
            <w:pPr>
              <w:jc w:val="center"/>
            </w:pPr>
            <w:r>
              <w:rPr>
                <w:rFonts w:asciiTheme="minorEastAsia" w:eastAsiaTheme="minorEastAsia" w:hAnsiTheme="minorEastAsia" w:cs="宋体"/>
                <w:color w:val="000000" w:themeColor="text1"/>
                <w:kern w:val="0"/>
              </w:rPr>
              <w:t>3</w:t>
            </w:r>
          </w:p>
        </w:tc>
        <w:tc>
          <w:tcPr>
            <w:tcW w:w="1276" w:type="dxa"/>
            <w:vAlign w:val="center"/>
          </w:tcPr>
          <w:p w:rsidR="00DE1259" w:rsidRDefault="0093670C">
            <w:pPr>
              <w:jc w:val="center"/>
            </w:pPr>
            <w:r>
              <w:rPr>
                <w:rFonts w:asciiTheme="minorEastAsia" w:eastAsiaTheme="minorEastAsia" w:hAnsiTheme="minorEastAsia" w:cs="宋体"/>
                <w:color w:val="000000" w:themeColor="text1"/>
                <w:kern w:val="0"/>
              </w:rPr>
              <w:t>002918</w:t>
            </w:r>
          </w:p>
        </w:tc>
        <w:tc>
          <w:tcPr>
            <w:tcW w:w="1701" w:type="dxa"/>
            <w:vAlign w:val="center"/>
          </w:tcPr>
          <w:p w:rsidR="00DE1259" w:rsidRDefault="0093670C">
            <w:pPr>
              <w:jc w:val="center"/>
            </w:pPr>
            <w:r>
              <w:rPr>
                <w:rFonts w:asciiTheme="minorEastAsia" w:eastAsiaTheme="minorEastAsia" w:hAnsiTheme="minorEastAsia" w:cs="宋体"/>
                <w:color w:val="000000" w:themeColor="text1"/>
                <w:kern w:val="0"/>
              </w:rPr>
              <w:t>蒙娜丽莎</w:t>
            </w:r>
          </w:p>
        </w:tc>
        <w:tc>
          <w:tcPr>
            <w:tcW w:w="1276" w:type="dxa"/>
            <w:vAlign w:val="center"/>
          </w:tcPr>
          <w:p w:rsidR="00DE1259" w:rsidRDefault="0093670C">
            <w:pPr>
              <w:jc w:val="right"/>
            </w:pPr>
            <w:r>
              <w:rPr>
                <w:rFonts w:asciiTheme="minorEastAsia" w:eastAsiaTheme="minorEastAsia" w:hAnsiTheme="minorEastAsia" w:cs="宋体"/>
                <w:color w:val="000000" w:themeColor="text1"/>
                <w:kern w:val="0"/>
              </w:rPr>
              <w:t>2,106,386</w:t>
            </w:r>
          </w:p>
        </w:tc>
        <w:tc>
          <w:tcPr>
            <w:tcW w:w="1842" w:type="dxa"/>
            <w:vAlign w:val="center"/>
          </w:tcPr>
          <w:p w:rsidR="00DE1259" w:rsidRDefault="0093670C">
            <w:pPr>
              <w:jc w:val="right"/>
            </w:pPr>
            <w:r>
              <w:rPr>
                <w:rFonts w:asciiTheme="minorEastAsia" w:eastAsiaTheme="minorEastAsia" w:hAnsiTheme="minorEastAsia" w:cs="宋体"/>
                <w:color w:val="000000" w:themeColor="text1"/>
                <w:kern w:val="0"/>
              </w:rPr>
              <w:t>76,567,131.10</w:t>
            </w:r>
          </w:p>
        </w:tc>
        <w:tc>
          <w:tcPr>
            <w:tcW w:w="1616" w:type="dxa"/>
            <w:vAlign w:val="center"/>
          </w:tcPr>
          <w:p w:rsidR="00DE1259" w:rsidRDefault="0093670C">
            <w:pPr>
              <w:jc w:val="right"/>
            </w:pPr>
            <w:r>
              <w:rPr>
                <w:rFonts w:asciiTheme="minorEastAsia" w:eastAsiaTheme="minorEastAsia" w:hAnsiTheme="minorEastAsia" w:cs="宋体"/>
                <w:color w:val="000000" w:themeColor="text1"/>
                <w:kern w:val="0"/>
              </w:rPr>
              <w:t>4.20</w:t>
            </w:r>
          </w:p>
        </w:tc>
      </w:tr>
      <w:tr w:rsidR="00DE1259">
        <w:tc>
          <w:tcPr>
            <w:tcW w:w="817" w:type="dxa"/>
            <w:vAlign w:val="center"/>
          </w:tcPr>
          <w:p w:rsidR="00DE1259" w:rsidRDefault="0093670C">
            <w:pPr>
              <w:jc w:val="center"/>
            </w:pPr>
            <w:r>
              <w:rPr>
                <w:rFonts w:asciiTheme="minorEastAsia" w:eastAsiaTheme="minorEastAsia" w:hAnsiTheme="minorEastAsia" w:cs="宋体"/>
                <w:color w:val="000000" w:themeColor="text1"/>
                <w:kern w:val="0"/>
              </w:rPr>
              <w:t>4</w:t>
            </w:r>
          </w:p>
        </w:tc>
        <w:tc>
          <w:tcPr>
            <w:tcW w:w="1276" w:type="dxa"/>
            <w:vAlign w:val="center"/>
          </w:tcPr>
          <w:p w:rsidR="00DE1259" w:rsidRDefault="0093670C">
            <w:pPr>
              <w:jc w:val="center"/>
            </w:pPr>
            <w:r>
              <w:rPr>
                <w:rFonts w:asciiTheme="minorEastAsia" w:eastAsiaTheme="minorEastAsia" w:hAnsiTheme="minorEastAsia" w:cs="宋体"/>
                <w:color w:val="000000" w:themeColor="text1"/>
                <w:kern w:val="0"/>
              </w:rPr>
              <w:t>300132</w:t>
            </w:r>
          </w:p>
        </w:tc>
        <w:tc>
          <w:tcPr>
            <w:tcW w:w="1701" w:type="dxa"/>
            <w:vAlign w:val="center"/>
          </w:tcPr>
          <w:p w:rsidR="00DE1259" w:rsidRDefault="0093670C">
            <w:pPr>
              <w:jc w:val="center"/>
            </w:pPr>
            <w:r>
              <w:rPr>
                <w:rFonts w:asciiTheme="minorEastAsia" w:eastAsiaTheme="minorEastAsia" w:hAnsiTheme="minorEastAsia" w:cs="宋体"/>
                <w:color w:val="000000" w:themeColor="text1"/>
                <w:kern w:val="0"/>
              </w:rPr>
              <w:t>青松股份</w:t>
            </w:r>
          </w:p>
        </w:tc>
        <w:tc>
          <w:tcPr>
            <w:tcW w:w="1276" w:type="dxa"/>
            <w:vAlign w:val="center"/>
          </w:tcPr>
          <w:p w:rsidR="00DE1259" w:rsidRDefault="0093670C">
            <w:pPr>
              <w:jc w:val="right"/>
            </w:pPr>
            <w:r>
              <w:rPr>
                <w:rFonts w:asciiTheme="minorEastAsia" w:eastAsiaTheme="minorEastAsia" w:hAnsiTheme="minorEastAsia" w:cs="宋体"/>
                <w:color w:val="000000" w:themeColor="text1"/>
                <w:kern w:val="0"/>
              </w:rPr>
              <w:t>2,931,378</w:t>
            </w:r>
          </w:p>
        </w:tc>
        <w:tc>
          <w:tcPr>
            <w:tcW w:w="1842" w:type="dxa"/>
            <w:vAlign w:val="center"/>
          </w:tcPr>
          <w:p w:rsidR="00DE1259" w:rsidRDefault="0093670C">
            <w:pPr>
              <w:jc w:val="right"/>
            </w:pPr>
            <w:r>
              <w:rPr>
                <w:rFonts w:asciiTheme="minorEastAsia" w:eastAsiaTheme="minorEastAsia" w:hAnsiTheme="minorEastAsia" w:cs="宋体"/>
                <w:color w:val="000000" w:themeColor="text1"/>
                <w:kern w:val="0"/>
              </w:rPr>
              <w:t>74,163,863.40</w:t>
            </w:r>
          </w:p>
        </w:tc>
        <w:tc>
          <w:tcPr>
            <w:tcW w:w="1616" w:type="dxa"/>
            <w:vAlign w:val="center"/>
          </w:tcPr>
          <w:p w:rsidR="00DE1259" w:rsidRDefault="0093670C">
            <w:pPr>
              <w:jc w:val="right"/>
            </w:pPr>
            <w:r>
              <w:rPr>
                <w:rFonts w:asciiTheme="minorEastAsia" w:eastAsiaTheme="minorEastAsia" w:hAnsiTheme="minorEastAsia" w:cs="宋体"/>
                <w:color w:val="000000" w:themeColor="text1"/>
                <w:kern w:val="0"/>
              </w:rPr>
              <w:t>4.07</w:t>
            </w:r>
          </w:p>
        </w:tc>
      </w:tr>
      <w:tr w:rsidR="00DE1259">
        <w:tc>
          <w:tcPr>
            <w:tcW w:w="817" w:type="dxa"/>
            <w:vAlign w:val="center"/>
          </w:tcPr>
          <w:p w:rsidR="00DE1259" w:rsidRDefault="0093670C">
            <w:pPr>
              <w:jc w:val="center"/>
            </w:pPr>
            <w:r>
              <w:rPr>
                <w:rFonts w:asciiTheme="minorEastAsia" w:eastAsiaTheme="minorEastAsia" w:hAnsiTheme="minorEastAsia" w:cs="宋体"/>
                <w:color w:val="000000" w:themeColor="text1"/>
                <w:kern w:val="0"/>
              </w:rPr>
              <w:t>5</w:t>
            </w:r>
          </w:p>
        </w:tc>
        <w:tc>
          <w:tcPr>
            <w:tcW w:w="1276" w:type="dxa"/>
            <w:vAlign w:val="center"/>
          </w:tcPr>
          <w:p w:rsidR="00DE1259" w:rsidRDefault="0093670C">
            <w:pPr>
              <w:jc w:val="center"/>
            </w:pPr>
            <w:r>
              <w:rPr>
                <w:rFonts w:asciiTheme="minorEastAsia" w:eastAsiaTheme="minorEastAsia" w:hAnsiTheme="minorEastAsia" w:cs="宋体"/>
                <w:color w:val="000000" w:themeColor="text1"/>
                <w:kern w:val="0"/>
              </w:rPr>
              <w:t>601689</w:t>
            </w:r>
          </w:p>
        </w:tc>
        <w:tc>
          <w:tcPr>
            <w:tcW w:w="1701" w:type="dxa"/>
            <w:vAlign w:val="center"/>
          </w:tcPr>
          <w:p w:rsidR="00DE1259" w:rsidRDefault="0093670C">
            <w:pPr>
              <w:jc w:val="center"/>
            </w:pPr>
            <w:r>
              <w:rPr>
                <w:rFonts w:asciiTheme="minorEastAsia" w:eastAsiaTheme="minorEastAsia" w:hAnsiTheme="minorEastAsia" w:cs="宋体"/>
                <w:color w:val="000000" w:themeColor="text1"/>
                <w:kern w:val="0"/>
              </w:rPr>
              <w:t>拓普集团</w:t>
            </w:r>
          </w:p>
        </w:tc>
        <w:tc>
          <w:tcPr>
            <w:tcW w:w="1276" w:type="dxa"/>
            <w:vAlign w:val="center"/>
          </w:tcPr>
          <w:p w:rsidR="00DE1259" w:rsidRDefault="0093670C">
            <w:pPr>
              <w:jc w:val="right"/>
            </w:pPr>
            <w:r>
              <w:rPr>
                <w:rFonts w:asciiTheme="minorEastAsia" w:eastAsiaTheme="minorEastAsia" w:hAnsiTheme="minorEastAsia" w:cs="宋体"/>
                <w:color w:val="000000" w:themeColor="text1"/>
                <w:kern w:val="0"/>
              </w:rPr>
              <w:t>1,809,080</w:t>
            </w:r>
          </w:p>
        </w:tc>
        <w:tc>
          <w:tcPr>
            <w:tcW w:w="1842" w:type="dxa"/>
            <w:vAlign w:val="center"/>
          </w:tcPr>
          <w:p w:rsidR="00DE1259" w:rsidRDefault="0093670C">
            <w:pPr>
              <w:jc w:val="right"/>
            </w:pPr>
            <w:r>
              <w:rPr>
                <w:rFonts w:asciiTheme="minorEastAsia" w:eastAsiaTheme="minorEastAsia" w:hAnsiTheme="minorEastAsia" w:cs="宋体"/>
                <w:color w:val="000000" w:themeColor="text1"/>
                <w:kern w:val="0"/>
              </w:rPr>
              <w:t>72,363,200.00</w:t>
            </w:r>
          </w:p>
        </w:tc>
        <w:tc>
          <w:tcPr>
            <w:tcW w:w="1616" w:type="dxa"/>
            <w:vAlign w:val="center"/>
          </w:tcPr>
          <w:p w:rsidR="00DE1259" w:rsidRDefault="0093670C">
            <w:pPr>
              <w:jc w:val="right"/>
            </w:pPr>
            <w:r>
              <w:rPr>
                <w:rFonts w:asciiTheme="minorEastAsia" w:eastAsiaTheme="minorEastAsia" w:hAnsiTheme="minorEastAsia" w:cs="宋体"/>
                <w:color w:val="000000" w:themeColor="text1"/>
                <w:kern w:val="0"/>
              </w:rPr>
              <w:t>3.97</w:t>
            </w:r>
          </w:p>
        </w:tc>
      </w:tr>
      <w:tr w:rsidR="00DE1259">
        <w:tc>
          <w:tcPr>
            <w:tcW w:w="817" w:type="dxa"/>
            <w:vAlign w:val="center"/>
          </w:tcPr>
          <w:p w:rsidR="00DE1259" w:rsidRDefault="0093670C">
            <w:pPr>
              <w:jc w:val="center"/>
            </w:pPr>
            <w:r>
              <w:rPr>
                <w:rFonts w:asciiTheme="minorEastAsia" w:eastAsiaTheme="minorEastAsia" w:hAnsiTheme="minorEastAsia" w:cs="宋体"/>
                <w:color w:val="000000" w:themeColor="text1"/>
                <w:kern w:val="0"/>
              </w:rPr>
              <w:t>6</w:t>
            </w:r>
          </w:p>
        </w:tc>
        <w:tc>
          <w:tcPr>
            <w:tcW w:w="1276" w:type="dxa"/>
            <w:vAlign w:val="center"/>
          </w:tcPr>
          <w:p w:rsidR="00DE1259" w:rsidRDefault="0093670C">
            <w:pPr>
              <w:jc w:val="center"/>
            </w:pPr>
            <w:r>
              <w:rPr>
                <w:rFonts w:asciiTheme="minorEastAsia" w:eastAsiaTheme="minorEastAsia" w:hAnsiTheme="minorEastAsia" w:cs="宋体"/>
                <w:color w:val="000000" w:themeColor="text1"/>
                <w:kern w:val="0"/>
              </w:rPr>
              <w:t>002271</w:t>
            </w:r>
          </w:p>
        </w:tc>
        <w:tc>
          <w:tcPr>
            <w:tcW w:w="1701" w:type="dxa"/>
            <w:vAlign w:val="center"/>
          </w:tcPr>
          <w:p w:rsidR="00DE1259" w:rsidRDefault="0093670C">
            <w:pPr>
              <w:jc w:val="center"/>
            </w:pPr>
            <w:r>
              <w:rPr>
                <w:rFonts w:asciiTheme="minorEastAsia" w:eastAsiaTheme="minorEastAsia" w:hAnsiTheme="minorEastAsia" w:cs="宋体"/>
                <w:color w:val="000000" w:themeColor="text1"/>
                <w:kern w:val="0"/>
              </w:rPr>
              <w:t>东方雨虹</w:t>
            </w:r>
          </w:p>
        </w:tc>
        <w:tc>
          <w:tcPr>
            <w:tcW w:w="1276" w:type="dxa"/>
            <w:vAlign w:val="center"/>
          </w:tcPr>
          <w:p w:rsidR="00DE1259" w:rsidRDefault="0093670C">
            <w:pPr>
              <w:jc w:val="right"/>
            </w:pPr>
            <w:r>
              <w:rPr>
                <w:rFonts w:asciiTheme="minorEastAsia" w:eastAsiaTheme="minorEastAsia" w:hAnsiTheme="minorEastAsia" w:cs="宋体"/>
                <w:color w:val="000000" w:themeColor="text1"/>
                <w:kern w:val="0"/>
              </w:rPr>
              <w:t>1,170,384</w:t>
            </w:r>
          </w:p>
        </w:tc>
        <w:tc>
          <w:tcPr>
            <w:tcW w:w="1842" w:type="dxa"/>
            <w:vAlign w:val="center"/>
          </w:tcPr>
          <w:p w:rsidR="00DE1259" w:rsidRDefault="0093670C">
            <w:pPr>
              <w:jc w:val="right"/>
            </w:pPr>
            <w:r>
              <w:rPr>
                <w:rFonts w:asciiTheme="minorEastAsia" w:eastAsiaTheme="minorEastAsia" w:hAnsiTheme="minorEastAsia" w:cs="宋体"/>
                <w:color w:val="000000" w:themeColor="text1"/>
                <w:kern w:val="0"/>
              </w:rPr>
              <w:t>63,083,697.60</w:t>
            </w:r>
          </w:p>
        </w:tc>
        <w:tc>
          <w:tcPr>
            <w:tcW w:w="1616" w:type="dxa"/>
            <w:vAlign w:val="center"/>
          </w:tcPr>
          <w:p w:rsidR="00DE1259" w:rsidRDefault="0093670C">
            <w:pPr>
              <w:jc w:val="right"/>
            </w:pPr>
            <w:r>
              <w:rPr>
                <w:rFonts w:asciiTheme="minorEastAsia" w:eastAsiaTheme="minorEastAsia" w:hAnsiTheme="minorEastAsia" w:cs="宋体"/>
                <w:color w:val="000000" w:themeColor="text1"/>
                <w:kern w:val="0"/>
              </w:rPr>
              <w:t>3.46</w:t>
            </w:r>
          </w:p>
        </w:tc>
      </w:tr>
      <w:tr w:rsidR="00DE1259">
        <w:tc>
          <w:tcPr>
            <w:tcW w:w="817" w:type="dxa"/>
            <w:vAlign w:val="center"/>
          </w:tcPr>
          <w:p w:rsidR="00DE1259" w:rsidRDefault="0093670C">
            <w:pPr>
              <w:jc w:val="center"/>
            </w:pPr>
            <w:r>
              <w:rPr>
                <w:rFonts w:asciiTheme="minorEastAsia" w:eastAsiaTheme="minorEastAsia" w:hAnsiTheme="minorEastAsia" w:cs="宋体"/>
                <w:color w:val="000000" w:themeColor="text1"/>
                <w:kern w:val="0"/>
              </w:rPr>
              <w:t>7</w:t>
            </w:r>
          </w:p>
        </w:tc>
        <w:tc>
          <w:tcPr>
            <w:tcW w:w="1276" w:type="dxa"/>
            <w:vAlign w:val="center"/>
          </w:tcPr>
          <w:p w:rsidR="00DE1259" w:rsidRDefault="0093670C">
            <w:pPr>
              <w:jc w:val="center"/>
            </w:pPr>
            <w:r>
              <w:rPr>
                <w:rFonts w:asciiTheme="minorEastAsia" w:eastAsiaTheme="minorEastAsia" w:hAnsiTheme="minorEastAsia" w:cs="宋体"/>
                <w:color w:val="000000" w:themeColor="text1"/>
                <w:kern w:val="0"/>
              </w:rPr>
              <w:t>603816</w:t>
            </w:r>
          </w:p>
        </w:tc>
        <w:tc>
          <w:tcPr>
            <w:tcW w:w="1701" w:type="dxa"/>
            <w:vAlign w:val="center"/>
          </w:tcPr>
          <w:p w:rsidR="00DE1259" w:rsidRDefault="0093670C">
            <w:pPr>
              <w:jc w:val="center"/>
            </w:pPr>
            <w:r>
              <w:rPr>
                <w:rFonts w:asciiTheme="minorEastAsia" w:eastAsiaTheme="minorEastAsia" w:hAnsiTheme="minorEastAsia" w:cs="宋体"/>
                <w:color w:val="000000" w:themeColor="text1"/>
                <w:kern w:val="0"/>
              </w:rPr>
              <w:t>顾家家居</w:t>
            </w:r>
          </w:p>
        </w:tc>
        <w:tc>
          <w:tcPr>
            <w:tcW w:w="1276" w:type="dxa"/>
            <w:vAlign w:val="center"/>
          </w:tcPr>
          <w:p w:rsidR="00DE1259" w:rsidRDefault="0093670C">
            <w:pPr>
              <w:jc w:val="right"/>
            </w:pPr>
            <w:r>
              <w:rPr>
                <w:rFonts w:asciiTheme="minorEastAsia" w:eastAsiaTheme="minorEastAsia" w:hAnsiTheme="minorEastAsia" w:cs="宋体"/>
                <w:color w:val="000000" w:themeColor="text1"/>
                <w:kern w:val="0"/>
              </w:rPr>
              <w:t>980,859</w:t>
            </w:r>
          </w:p>
        </w:tc>
        <w:tc>
          <w:tcPr>
            <w:tcW w:w="1842" w:type="dxa"/>
            <w:vAlign w:val="center"/>
          </w:tcPr>
          <w:p w:rsidR="00DE1259" w:rsidRDefault="0093670C">
            <w:pPr>
              <w:jc w:val="right"/>
            </w:pPr>
            <w:r>
              <w:rPr>
                <w:rFonts w:asciiTheme="minorEastAsia" w:eastAsiaTheme="minorEastAsia" w:hAnsiTheme="minorEastAsia" w:cs="宋体"/>
                <w:color w:val="000000" w:themeColor="text1"/>
                <w:kern w:val="0"/>
              </w:rPr>
              <w:t>59,145,797.70</w:t>
            </w:r>
          </w:p>
        </w:tc>
        <w:tc>
          <w:tcPr>
            <w:tcW w:w="1616" w:type="dxa"/>
            <w:vAlign w:val="center"/>
          </w:tcPr>
          <w:p w:rsidR="00DE1259" w:rsidRDefault="0093670C">
            <w:pPr>
              <w:jc w:val="right"/>
            </w:pPr>
            <w:r>
              <w:rPr>
                <w:rFonts w:asciiTheme="minorEastAsia" w:eastAsiaTheme="minorEastAsia" w:hAnsiTheme="minorEastAsia" w:cs="宋体"/>
                <w:color w:val="000000" w:themeColor="text1"/>
                <w:kern w:val="0"/>
              </w:rPr>
              <w:t>3.25</w:t>
            </w:r>
          </w:p>
        </w:tc>
      </w:tr>
      <w:tr w:rsidR="00DE1259">
        <w:tc>
          <w:tcPr>
            <w:tcW w:w="817" w:type="dxa"/>
            <w:vAlign w:val="center"/>
          </w:tcPr>
          <w:p w:rsidR="00DE1259" w:rsidRDefault="0093670C">
            <w:pPr>
              <w:jc w:val="center"/>
            </w:pPr>
            <w:r>
              <w:rPr>
                <w:rFonts w:asciiTheme="minorEastAsia" w:eastAsiaTheme="minorEastAsia" w:hAnsiTheme="minorEastAsia" w:cs="宋体"/>
                <w:color w:val="000000" w:themeColor="text1"/>
                <w:kern w:val="0"/>
              </w:rPr>
              <w:t>8</w:t>
            </w:r>
          </w:p>
        </w:tc>
        <w:tc>
          <w:tcPr>
            <w:tcW w:w="1276" w:type="dxa"/>
            <w:vAlign w:val="center"/>
          </w:tcPr>
          <w:p w:rsidR="00DE1259" w:rsidRDefault="0093670C">
            <w:pPr>
              <w:jc w:val="center"/>
            </w:pPr>
            <w:r>
              <w:rPr>
                <w:rFonts w:asciiTheme="minorEastAsia" w:eastAsiaTheme="minorEastAsia" w:hAnsiTheme="minorEastAsia" w:cs="宋体"/>
                <w:color w:val="000000" w:themeColor="text1"/>
                <w:kern w:val="0"/>
              </w:rPr>
              <w:t>300014</w:t>
            </w:r>
          </w:p>
        </w:tc>
        <w:tc>
          <w:tcPr>
            <w:tcW w:w="1701" w:type="dxa"/>
            <w:vAlign w:val="center"/>
          </w:tcPr>
          <w:p w:rsidR="00DE1259" w:rsidRDefault="0093670C">
            <w:pPr>
              <w:jc w:val="center"/>
            </w:pPr>
            <w:r>
              <w:rPr>
                <w:rFonts w:asciiTheme="minorEastAsia" w:eastAsiaTheme="minorEastAsia" w:hAnsiTheme="minorEastAsia" w:cs="宋体"/>
                <w:color w:val="000000" w:themeColor="text1"/>
                <w:kern w:val="0"/>
              </w:rPr>
              <w:t>亿纬锂能</w:t>
            </w:r>
          </w:p>
        </w:tc>
        <w:tc>
          <w:tcPr>
            <w:tcW w:w="1276" w:type="dxa"/>
            <w:vAlign w:val="center"/>
          </w:tcPr>
          <w:p w:rsidR="00DE1259" w:rsidRDefault="0093670C">
            <w:pPr>
              <w:jc w:val="right"/>
            </w:pPr>
            <w:r>
              <w:rPr>
                <w:rFonts w:asciiTheme="minorEastAsia" w:eastAsiaTheme="minorEastAsia" w:hAnsiTheme="minorEastAsia" w:cs="宋体"/>
                <w:color w:val="000000" w:themeColor="text1"/>
                <w:kern w:val="0"/>
              </w:rPr>
              <w:t>1,088,592</w:t>
            </w:r>
          </w:p>
        </w:tc>
        <w:tc>
          <w:tcPr>
            <w:tcW w:w="1842" w:type="dxa"/>
            <w:vAlign w:val="center"/>
          </w:tcPr>
          <w:p w:rsidR="00DE1259" w:rsidRDefault="0093670C">
            <w:pPr>
              <w:jc w:val="right"/>
            </w:pPr>
            <w:r>
              <w:rPr>
                <w:rFonts w:asciiTheme="minorEastAsia" w:eastAsiaTheme="minorEastAsia" w:hAnsiTheme="minorEastAsia" w:cs="宋体"/>
                <w:color w:val="000000" w:themeColor="text1"/>
                <w:kern w:val="0"/>
              </w:rPr>
              <w:t>53,885,304.00</w:t>
            </w:r>
          </w:p>
        </w:tc>
        <w:tc>
          <w:tcPr>
            <w:tcW w:w="1616" w:type="dxa"/>
            <w:vAlign w:val="center"/>
          </w:tcPr>
          <w:p w:rsidR="00DE1259" w:rsidRDefault="0093670C">
            <w:pPr>
              <w:jc w:val="right"/>
            </w:pPr>
            <w:r>
              <w:rPr>
                <w:rFonts w:asciiTheme="minorEastAsia" w:eastAsiaTheme="minorEastAsia" w:hAnsiTheme="minorEastAsia" w:cs="宋体"/>
                <w:color w:val="000000" w:themeColor="text1"/>
                <w:kern w:val="0"/>
              </w:rPr>
              <w:t>2.96</w:t>
            </w:r>
          </w:p>
        </w:tc>
      </w:tr>
      <w:tr w:rsidR="00DE1259">
        <w:tc>
          <w:tcPr>
            <w:tcW w:w="817" w:type="dxa"/>
            <w:vAlign w:val="center"/>
          </w:tcPr>
          <w:p w:rsidR="00DE1259" w:rsidRDefault="0093670C">
            <w:pPr>
              <w:jc w:val="center"/>
            </w:pPr>
            <w:r>
              <w:rPr>
                <w:rFonts w:asciiTheme="minorEastAsia" w:eastAsiaTheme="minorEastAsia" w:hAnsiTheme="minorEastAsia" w:cs="宋体"/>
                <w:color w:val="000000" w:themeColor="text1"/>
                <w:kern w:val="0"/>
              </w:rPr>
              <w:t>9</w:t>
            </w:r>
          </w:p>
        </w:tc>
        <w:tc>
          <w:tcPr>
            <w:tcW w:w="1276" w:type="dxa"/>
            <w:vAlign w:val="center"/>
          </w:tcPr>
          <w:p w:rsidR="00DE1259" w:rsidRDefault="0093670C">
            <w:pPr>
              <w:jc w:val="center"/>
            </w:pPr>
            <w:r>
              <w:rPr>
                <w:rFonts w:asciiTheme="minorEastAsia" w:eastAsiaTheme="minorEastAsia" w:hAnsiTheme="minorEastAsia" w:cs="宋体"/>
                <w:color w:val="000000" w:themeColor="text1"/>
                <w:kern w:val="0"/>
              </w:rPr>
              <w:t>002126</w:t>
            </w:r>
          </w:p>
        </w:tc>
        <w:tc>
          <w:tcPr>
            <w:tcW w:w="1701" w:type="dxa"/>
            <w:vAlign w:val="center"/>
          </w:tcPr>
          <w:p w:rsidR="00DE1259" w:rsidRDefault="0093670C">
            <w:pPr>
              <w:jc w:val="center"/>
            </w:pPr>
            <w:r>
              <w:rPr>
                <w:rFonts w:asciiTheme="minorEastAsia" w:eastAsiaTheme="minorEastAsia" w:hAnsiTheme="minorEastAsia" w:cs="宋体"/>
                <w:color w:val="000000" w:themeColor="text1"/>
                <w:kern w:val="0"/>
              </w:rPr>
              <w:t>银轮股份</w:t>
            </w:r>
          </w:p>
        </w:tc>
        <w:tc>
          <w:tcPr>
            <w:tcW w:w="1276" w:type="dxa"/>
            <w:vAlign w:val="center"/>
          </w:tcPr>
          <w:p w:rsidR="00DE1259" w:rsidRDefault="0093670C">
            <w:pPr>
              <w:jc w:val="right"/>
            </w:pPr>
            <w:r>
              <w:rPr>
                <w:rFonts w:asciiTheme="minorEastAsia" w:eastAsiaTheme="minorEastAsia" w:hAnsiTheme="minorEastAsia" w:cs="宋体"/>
                <w:color w:val="000000" w:themeColor="text1"/>
                <w:kern w:val="0"/>
              </w:rPr>
              <w:t>4,187,943</w:t>
            </w:r>
          </w:p>
        </w:tc>
        <w:tc>
          <w:tcPr>
            <w:tcW w:w="1842" w:type="dxa"/>
            <w:vAlign w:val="center"/>
          </w:tcPr>
          <w:p w:rsidR="00DE1259" w:rsidRDefault="0093670C">
            <w:pPr>
              <w:jc w:val="right"/>
            </w:pPr>
            <w:r>
              <w:rPr>
                <w:rFonts w:asciiTheme="minorEastAsia" w:eastAsiaTheme="minorEastAsia" w:hAnsiTheme="minorEastAsia" w:cs="宋体"/>
                <w:color w:val="000000" w:themeColor="text1"/>
                <w:kern w:val="0"/>
              </w:rPr>
              <w:t>52,265,528.64</w:t>
            </w:r>
          </w:p>
        </w:tc>
        <w:tc>
          <w:tcPr>
            <w:tcW w:w="1616" w:type="dxa"/>
            <w:vAlign w:val="center"/>
          </w:tcPr>
          <w:p w:rsidR="00DE1259" w:rsidRDefault="0093670C">
            <w:pPr>
              <w:jc w:val="right"/>
            </w:pPr>
            <w:r>
              <w:rPr>
                <w:rFonts w:asciiTheme="minorEastAsia" w:eastAsiaTheme="minorEastAsia" w:hAnsiTheme="minorEastAsia" w:cs="宋体"/>
                <w:color w:val="000000" w:themeColor="text1"/>
                <w:kern w:val="0"/>
              </w:rPr>
              <w:t>2.87</w:t>
            </w:r>
          </w:p>
        </w:tc>
      </w:tr>
      <w:tr w:rsidR="00DE1259">
        <w:tc>
          <w:tcPr>
            <w:tcW w:w="817" w:type="dxa"/>
            <w:vAlign w:val="center"/>
          </w:tcPr>
          <w:p w:rsidR="00DE1259" w:rsidRDefault="0093670C">
            <w:pPr>
              <w:jc w:val="center"/>
            </w:pPr>
            <w:r>
              <w:rPr>
                <w:rFonts w:asciiTheme="minorEastAsia" w:eastAsiaTheme="minorEastAsia" w:hAnsiTheme="minorEastAsia" w:cs="宋体"/>
                <w:color w:val="000000" w:themeColor="text1"/>
                <w:kern w:val="0"/>
              </w:rPr>
              <w:t>10</w:t>
            </w:r>
          </w:p>
        </w:tc>
        <w:tc>
          <w:tcPr>
            <w:tcW w:w="1276" w:type="dxa"/>
            <w:vAlign w:val="center"/>
          </w:tcPr>
          <w:p w:rsidR="00DE1259" w:rsidRDefault="0093670C">
            <w:pPr>
              <w:jc w:val="center"/>
            </w:pPr>
            <w:r>
              <w:rPr>
                <w:rFonts w:asciiTheme="minorEastAsia" w:eastAsiaTheme="minorEastAsia" w:hAnsiTheme="minorEastAsia" w:cs="宋体"/>
                <w:color w:val="000000" w:themeColor="text1"/>
                <w:kern w:val="0"/>
              </w:rPr>
              <w:t>000661</w:t>
            </w:r>
          </w:p>
        </w:tc>
        <w:tc>
          <w:tcPr>
            <w:tcW w:w="1701" w:type="dxa"/>
            <w:vAlign w:val="center"/>
          </w:tcPr>
          <w:p w:rsidR="00DE1259" w:rsidRDefault="0093670C">
            <w:pPr>
              <w:jc w:val="center"/>
            </w:pPr>
            <w:r>
              <w:rPr>
                <w:rFonts w:asciiTheme="minorEastAsia" w:eastAsiaTheme="minorEastAsia" w:hAnsiTheme="minorEastAsia" w:cs="宋体"/>
                <w:color w:val="000000" w:themeColor="text1"/>
                <w:kern w:val="0"/>
              </w:rPr>
              <w:t>长春高新</w:t>
            </w:r>
          </w:p>
        </w:tc>
        <w:tc>
          <w:tcPr>
            <w:tcW w:w="1276" w:type="dxa"/>
            <w:vAlign w:val="center"/>
          </w:tcPr>
          <w:p w:rsidR="00DE1259" w:rsidRDefault="0093670C">
            <w:pPr>
              <w:jc w:val="right"/>
            </w:pPr>
            <w:r>
              <w:rPr>
                <w:rFonts w:asciiTheme="minorEastAsia" w:eastAsiaTheme="minorEastAsia" w:hAnsiTheme="minorEastAsia" w:cs="宋体"/>
                <w:color w:val="000000" w:themeColor="text1"/>
                <w:kern w:val="0"/>
              </w:rPr>
              <w:t>135,035</w:t>
            </w:r>
          </w:p>
        </w:tc>
        <w:tc>
          <w:tcPr>
            <w:tcW w:w="1842" w:type="dxa"/>
            <w:vAlign w:val="center"/>
          </w:tcPr>
          <w:p w:rsidR="00DE1259" w:rsidRDefault="0093670C">
            <w:pPr>
              <w:jc w:val="right"/>
            </w:pPr>
            <w:r>
              <w:rPr>
                <w:rFonts w:asciiTheme="minorEastAsia" w:eastAsiaTheme="minorEastAsia" w:hAnsiTheme="minorEastAsia" w:cs="宋体"/>
                <w:color w:val="000000" w:themeColor="text1"/>
                <w:kern w:val="0"/>
              </w:rPr>
              <w:t>49,914,337.40</w:t>
            </w:r>
          </w:p>
        </w:tc>
        <w:tc>
          <w:tcPr>
            <w:tcW w:w="1616" w:type="dxa"/>
            <w:vAlign w:val="center"/>
          </w:tcPr>
          <w:p w:rsidR="00DE1259" w:rsidRDefault="0093670C">
            <w:pPr>
              <w:jc w:val="right"/>
            </w:pPr>
            <w:r>
              <w:rPr>
                <w:rFonts w:asciiTheme="minorEastAsia" w:eastAsiaTheme="minorEastAsia" w:hAnsiTheme="minorEastAsia" w:cs="宋体"/>
                <w:color w:val="000000" w:themeColor="text1"/>
                <w:kern w:val="0"/>
              </w:rPr>
              <w:t>2.74</w:t>
            </w:r>
          </w:p>
        </w:tc>
      </w:tr>
    </w:tbl>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D06738" w:rsidRDefault="00454D20">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D06738" w:rsidRDefault="00D06738">
      <w:pPr>
        <w:adjustRightInd w:val="0"/>
        <w:snapToGrid w:val="0"/>
        <w:spacing w:line="360" w:lineRule="exac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tc>
          <w:tcPr>
            <w:tcW w:w="123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834,049.08</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44,882.33</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20,504,452.19</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21,383,383.60</w:t>
            </w:r>
          </w:p>
        </w:tc>
      </w:tr>
    </w:tbl>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因四舍五入的原因，投资组合报告中分项之和与合计数可能存在尾差。</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1,500,688,118.92</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lastRenderedPageBreak/>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336,663,360.79</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679,998,318.29</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1,157,353,161.42</w:t>
            </w:r>
          </w:p>
        </w:tc>
      </w:tr>
    </w:tbl>
    <w:p w:rsidR="00D06738" w:rsidRDefault="00454D20">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D06738" w:rsidRDefault="00454D20">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DE1259" w:rsidRDefault="0093670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、中国证监会批准上投摩根成长先锋混合型证券投资基金设立的文件；</w:t>
      </w:r>
    </w:p>
    <w:p w:rsidR="00DE1259" w:rsidRDefault="0093670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、《上投摩根成长先锋混合型证券投资基金基金合同》；</w:t>
      </w:r>
    </w:p>
    <w:p w:rsidR="00DE1259" w:rsidRDefault="0093670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、《上投摩根成长先锋混合型证券投资基金托管协议》；</w:t>
      </w:r>
    </w:p>
    <w:p w:rsidR="00DE1259" w:rsidRDefault="0093670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、《上投摩根开放式基金业务规则》；</w:t>
      </w:r>
    </w:p>
    <w:p w:rsidR="00DE1259" w:rsidRDefault="0093670C">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基金管理人业务资格批件、营业执照；</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6、基金托管人业务资格批件和营业执照。</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二〇二〇年十月二十八日</w:t>
      </w:r>
    </w:p>
    <w:p w:rsidR="00D06738" w:rsidRDefault="00D06738">
      <w:pPr>
        <w:spacing w:line="360" w:lineRule="auto"/>
        <w:ind w:left="840"/>
        <w:jc w:val="right"/>
        <w:rPr>
          <w:rFonts w:asciiTheme="minorEastAsia" w:eastAsiaTheme="minorEastAsia" w:hAnsiTheme="minorEastAsia"/>
          <w:b/>
          <w:bCs/>
          <w:color w:val="000000" w:themeColor="text1"/>
          <w:sz w:val="24"/>
          <w:szCs w:val="24"/>
        </w:rPr>
      </w:pPr>
    </w:p>
    <w:p w:rsidR="00D06738" w:rsidRDefault="00D06738">
      <w:pPr>
        <w:rPr>
          <w:rFonts w:asciiTheme="minorEastAsia" w:eastAsiaTheme="minorEastAsia" w:hAnsiTheme="minorEastAsia"/>
          <w:color w:val="000000" w:themeColor="text1"/>
          <w:sz w:val="24"/>
          <w:szCs w:val="24"/>
        </w:rPr>
      </w:pPr>
    </w:p>
    <w:sectPr w:rsidR="00D06738">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DA" w:rsidRDefault="003A7FDA">
      <w:r>
        <w:separator/>
      </w:r>
    </w:p>
  </w:endnote>
  <w:endnote w:type="continuationSeparator" w:id="0">
    <w:p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93670C" w:rsidRPr="0093670C">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93670C">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DA" w:rsidRDefault="003A7FDA">
      <w:r>
        <w:separator/>
      </w:r>
    </w:p>
  </w:footnote>
  <w:footnote w:type="continuationSeparator" w:id="0">
    <w:p w:rsidR="003A7FDA" w:rsidRDefault="003A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上投摩根成长先锋混合型证券投资基金</w:t>
    </w:r>
    <w:r>
      <w:rPr>
        <w:rFonts w:hint="eastAsia"/>
      </w:rPr>
      <w:t>2020</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70C"/>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1259"/>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9F3850-1419-4014-9461-406DA811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Wentian.Zhou@FA</cp:lastModifiedBy>
  <cp:revision>267</cp:revision>
  <dcterms:created xsi:type="dcterms:W3CDTF">2012-10-16T06:07:00Z</dcterms:created>
  <dcterms:modified xsi:type="dcterms:W3CDTF">2020-10-27T08:02:00Z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