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上投摩根成长先锋混合型证券投资基金</w:t>
      </w:r>
    </w:p>
    <w:p w:rsidR="005954AE" w:rsidRDefault="0075415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2020年第2季度报告</w:t>
      </w:r>
    </w:p>
    <w:p w:rsidR="005954AE" w:rsidRDefault="00754151">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2020年6月30日</w:t>
      </w: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jc w:val="center"/>
        <w:rPr>
          <w:rFonts w:asciiTheme="minorEastAsia" w:eastAsiaTheme="minorEastAsia" w:hAnsiTheme="minorEastAsia"/>
          <w:b/>
          <w:bCs/>
          <w:color w:val="000000" w:themeColor="text1"/>
          <w:sz w:val="24"/>
          <w:szCs w:val="24"/>
        </w:rPr>
      </w:pPr>
    </w:p>
    <w:p w:rsidR="005954AE" w:rsidRDefault="005954AE">
      <w:pPr>
        <w:spacing w:line="360" w:lineRule="auto"/>
        <w:rPr>
          <w:rFonts w:asciiTheme="minorEastAsia" w:eastAsiaTheme="minorEastAsia" w:hAnsiTheme="minorEastAsia"/>
          <w:b/>
          <w:bCs/>
          <w:color w:val="000000" w:themeColor="text1"/>
          <w:sz w:val="24"/>
          <w:szCs w:val="24"/>
        </w:rPr>
      </w:pPr>
    </w:p>
    <w:p w:rsidR="005954AE" w:rsidRDefault="0075415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5954AE" w:rsidRDefault="0075415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5954AE" w:rsidRDefault="00754151">
      <w:pPr>
        <w:spacing w:line="360" w:lineRule="auto"/>
        <w:ind w:firstLineChars="900" w:firstLine="2168"/>
        <w:rPr>
          <w:rFonts w:asciiTheme="minorEastAsia" w:eastAsiaTheme="minorEastAsia" w:hAnsiTheme="minorEastAsia"/>
          <w:b/>
          <w:color w:val="000000" w:themeColor="text1"/>
          <w:sz w:val="24"/>
          <w:szCs w:val="24"/>
        </w:rPr>
        <w:sectPr w:rsidR="005954AE">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二〇二〇年七月二十一日</w:t>
      </w:r>
    </w:p>
    <w:p w:rsidR="005954AE" w:rsidRDefault="00754151">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基金托管人中国建设银行股份有限公司根据本基金合同规定，于2020年7月20日复核了本报告中的财务指标、净值表现和投资组合报告等内容，保证复核内容不存在虚假记载、误导性陈述或者重大遗漏。 </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本报告期自2020年4月1日起至6月30日止。</w:t>
      </w:r>
    </w:p>
    <w:p w:rsidR="005954AE" w:rsidRDefault="007541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上投摩根成长先锋混合</w:t>
            </w:r>
          </w:p>
        </w:tc>
      </w:tr>
      <w:tr w:rsidR="005954AE">
        <w:tc>
          <w:tcPr>
            <w:tcW w:w="2835" w:type="dxa"/>
            <w:tcBorders>
              <w:top w:val="single" w:sz="4" w:space="0" w:color="auto"/>
              <w:left w:val="single" w:sz="4" w:space="0" w:color="auto"/>
              <w:bottom w:val="single" w:sz="4" w:space="0" w:color="auto"/>
              <w:right w:val="single" w:sz="4" w:space="0" w:color="auto"/>
            </w:tcBorders>
            <w:vAlign w:val="center"/>
          </w:tcPr>
          <w:p w:rsidR="005954AE" w:rsidRDefault="0075415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378010</w:t>
            </w:r>
          </w:p>
        </w:tc>
      </w:tr>
      <w:tr w:rsidR="005954AE">
        <w:tc>
          <w:tcPr>
            <w:tcW w:w="2835" w:type="dxa"/>
            <w:tcBorders>
              <w:top w:val="single" w:sz="4" w:space="0" w:color="auto"/>
              <w:left w:val="single" w:sz="4" w:space="0" w:color="auto"/>
              <w:bottom w:val="single" w:sz="4" w:space="0" w:color="auto"/>
              <w:right w:val="single" w:sz="4" w:space="0" w:color="auto"/>
            </w:tcBorders>
            <w:vAlign w:val="center"/>
          </w:tcPr>
          <w:p w:rsidR="005954AE" w:rsidRDefault="0075415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378010</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2006年9月20日</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5954AE" w:rsidRDefault="00F85F5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1,500,688,118.92</w:t>
            </w:r>
            <w:r w:rsidR="00754151">
              <w:rPr>
                <w:rFonts w:asciiTheme="minorEastAsia" w:eastAsiaTheme="minorEastAsia" w:hAnsiTheme="minorEastAsia" w:hint="eastAsia"/>
                <w:color w:val="000000" w:themeColor="text1"/>
                <w:kern w:val="0"/>
              </w:rPr>
              <w:t>份</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本基金主要投资于国内市场上展现最佳成长特质的股票，积极捕捉高成长性上市公司所带来的投资机会，努力实现基金资产长期稳健增值。</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（1）股票投资策略 本基金采取定量分析与定性分析相结合方式，挖掘具有突出成长潜力且被当前市场低估的上市公司，主动出击、积极管理将是本基金运作的重要特色。 （2）固定收益类投资策略 本基金以股票投资为主，一般</w:t>
            </w:r>
            <w:r>
              <w:rPr>
                <w:rFonts w:asciiTheme="minorEastAsia" w:eastAsiaTheme="minorEastAsia" w:hAnsiTheme="minorEastAsia"/>
                <w:color w:val="000000" w:themeColor="text1"/>
                <w:kern w:val="0"/>
              </w:rPr>
              <w:lastRenderedPageBreak/>
              <w:t>市场情况下，基金管理人不会积极追求大类资产配置，但为进一步控制投资风险，优化组合流动性管理，本基金将适度防御性资产配置，进行债券、货币市场工具等品种投资。 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沪深300指数收益率×80%+中债总指数收益率×20%</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本基金是主动型混合型基金，属于证券投资基金的较高风险品种，预期风险收益水平低于股票型基金，高于债券基金和货币市场基金。</w:t>
            </w:r>
          </w:p>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5954AE">
        <w:tc>
          <w:tcPr>
            <w:tcW w:w="2835"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5954AE" w:rsidRDefault="007541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54151" w:rsidTr="00754151">
        <w:tc>
          <w:tcPr>
            <w:tcW w:w="3402" w:type="dxa"/>
            <w:vAlign w:val="center"/>
          </w:tcPr>
          <w:p w:rsidR="005954AE" w:rsidRDefault="00754151">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5954AE" w:rsidRDefault="00754151">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5954AE" w:rsidRDefault="00754151">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2020年4月1日-2020年6月30日</w:t>
            </w:r>
            <w:r>
              <w:rPr>
                <w:rFonts w:asciiTheme="minorEastAsia" w:eastAsiaTheme="minorEastAsia" w:hAnsiTheme="minorEastAsia" w:cs="宋体" w:hint="eastAsia"/>
                <w:color w:val="000000" w:themeColor="text1"/>
              </w:rPr>
              <w:t>)</w:t>
            </w:r>
          </w:p>
        </w:tc>
      </w:tr>
      <w:tr w:rsidR="00754151" w:rsidTr="00754151">
        <w:tc>
          <w:tcPr>
            <w:tcW w:w="3402"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5954AE" w:rsidRDefault="007541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137,983,559.36</w:t>
            </w:r>
          </w:p>
        </w:tc>
      </w:tr>
      <w:tr w:rsidR="00754151" w:rsidTr="00754151">
        <w:tc>
          <w:tcPr>
            <w:tcW w:w="3402"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5954AE" w:rsidRDefault="007541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485,076,985.33</w:t>
            </w:r>
          </w:p>
        </w:tc>
      </w:tr>
      <w:tr w:rsidR="00754151" w:rsidTr="00754151">
        <w:tc>
          <w:tcPr>
            <w:tcW w:w="3402"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lastRenderedPageBreak/>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5954AE" w:rsidRDefault="007541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0.3220</w:t>
            </w:r>
          </w:p>
        </w:tc>
      </w:tr>
      <w:tr w:rsidR="00754151" w:rsidTr="00754151">
        <w:tc>
          <w:tcPr>
            <w:tcW w:w="3402"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5954AE" w:rsidRDefault="007541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2,101,422,265.32</w:t>
            </w:r>
          </w:p>
        </w:tc>
      </w:tr>
      <w:tr w:rsidR="00754151" w:rsidTr="00754151">
        <w:trPr>
          <w:trHeight w:val="158"/>
        </w:trPr>
        <w:tc>
          <w:tcPr>
            <w:tcW w:w="3402" w:type="dxa"/>
            <w:vAlign w:val="center"/>
          </w:tcPr>
          <w:p w:rsidR="005954AE" w:rsidRDefault="0075415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5954AE" w:rsidRDefault="0075415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1.4003</w:t>
            </w:r>
          </w:p>
        </w:tc>
      </w:tr>
    </w:tbl>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5954AE" w:rsidRDefault="00754151">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5954AE">
        <w:tc>
          <w:tcPr>
            <w:tcW w:w="1395"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5954AE">
        <w:tc>
          <w:tcPr>
            <w:tcW w:w="1395" w:type="dxa"/>
            <w:vAlign w:val="center"/>
          </w:tcPr>
          <w:p w:rsidR="005954AE" w:rsidRDefault="00754151">
            <w:pPr>
              <w:jc w:val="left"/>
            </w:pPr>
            <w:r>
              <w:rPr>
                <w:rFonts w:asciiTheme="minorEastAsia" w:eastAsiaTheme="minorEastAsia" w:hAnsiTheme="minorEastAsia"/>
                <w:color w:val="000000" w:themeColor="text1"/>
                <w:kern w:val="0"/>
              </w:rPr>
              <w:t>过去三个月</w:t>
            </w:r>
          </w:p>
        </w:tc>
        <w:tc>
          <w:tcPr>
            <w:tcW w:w="1092" w:type="dxa"/>
            <w:vAlign w:val="center"/>
          </w:tcPr>
          <w:p w:rsidR="005954AE" w:rsidRDefault="00754151">
            <w:pPr>
              <w:jc w:val="center"/>
            </w:pPr>
            <w:r>
              <w:rPr>
                <w:rFonts w:asciiTheme="minorEastAsia" w:eastAsiaTheme="minorEastAsia" w:hAnsiTheme="minorEastAsia"/>
                <w:color w:val="000000" w:themeColor="text1"/>
                <w:kern w:val="0"/>
              </w:rPr>
              <w:t>29.91%</w:t>
            </w:r>
          </w:p>
        </w:tc>
        <w:tc>
          <w:tcPr>
            <w:tcW w:w="1161" w:type="dxa"/>
            <w:vAlign w:val="center"/>
          </w:tcPr>
          <w:p w:rsidR="005954AE" w:rsidRDefault="00754151">
            <w:pPr>
              <w:jc w:val="center"/>
            </w:pPr>
            <w:r>
              <w:rPr>
                <w:rFonts w:asciiTheme="minorEastAsia" w:eastAsiaTheme="minorEastAsia" w:hAnsiTheme="minorEastAsia"/>
                <w:color w:val="000000" w:themeColor="text1"/>
                <w:kern w:val="0"/>
              </w:rPr>
              <w:t>1.11%</w:t>
            </w:r>
          </w:p>
        </w:tc>
        <w:tc>
          <w:tcPr>
            <w:tcW w:w="1181" w:type="dxa"/>
            <w:vAlign w:val="center"/>
          </w:tcPr>
          <w:p w:rsidR="005954AE" w:rsidRDefault="00754151">
            <w:pPr>
              <w:jc w:val="center"/>
            </w:pPr>
            <w:r>
              <w:rPr>
                <w:rFonts w:asciiTheme="minorEastAsia" w:eastAsiaTheme="minorEastAsia" w:hAnsiTheme="minorEastAsia"/>
                <w:color w:val="000000" w:themeColor="text1"/>
                <w:kern w:val="0"/>
              </w:rPr>
              <w:t>10.03%</w:t>
            </w:r>
          </w:p>
        </w:tc>
        <w:tc>
          <w:tcPr>
            <w:tcW w:w="1188" w:type="dxa"/>
            <w:vAlign w:val="center"/>
          </w:tcPr>
          <w:p w:rsidR="005954AE" w:rsidRDefault="00754151">
            <w:pPr>
              <w:jc w:val="center"/>
            </w:pPr>
            <w:r>
              <w:rPr>
                <w:rFonts w:asciiTheme="minorEastAsia" w:eastAsiaTheme="minorEastAsia" w:hAnsiTheme="minorEastAsia"/>
                <w:color w:val="000000" w:themeColor="text1"/>
                <w:kern w:val="0"/>
              </w:rPr>
              <w:t>0.72%</w:t>
            </w:r>
          </w:p>
        </w:tc>
        <w:tc>
          <w:tcPr>
            <w:tcW w:w="1199" w:type="dxa"/>
            <w:vAlign w:val="center"/>
          </w:tcPr>
          <w:p w:rsidR="005954AE" w:rsidRDefault="00754151">
            <w:pPr>
              <w:jc w:val="center"/>
            </w:pPr>
            <w:r>
              <w:rPr>
                <w:rFonts w:asciiTheme="minorEastAsia" w:eastAsiaTheme="minorEastAsia" w:hAnsiTheme="minorEastAsia"/>
                <w:color w:val="000000" w:themeColor="text1"/>
                <w:kern w:val="0"/>
              </w:rPr>
              <w:t>19.88%</w:t>
            </w:r>
          </w:p>
        </w:tc>
        <w:tc>
          <w:tcPr>
            <w:tcW w:w="1204" w:type="dxa"/>
            <w:vAlign w:val="center"/>
          </w:tcPr>
          <w:p w:rsidR="005954AE" w:rsidRDefault="00754151">
            <w:pPr>
              <w:jc w:val="center"/>
            </w:pPr>
            <w:r>
              <w:rPr>
                <w:rFonts w:asciiTheme="minorEastAsia" w:eastAsiaTheme="minorEastAsia" w:hAnsiTheme="minorEastAsia"/>
                <w:color w:val="000000" w:themeColor="text1"/>
                <w:kern w:val="0"/>
              </w:rPr>
              <w:t>0.39%</w:t>
            </w:r>
          </w:p>
        </w:tc>
      </w:tr>
      <w:tr w:rsidR="005954AE">
        <w:tc>
          <w:tcPr>
            <w:tcW w:w="1395" w:type="dxa"/>
            <w:vAlign w:val="center"/>
          </w:tcPr>
          <w:p w:rsidR="005954AE" w:rsidRDefault="00754151">
            <w:pPr>
              <w:jc w:val="left"/>
            </w:pPr>
            <w:r>
              <w:rPr>
                <w:rFonts w:asciiTheme="minorEastAsia" w:eastAsiaTheme="minorEastAsia" w:hAnsiTheme="minorEastAsia"/>
                <w:color w:val="000000" w:themeColor="text1"/>
                <w:kern w:val="0"/>
              </w:rPr>
              <w:t>过去六个月</w:t>
            </w:r>
          </w:p>
        </w:tc>
        <w:tc>
          <w:tcPr>
            <w:tcW w:w="1092" w:type="dxa"/>
            <w:vAlign w:val="center"/>
          </w:tcPr>
          <w:p w:rsidR="005954AE" w:rsidRDefault="00754151">
            <w:pPr>
              <w:jc w:val="center"/>
            </w:pPr>
            <w:r>
              <w:rPr>
                <w:rFonts w:asciiTheme="minorEastAsia" w:eastAsiaTheme="minorEastAsia" w:hAnsiTheme="minorEastAsia"/>
                <w:color w:val="000000" w:themeColor="text1"/>
                <w:kern w:val="0"/>
              </w:rPr>
              <w:t>30.53%</w:t>
            </w:r>
          </w:p>
        </w:tc>
        <w:tc>
          <w:tcPr>
            <w:tcW w:w="1161" w:type="dxa"/>
            <w:vAlign w:val="center"/>
          </w:tcPr>
          <w:p w:rsidR="005954AE" w:rsidRDefault="00754151">
            <w:pPr>
              <w:jc w:val="center"/>
            </w:pPr>
            <w:r>
              <w:rPr>
                <w:rFonts w:asciiTheme="minorEastAsia" w:eastAsiaTheme="minorEastAsia" w:hAnsiTheme="minorEastAsia"/>
                <w:color w:val="000000" w:themeColor="text1"/>
                <w:kern w:val="0"/>
              </w:rPr>
              <w:t>1.74%</w:t>
            </w:r>
          </w:p>
        </w:tc>
        <w:tc>
          <w:tcPr>
            <w:tcW w:w="1181" w:type="dxa"/>
            <w:vAlign w:val="center"/>
          </w:tcPr>
          <w:p w:rsidR="005954AE" w:rsidRDefault="00754151">
            <w:pPr>
              <w:jc w:val="center"/>
            </w:pPr>
            <w:r>
              <w:rPr>
                <w:rFonts w:asciiTheme="minorEastAsia" w:eastAsiaTheme="minorEastAsia" w:hAnsiTheme="minorEastAsia"/>
                <w:color w:val="000000" w:themeColor="text1"/>
                <w:kern w:val="0"/>
              </w:rPr>
              <w:t>1.48%</w:t>
            </w:r>
          </w:p>
        </w:tc>
        <w:tc>
          <w:tcPr>
            <w:tcW w:w="1188" w:type="dxa"/>
            <w:vAlign w:val="center"/>
          </w:tcPr>
          <w:p w:rsidR="005954AE" w:rsidRDefault="00754151">
            <w:pPr>
              <w:jc w:val="center"/>
            </w:pPr>
            <w:r>
              <w:rPr>
                <w:rFonts w:asciiTheme="minorEastAsia" w:eastAsiaTheme="minorEastAsia" w:hAnsiTheme="minorEastAsia"/>
                <w:color w:val="000000" w:themeColor="text1"/>
                <w:kern w:val="0"/>
              </w:rPr>
              <w:t>1.21%</w:t>
            </w:r>
          </w:p>
        </w:tc>
        <w:tc>
          <w:tcPr>
            <w:tcW w:w="1199" w:type="dxa"/>
            <w:vAlign w:val="center"/>
          </w:tcPr>
          <w:p w:rsidR="005954AE" w:rsidRDefault="00754151">
            <w:pPr>
              <w:jc w:val="center"/>
            </w:pPr>
            <w:r>
              <w:rPr>
                <w:rFonts w:asciiTheme="minorEastAsia" w:eastAsiaTheme="minorEastAsia" w:hAnsiTheme="minorEastAsia"/>
                <w:color w:val="000000" w:themeColor="text1"/>
                <w:kern w:val="0"/>
              </w:rPr>
              <w:t>29.05%</w:t>
            </w:r>
          </w:p>
        </w:tc>
        <w:tc>
          <w:tcPr>
            <w:tcW w:w="1204" w:type="dxa"/>
            <w:vAlign w:val="center"/>
          </w:tcPr>
          <w:p w:rsidR="005954AE" w:rsidRDefault="00754151">
            <w:pPr>
              <w:jc w:val="center"/>
            </w:pPr>
            <w:r>
              <w:rPr>
                <w:rFonts w:asciiTheme="minorEastAsia" w:eastAsiaTheme="minorEastAsia" w:hAnsiTheme="minorEastAsia"/>
                <w:color w:val="000000" w:themeColor="text1"/>
                <w:kern w:val="0"/>
              </w:rPr>
              <w:t>0.53%</w:t>
            </w:r>
          </w:p>
        </w:tc>
      </w:tr>
      <w:tr w:rsidR="005954AE">
        <w:tc>
          <w:tcPr>
            <w:tcW w:w="1395" w:type="dxa"/>
            <w:vAlign w:val="center"/>
          </w:tcPr>
          <w:p w:rsidR="005954AE" w:rsidRDefault="00754151">
            <w:pPr>
              <w:jc w:val="left"/>
            </w:pPr>
            <w:r>
              <w:rPr>
                <w:rFonts w:asciiTheme="minorEastAsia" w:eastAsiaTheme="minorEastAsia" w:hAnsiTheme="minorEastAsia"/>
                <w:color w:val="000000" w:themeColor="text1"/>
                <w:kern w:val="0"/>
              </w:rPr>
              <w:t>过去一年</w:t>
            </w:r>
          </w:p>
        </w:tc>
        <w:tc>
          <w:tcPr>
            <w:tcW w:w="1092" w:type="dxa"/>
            <w:vAlign w:val="center"/>
          </w:tcPr>
          <w:p w:rsidR="005954AE" w:rsidRDefault="00754151">
            <w:pPr>
              <w:jc w:val="center"/>
            </w:pPr>
            <w:r>
              <w:rPr>
                <w:rFonts w:asciiTheme="minorEastAsia" w:eastAsiaTheme="minorEastAsia" w:hAnsiTheme="minorEastAsia"/>
                <w:color w:val="000000" w:themeColor="text1"/>
                <w:kern w:val="0"/>
              </w:rPr>
              <w:t>48.80%</w:t>
            </w:r>
          </w:p>
        </w:tc>
        <w:tc>
          <w:tcPr>
            <w:tcW w:w="1161" w:type="dxa"/>
            <w:vAlign w:val="center"/>
          </w:tcPr>
          <w:p w:rsidR="005954AE" w:rsidRDefault="00754151">
            <w:pPr>
              <w:jc w:val="center"/>
            </w:pPr>
            <w:r>
              <w:rPr>
                <w:rFonts w:asciiTheme="minorEastAsia" w:eastAsiaTheme="minorEastAsia" w:hAnsiTheme="minorEastAsia"/>
                <w:color w:val="000000" w:themeColor="text1"/>
                <w:kern w:val="0"/>
              </w:rPr>
              <w:t>1.37%</w:t>
            </w:r>
          </w:p>
        </w:tc>
        <w:tc>
          <w:tcPr>
            <w:tcW w:w="1181" w:type="dxa"/>
            <w:vAlign w:val="center"/>
          </w:tcPr>
          <w:p w:rsidR="005954AE" w:rsidRDefault="00754151">
            <w:pPr>
              <w:jc w:val="center"/>
            </w:pPr>
            <w:r>
              <w:rPr>
                <w:rFonts w:asciiTheme="minorEastAsia" w:eastAsiaTheme="minorEastAsia" w:hAnsiTheme="minorEastAsia"/>
                <w:color w:val="000000" w:themeColor="text1"/>
                <w:kern w:val="0"/>
              </w:rPr>
              <w:t>7.54%</w:t>
            </w:r>
          </w:p>
        </w:tc>
        <w:tc>
          <w:tcPr>
            <w:tcW w:w="1188" w:type="dxa"/>
            <w:vAlign w:val="center"/>
          </w:tcPr>
          <w:p w:rsidR="005954AE" w:rsidRDefault="00754151">
            <w:pPr>
              <w:jc w:val="center"/>
            </w:pPr>
            <w:r>
              <w:rPr>
                <w:rFonts w:asciiTheme="minorEastAsia" w:eastAsiaTheme="minorEastAsia" w:hAnsiTheme="minorEastAsia"/>
                <w:color w:val="000000" w:themeColor="text1"/>
                <w:kern w:val="0"/>
              </w:rPr>
              <w:t>0.97%</w:t>
            </w:r>
          </w:p>
        </w:tc>
        <w:tc>
          <w:tcPr>
            <w:tcW w:w="1199" w:type="dxa"/>
            <w:vAlign w:val="center"/>
          </w:tcPr>
          <w:p w:rsidR="005954AE" w:rsidRDefault="00754151">
            <w:pPr>
              <w:jc w:val="center"/>
            </w:pPr>
            <w:r>
              <w:rPr>
                <w:rFonts w:asciiTheme="minorEastAsia" w:eastAsiaTheme="minorEastAsia" w:hAnsiTheme="minorEastAsia"/>
                <w:color w:val="000000" w:themeColor="text1"/>
                <w:kern w:val="0"/>
              </w:rPr>
              <w:t>41.26%</w:t>
            </w:r>
          </w:p>
        </w:tc>
        <w:tc>
          <w:tcPr>
            <w:tcW w:w="1204" w:type="dxa"/>
            <w:vAlign w:val="center"/>
          </w:tcPr>
          <w:p w:rsidR="005954AE" w:rsidRDefault="00754151">
            <w:pPr>
              <w:jc w:val="center"/>
            </w:pPr>
            <w:r>
              <w:rPr>
                <w:rFonts w:asciiTheme="minorEastAsia" w:eastAsiaTheme="minorEastAsia" w:hAnsiTheme="minorEastAsia"/>
                <w:color w:val="000000" w:themeColor="text1"/>
                <w:kern w:val="0"/>
              </w:rPr>
              <w:t>0.40%</w:t>
            </w:r>
          </w:p>
        </w:tc>
      </w:tr>
      <w:tr w:rsidR="005954AE">
        <w:tc>
          <w:tcPr>
            <w:tcW w:w="1395" w:type="dxa"/>
            <w:vAlign w:val="center"/>
          </w:tcPr>
          <w:p w:rsidR="005954AE" w:rsidRDefault="00754151">
            <w:pPr>
              <w:jc w:val="left"/>
            </w:pPr>
            <w:r>
              <w:rPr>
                <w:rFonts w:asciiTheme="minorEastAsia" w:eastAsiaTheme="minorEastAsia" w:hAnsiTheme="minorEastAsia"/>
                <w:color w:val="000000" w:themeColor="text1"/>
                <w:kern w:val="0"/>
              </w:rPr>
              <w:t>过去三年</w:t>
            </w:r>
          </w:p>
        </w:tc>
        <w:tc>
          <w:tcPr>
            <w:tcW w:w="1092" w:type="dxa"/>
            <w:vAlign w:val="center"/>
          </w:tcPr>
          <w:p w:rsidR="005954AE" w:rsidRDefault="00754151">
            <w:pPr>
              <w:jc w:val="center"/>
            </w:pPr>
            <w:r>
              <w:rPr>
                <w:rFonts w:asciiTheme="minorEastAsia" w:eastAsiaTheme="minorEastAsia" w:hAnsiTheme="minorEastAsia"/>
                <w:color w:val="000000" w:themeColor="text1"/>
                <w:kern w:val="0"/>
              </w:rPr>
              <w:t>77.35%</w:t>
            </w:r>
          </w:p>
        </w:tc>
        <w:tc>
          <w:tcPr>
            <w:tcW w:w="1161" w:type="dxa"/>
            <w:vAlign w:val="center"/>
          </w:tcPr>
          <w:p w:rsidR="005954AE" w:rsidRDefault="00754151">
            <w:pPr>
              <w:jc w:val="center"/>
            </w:pPr>
            <w:r>
              <w:rPr>
                <w:rFonts w:asciiTheme="minorEastAsia" w:eastAsiaTheme="minorEastAsia" w:hAnsiTheme="minorEastAsia"/>
                <w:color w:val="000000" w:themeColor="text1"/>
                <w:kern w:val="0"/>
              </w:rPr>
              <w:t>1.23%</w:t>
            </w:r>
          </w:p>
        </w:tc>
        <w:tc>
          <w:tcPr>
            <w:tcW w:w="1181" w:type="dxa"/>
            <w:vAlign w:val="center"/>
          </w:tcPr>
          <w:p w:rsidR="005954AE" w:rsidRDefault="00754151">
            <w:pPr>
              <w:jc w:val="center"/>
            </w:pPr>
            <w:r>
              <w:rPr>
                <w:rFonts w:asciiTheme="minorEastAsia" w:eastAsiaTheme="minorEastAsia" w:hAnsiTheme="minorEastAsia"/>
                <w:color w:val="000000" w:themeColor="text1"/>
                <w:kern w:val="0"/>
              </w:rPr>
              <w:t>12.10%</w:t>
            </w:r>
          </w:p>
        </w:tc>
        <w:tc>
          <w:tcPr>
            <w:tcW w:w="1188" w:type="dxa"/>
            <w:vAlign w:val="center"/>
          </w:tcPr>
          <w:p w:rsidR="005954AE" w:rsidRDefault="00754151">
            <w:pPr>
              <w:jc w:val="center"/>
            </w:pPr>
            <w:r>
              <w:rPr>
                <w:rFonts w:asciiTheme="minorEastAsia" w:eastAsiaTheme="minorEastAsia" w:hAnsiTheme="minorEastAsia"/>
                <w:color w:val="000000" w:themeColor="text1"/>
                <w:kern w:val="0"/>
              </w:rPr>
              <w:t>1.00%</w:t>
            </w:r>
          </w:p>
        </w:tc>
        <w:tc>
          <w:tcPr>
            <w:tcW w:w="1199" w:type="dxa"/>
            <w:vAlign w:val="center"/>
          </w:tcPr>
          <w:p w:rsidR="005954AE" w:rsidRDefault="00754151">
            <w:pPr>
              <w:jc w:val="center"/>
            </w:pPr>
            <w:r>
              <w:rPr>
                <w:rFonts w:asciiTheme="minorEastAsia" w:eastAsiaTheme="minorEastAsia" w:hAnsiTheme="minorEastAsia"/>
                <w:color w:val="000000" w:themeColor="text1"/>
                <w:kern w:val="0"/>
              </w:rPr>
              <w:t>65.25%</w:t>
            </w:r>
          </w:p>
        </w:tc>
        <w:tc>
          <w:tcPr>
            <w:tcW w:w="1204" w:type="dxa"/>
            <w:vAlign w:val="center"/>
          </w:tcPr>
          <w:p w:rsidR="005954AE" w:rsidRDefault="00754151">
            <w:pPr>
              <w:jc w:val="center"/>
            </w:pPr>
            <w:r>
              <w:rPr>
                <w:rFonts w:asciiTheme="minorEastAsia" w:eastAsiaTheme="minorEastAsia" w:hAnsiTheme="minorEastAsia"/>
                <w:color w:val="000000" w:themeColor="text1"/>
                <w:kern w:val="0"/>
              </w:rPr>
              <w:t>0.23%</w:t>
            </w:r>
          </w:p>
        </w:tc>
      </w:tr>
      <w:tr w:rsidR="005954AE">
        <w:tc>
          <w:tcPr>
            <w:tcW w:w="1395" w:type="dxa"/>
            <w:vAlign w:val="center"/>
          </w:tcPr>
          <w:p w:rsidR="005954AE" w:rsidRDefault="00754151">
            <w:pPr>
              <w:jc w:val="left"/>
            </w:pPr>
            <w:r>
              <w:rPr>
                <w:rFonts w:asciiTheme="minorEastAsia" w:eastAsiaTheme="minorEastAsia" w:hAnsiTheme="minorEastAsia"/>
                <w:color w:val="000000" w:themeColor="text1"/>
                <w:kern w:val="0"/>
              </w:rPr>
              <w:t>过去五年</w:t>
            </w:r>
          </w:p>
        </w:tc>
        <w:tc>
          <w:tcPr>
            <w:tcW w:w="1092" w:type="dxa"/>
            <w:vAlign w:val="center"/>
          </w:tcPr>
          <w:p w:rsidR="005954AE" w:rsidRDefault="00754151">
            <w:pPr>
              <w:jc w:val="center"/>
            </w:pPr>
            <w:r>
              <w:rPr>
                <w:rFonts w:asciiTheme="minorEastAsia" w:eastAsiaTheme="minorEastAsia" w:hAnsiTheme="minorEastAsia"/>
                <w:color w:val="000000" w:themeColor="text1"/>
                <w:kern w:val="0"/>
              </w:rPr>
              <w:t>14.29%</w:t>
            </w:r>
          </w:p>
        </w:tc>
        <w:tc>
          <w:tcPr>
            <w:tcW w:w="1161" w:type="dxa"/>
            <w:vAlign w:val="center"/>
          </w:tcPr>
          <w:p w:rsidR="005954AE" w:rsidRDefault="00754151">
            <w:pPr>
              <w:jc w:val="center"/>
            </w:pPr>
            <w:r>
              <w:rPr>
                <w:rFonts w:asciiTheme="minorEastAsia" w:eastAsiaTheme="minorEastAsia" w:hAnsiTheme="minorEastAsia"/>
                <w:color w:val="000000" w:themeColor="text1"/>
                <w:kern w:val="0"/>
              </w:rPr>
              <w:t>1.68%</w:t>
            </w:r>
          </w:p>
        </w:tc>
        <w:tc>
          <w:tcPr>
            <w:tcW w:w="1181" w:type="dxa"/>
            <w:vAlign w:val="center"/>
          </w:tcPr>
          <w:p w:rsidR="005954AE" w:rsidRDefault="00754151">
            <w:pPr>
              <w:jc w:val="center"/>
            </w:pPr>
            <w:r>
              <w:rPr>
                <w:rFonts w:asciiTheme="minorEastAsia" w:eastAsiaTheme="minorEastAsia" w:hAnsiTheme="minorEastAsia"/>
                <w:color w:val="000000" w:themeColor="text1"/>
                <w:kern w:val="0"/>
              </w:rPr>
              <w:t>-4.42%</w:t>
            </w:r>
          </w:p>
        </w:tc>
        <w:tc>
          <w:tcPr>
            <w:tcW w:w="1188" w:type="dxa"/>
            <w:vAlign w:val="center"/>
          </w:tcPr>
          <w:p w:rsidR="005954AE" w:rsidRDefault="00754151">
            <w:pPr>
              <w:jc w:val="center"/>
            </w:pPr>
            <w:r>
              <w:rPr>
                <w:rFonts w:asciiTheme="minorEastAsia" w:eastAsiaTheme="minorEastAsia" w:hAnsiTheme="minorEastAsia"/>
                <w:color w:val="000000" w:themeColor="text1"/>
                <w:kern w:val="0"/>
              </w:rPr>
              <w:t>1.16%</w:t>
            </w:r>
          </w:p>
        </w:tc>
        <w:tc>
          <w:tcPr>
            <w:tcW w:w="1199" w:type="dxa"/>
            <w:vAlign w:val="center"/>
          </w:tcPr>
          <w:p w:rsidR="005954AE" w:rsidRDefault="00754151">
            <w:pPr>
              <w:jc w:val="center"/>
            </w:pPr>
            <w:r>
              <w:rPr>
                <w:rFonts w:asciiTheme="minorEastAsia" w:eastAsiaTheme="minorEastAsia" w:hAnsiTheme="minorEastAsia"/>
                <w:color w:val="000000" w:themeColor="text1"/>
                <w:kern w:val="0"/>
              </w:rPr>
              <w:t>18.71%</w:t>
            </w:r>
          </w:p>
        </w:tc>
        <w:tc>
          <w:tcPr>
            <w:tcW w:w="1204" w:type="dxa"/>
            <w:vAlign w:val="center"/>
          </w:tcPr>
          <w:p w:rsidR="005954AE" w:rsidRDefault="00754151">
            <w:pPr>
              <w:jc w:val="center"/>
            </w:pPr>
            <w:r>
              <w:rPr>
                <w:rFonts w:asciiTheme="minorEastAsia" w:eastAsiaTheme="minorEastAsia" w:hAnsiTheme="minorEastAsia"/>
                <w:color w:val="000000" w:themeColor="text1"/>
                <w:kern w:val="0"/>
              </w:rPr>
              <w:t>0.52%</w:t>
            </w:r>
          </w:p>
        </w:tc>
      </w:tr>
      <w:tr w:rsidR="005954AE">
        <w:tc>
          <w:tcPr>
            <w:tcW w:w="1395" w:type="dxa"/>
            <w:vAlign w:val="center"/>
          </w:tcPr>
          <w:p w:rsidR="005954AE" w:rsidRDefault="00754151">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5954AE" w:rsidRDefault="00754151">
            <w:pPr>
              <w:jc w:val="center"/>
            </w:pPr>
            <w:r>
              <w:rPr>
                <w:rFonts w:asciiTheme="minorEastAsia" w:eastAsiaTheme="minorEastAsia" w:hAnsiTheme="minorEastAsia"/>
                <w:color w:val="000000" w:themeColor="text1"/>
                <w:kern w:val="0"/>
              </w:rPr>
              <w:t>229.63%</w:t>
            </w:r>
          </w:p>
        </w:tc>
        <w:tc>
          <w:tcPr>
            <w:tcW w:w="1161" w:type="dxa"/>
            <w:vAlign w:val="center"/>
          </w:tcPr>
          <w:p w:rsidR="005954AE" w:rsidRDefault="00754151">
            <w:pPr>
              <w:jc w:val="center"/>
            </w:pPr>
            <w:r>
              <w:rPr>
                <w:rFonts w:asciiTheme="minorEastAsia" w:eastAsiaTheme="minorEastAsia" w:hAnsiTheme="minorEastAsia"/>
                <w:color w:val="000000" w:themeColor="text1"/>
                <w:kern w:val="0"/>
              </w:rPr>
              <w:t>1.63%</w:t>
            </w:r>
          </w:p>
        </w:tc>
        <w:tc>
          <w:tcPr>
            <w:tcW w:w="1181" w:type="dxa"/>
            <w:vAlign w:val="center"/>
          </w:tcPr>
          <w:p w:rsidR="005954AE" w:rsidRDefault="00754151">
            <w:pPr>
              <w:jc w:val="center"/>
            </w:pPr>
            <w:r>
              <w:rPr>
                <w:rFonts w:asciiTheme="minorEastAsia" w:eastAsiaTheme="minorEastAsia" w:hAnsiTheme="minorEastAsia"/>
                <w:color w:val="000000" w:themeColor="text1"/>
                <w:kern w:val="0"/>
              </w:rPr>
              <w:t>145.68%</w:t>
            </w:r>
          </w:p>
        </w:tc>
        <w:tc>
          <w:tcPr>
            <w:tcW w:w="1188" w:type="dxa"/>
            <w:vAlign w:val="center"/>
          </w:tcPr>
          <w:p w:rsidR="005954AE" w:rsidRDefault="00754151">
            <w:pPr>
              <w:jc w:val="center"/>
            </w:pPr>
            <w:r>
              <w:rPr>
                <w:rFonts w:asciiTheme="minorEastAsia" w:eastAsiaTheme="minorEastAsia" w:hAnsiTheme="minorEastAsia"/>
                <w:color w:val="000000" w:themeColor="text1"/>
                <w:kern w:val="0"/>
              </w:rPr>
              <w:t>1.40%</w:t>
            </w:r>
          </w:p>
        </w:tc>
        <w:tc>
          <w:tcPr>
            <w:tcW w:w="1199" w:type="dxa"/>
            <w:vAlign w:val="center"/>
          </w:tcPr>
          <w:p w:rsidR="005954AE" w:rsidRDefault="00754151">
            <w:pPr>
              <w:jc w:val="center"/>
            </w:pPr>
            <w:r>
              <w:rPr>
                <w:rFonts w:asciiTheme="minorEastAsia" w:eastAsiaTheme="minorEastAsia" w:hAnsiTheme="minorEastAsia"/>
                <w:color w:val="000000" w:themeColor="text1"/>
                <w:kern w:val="0"/>
              </w:rPr>
              <w:t>83.95%</w:t>
            </w:r>
          </w:p>
        </w:tc>
        <w:tc>
          <w:tcPr>
            <w:tcW w:w="1204" w:type="dxa"/>
            <w:vAlign w:val="center"/>
          </w:tcPr>
          <w:p w:rsidR="005954AE" w:rsidRDefault="00754151">
            <w:pPr>
              <w:jc w:val="center"/>
            </w:pPr>
            <w:r>
              <w:rPr>
                <w:rFonts w:asciiTheme="minorEastAsia" w:eastAsiaTheme="minorEastAsia" w:hAnsiTheme="minorEastAsia"/>
                <w:color w:val="000000" w:themeColor="text1"/>
                <w:kern w:val="0"/>
              </w:rPr>
              <w:t>0.23%</w:t>
            </w:r>
          </w:p>
        </w:tc>
      </w:tr>
    </w:tbl>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5954AE" w:rsidRDefault="00754151">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上投摩根成长先锋混合型证券投资基金</w:t>
      </w:r>
    </w:p>
    <w:p w:rsidR="005954AE" w:rsidRDefault="00754151">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5954AE" w:rsidRDefault="00754151">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2006年9月20日</w:t>
      </w:r>
      <w:r>
        <w:rPr>
          <w:rFonts w:asciiTheme="minorEastAsia" w:eastAsiaTheme="minorEastAsia" w:hAnsiTheme="minorEastAsia" w:hint="eastAsia"/>
          <w:color w:val="000000" w:themeColor="text1"/>
        </w:rPr>
        <w:t>至2020年6月30日)</w:t>
      </w:r>
    </w:p>
    <w:p w:rsidR="005954AE" w:rsidRDefault="00754151">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注：本基金合同生效日为2006年9月20日，图示时间段为2006年9月20日至2020年6月30日。</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本基金建仓期自2006年9月20日至2007年3月19日，建仓期结束时资产配置比例符合本基金基金合同规定。</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本基金的业绩比较基准于2013年12月7日由原“富时中国A600成长指数×80%+同业存款利率×20%”变更为“沪深300指数收益率×80%+中债总指数收益率×20%”。</w:t>
      </w:r>
    </w:p>
    <w:p w:rsidR="005954AE" w:rsidRDefault="005954AE">
      <w:pPr>
        <w:tabs>
          <w:tab w:val="left" w:pos="1800"/>
        </w:tabs>
        <w:spacing w:line="360" w:lineRule="auto"/>
        <w:rPr>
          <w:rFonts w:asciiTheme="minorEastAsia" w:eastAsiaTheme="minorEastAsia" w:hAnsiTheme="minorEastAsia"/>
          <w:color w:val="000000" w:themeColor="text1"/>
          <w:sz w:val="24"/>
          <w:szCs w:val="24"/>
        </w:rPr>
      </w:pPr>
    </w:p>
    <w:p w:rsidR="005954AE" w:rsidRDefault="007541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5954AE">
        <w:trPr>
          <w:cantSplit/>
          <w:trHeight w:val="292"/>
        </w:trPr>
        <w:tc>
          <w:tcPr>
            <w:tcW w:w="851" w:type="dxa"/>
            <w:vMerge w:val="restart"/>
            <w:vAlign w:val="center"/>
          </w:tcPr>
          <w:p w:rsidR="005954AE" w:rsidRDefault="0075415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5954AE" w:rsidRDefault="0075415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5954AE" w:rsidRDefault="0075415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5954AE">
        <w:trPr>
          <w:cantSplit/>
        </w:trPr>
        <w:tc>
          <w:tcPr>
            <w:tcW w:w="851" w:type="dxa"/>
            <w:vMerge/>
            <w:vAlign w:val="center"/>
          </w:tcPr>
          <w:p w:rsidR="005954AE" w:rsidRDefault="005954AE">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5954AE" w:rsidRDefault="005954AE">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5954AE" w:rsidRDefault="005954AE">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5954AE" w:rsidRDefault="005954AE">
            <w:pPr>
              <w:widowControl/>
              <w:spacing w:line="360" w:lineRule="auto"/>
              <w:jc w:val="left"/>
              <w:rPr>
                <w:rFonts w:asciiTheme="minorEastAsia" w:eastAsiaTheme="minorEastAsia" w:hAnsiTheme="minorEastAsia"/>
                <w:color w:val="000000" w:themeColor="text1"/>
                <w:kern w:val="0"/>
              </w:rPr>
            </w:pPr>
          </w:p>
        </w:tc>
      </w:tr>
      <w:tr w:rsidR="005954AE">
        <w:tc>
          <w:tcPr>
            <w:tcW w:w="851" w:type="dxa"/>
            <w:vAlign w:val="center"/>
          </w:tcPr>
          <w:p w:rsidR="005954AE" w:rsidRDefault="00754151">
            <w:pPr>
              <w:jc w:val="center"/>
            </w:pPr>
            <w:r>
              <w:rPr>
                <w:rFonts w:asciiTheme="minorEastAsia" w:eastAsiaTheme="minorEastAsia" w:hAnsiTheme="minorEastAsia"/>
                <w:color w:val="000000" w:themeColor="text1"/>
              </w:rPr>
              <w:t>朱晓龙</w:t>
            </w:r>
          </w:p>
        </w:tc>
        <w:tc>
          <w:tcPr>
            <w:tcW w:w="850" w:type="dxa"/>
            <w:vAlign w:val="center"/>
          </w:tcPr>
          <w:p w:rsidR="005954AE" w:rsidRDefault="00754151">
            <w:pPr>
              <w:jc w:val="center"/>
            </w:pPr>
            <w:r>
              <w:rPr>
                <w:rFonts w:asciiTheme="minorEastAsia" w:eastAsiaTheme="minorEastAsia" w:hAnsiTheme="minorEastAsia"/>
                <w:color w:val="000000" w:themeColor="text1"/>
              </w:rPr>
              <w:t>本基金基金经理、研究部总监</w:t>
            </w:r>
          </w:p>
        </w:tc>
        <w:tc>
          <w:tcPr>
            <w:tcW w:w="1560" w:type="dxa"/>
            <w:vAlign w:val="center"/>
          </w:tcPr>
          <w:p w:rsidR="005954AE" w:rsidRDefault="00754151">
            <w:pPr>
              <w:jc w:val="center"/>
            </w:pPr>
            <w:r>
              <w:rPr>
                <w:rFonts w:asciiTheme="minorEastAsia" w:eastAsiaTheme="minorEastAsia" w:hAnsiTheme="minorEastAsia"/>
                <w:color w:val="000000" w:themeColor="text1"/>
              </w:rPr>
              <w:t>2019-08-16</w:t>
            </w:r>
          </w:p>
        </w:tc>
        <w:tc>
          <w:tcPr>
            <w:tcW w:w="1559" w:type="dxa"/>
            <w:vAlign w:val="center"/>
          </w:tcPr>
          <w:p w:rsidR="005954AE" w:rsidRDefault="00754151">
            <w:pPr>
              <w:jc w:val="center"/>
            </w:pPr>
            <w:r>
              <w:rPr>
                <w:rFonts w:asciiTheme="minorEastAsia" w:eastAsiaTheme="minorEastAsia" w:hAnsiTheme="minorEastAsia"/>
                <w:color w:val="000000" w:themeColor="text1"/>
              </w:rPr>
              <w:t>-</w:t>
            </w:r>
          </w:p>
        </w:tc>
        <w:tc>
          <w:tcPr>
            <w:tcW w:w="1417" w:type="dxa"/>
            <w:vAlign w:val="center"/>
          </w:tcPr>
          <w:p w:rsidR="005954AE" w:rsidRDefault="00754151">
            <w:pPr>
              <w:jc w:val="center"/>
            </w:pPr>
            <w:r>
              <w:rPr>
                <w:rFonts w:asciiTheme="minorEastAsia" w:eastAsiaTheme="minorEastAsia" w:hAnsiTheme="minorEastAsia"/>
                <w:color w:val="000000" w:themeColor="text1"/>
              </w:rPr>
              <w:t>13年</w:t>
            </w:r>
          </w:p>
        </w:tc>
        <w:tc>
          <w:tcPr>
            <w:tcW w:w="2694" w:type="dxa"/>
            <w:vAlign w:val="center"/>
          </w:tcPr>
          <w:p w:rsidR="005954AE" w:rsidRDefault="00754151">
            <w:r>
              <w:rPr>
                <w:rFonts w:asciiTheme="minorEastAsia" w:eastAsiaTheme="minorEastAsia" w:hAnsiTheme="minorEastAsia"/>
                <w:color w:val="000000" w:themeColor="text1"/>
              </w:rPr>
              <w:t>朱晓龙先生，自2007年7月至2011年8月在平安资产管理有限责任公司担任研究员；自2011年8月起加入上投摩根基金管理有限公司，历任行业专家、研究部副总监兼基金经理助理，现任研究部总监兼基金经理。自2018年11月起担任上投摩根策略精选灵活配置混合型证券投资基金</w:t>
            </w:r>
            <w:r>
              <w:rPr>
                <w:rFonts w:asciiTheme="minorEastAsia" w:eastAsiaTheme="minorEastAsia" w:hAnsiTheme="minorEastAsia"/>
                <w:color w:val="000000" w:themeColor="text1"/>
              </w:rPr>
              <w:lastRenderedPageBreak/>
              <w:t>基金经理，自2019年7月起同时担任上投摩根大盘蓝筹股票型证券投资基金基金经理，自2019年8月起同时担任上投摩根成长先锋混合型证券投资基金基金经理，自2020年6月起同时担任上投摩根研究驱动股票型证券投资基金基金经理。</w:t>
            </w:r>
          </w:p>
        </w:tc>
      </w:tr>
      <w:tr w:rsidR="005954AE">
        <w:tc>
          <w:tcPr>
            <w:tcW w:w="851" w:type="dxa"/>
            <w:vAlign w:val="center"/>
          </w:tcPr>
          <w:p w:rsidR="005954AE" w:rsidRDefault="00754151">
            <w:pPr>
              <w:jc w:val="center"/>
            </w:pPr>
            <w:r>
              <w:rPr>
                <w:rFonts w:asciiTheme="minorEastAsia" w:eastAsiaTheme="minorEastAsia" w:hAnsiTheme="minorEastAsia"/>
                <w:color w:val="000000" w:themeColor="text1"/>
              </w:rPr>
              <w:lastRenderedPageBreak/>
              <w:t>倪权生</w:t>
            </w:r>
          </w:p>
        </w:tc>
        <w:tc>
          <w:tcPr>
            <w:tcW w:w="850" w:type="dxa"/>
            <w:vAlign w:val="center"/>
          </w:tcPr>
          <w:p w:rsidR="005954AE" w:rsidRDefault="00754151">
            <w:pPr>
              <w:jc w:val="center"/>
            </w:pPr>
            <w:r>
              <w:rPr>
                <w:rFonts w:asciiTheme="minorEastAsia" w:eastAsiaTheme="minorEastAsia" w:hAnsiTheme="minorEastAsia"/>
                <w:color w:val="000000" w:themeColor="text1"/>
              </w:rPr>
              <w:t>本基金基金经理</w:t>
            </w:r>
          </w:p>
        </w:tc>
        <w:tc>
          <w:tcPr>
            <w:tcW w:w="1560" w:type="dxa"/>
            <w:vAlign w:val="center"/>
          </w:tcPr>
          <w:p w:rsidR="005954AE" w:rsidRDefault="00754151">
            <w:pPr>
              <w:jc w:val="center"/>
            </w:pPr>
            <w:r>
              <w:rPr>
                <w:rFonts w:asciiTheme="minorEastAsia" w:eastAsiaTheme="minorEastAsia" w:hAnsiTheme="minorEastAsia"/>
                <w:color w:val="000000" w:themeColor="text1"/>
              </w:rPr>
              <w:t>2019-12-27</w:t>
            </w:r>
          </w:p>
        </w:tc>
        <w:tc>
          <w:tcPr>
            <w:tcW w:w="1559" w:type="dxa"/>
            <w:vAlign w:val="center"/>
          </w:tcPr>
          <w:p w:rsidR="005954AE" w:rsidRDefault="00754151">
            <w:pPr>
              <w:jc w:val="center"/>
            </w:pPr>
            <w:r>
              <w:rPr>
                <w:rFonts w:asciiTheme="minorEastAsia" w:eastAsiaTheme="minorEastAsia" w:hAnsiTheme="minorEastAsia"/>
                <w:color w:val="000000" w:themeColor="text1"/>
              </w:rPr>
              <w:t>-</w:t>
            </w:r>
          </w:p>
        </w:tc>
        <w:tc>
          <w:tcPr>
            <w:tcW w:w="1417" w:type="dxa"/>
            <w:vAlign w:val="center"/>
          </w:tcPr>
          <w:p w:rsidR="005954AE" w:rsidRDefault="00754151">
            <w:pPr>
              <w:jc w:val="center"/>
            </w:pPr>
            <w:r>
              <w:rPr>
                <w:rFonts w:asciiTheme="minorEastAsia" w:eastAsiaTheme="minorEastAsia" w:hAnsiTheme="minorEastAsia"/>
                <w:color w:val="000000" w:themeColor="text1"/>
              </w:rPr>
              <w:t>9年</w:t>
            </w:r>
          </w:p>
        </w:tc>
        <w:tc>
          <w:tcPr>
            <w:tcW w:w="2694" w:type="dxa"/>
            <w:vAlign w:val="center"/>
          </w:tcPr>
          <w:p w:rsidR="005954AE" w:rsidRDefault="00754151">
            <w:r>
              <w:rPr>
                <w:rFonts w:asciiTheme="minorEastAsia" w:eastAsiaTheme="minorEastAsia" w:hAnsiTheme="minorEastAsia"/>
                <w:color w:val="000000" w:themeColor="text1"/>
              </w:rPr>
              <w:t>倪权生先生，上海交通大学金融学博士。自2011年7月至2014年12月，在博时基金管理有限公司任高级研究员；2015年1月至2019年8月，在浙商基金管理有限公司历任投资经理助理、基金经理/股票投资部副总经理；2019年8月起加入上投摩根基金管理有限公司，现任国内权益投资部领先组副组长兼资深基金经理。自2019年12月起任上投摩根成长先锋混合型证券投资基金基金经理。</w:t>
            </w:r>
          </w:p>
        </w:tc>
      </w:tr>
    </w:tbl>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成长先锋混合型证券投资基金基金合同》的规定。基金经理对个股和投资组合的比例遵循了投资决策委员会的授权限制，基金投资比例符合基金合同和法律法规的要求。</w:t>
      </w: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5954AE" w:rsidRDefault="007541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w:t>
      </w:r>
      <w:r>
        <w:rPr>
          <w:rFonts w:asciiTheme="minorEastAsia" w:eastAsiaTheme="minorEastAsia" w:hAnsiTheme="minorEastAsia"/>
          <w:color w:val="000000" w:themeColor="text1"/>
        </w:rPr>
        <w:lastRenderedPageBreak/>
        <w:t>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5954AE" w:rsidRDefault="007541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5954AE" w:rsidRDefault="005954AE">
      <w:pPr>
        <w:spacing w:line="360" w:lineRule="auto"/>
        <w:ind w:firstLineChars="200" w:firstLine="480"/>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5954AE" w:rsidRDefault="007541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754151" w:rsidRPr="00B3002F" w:rsidRDefault="00754151" w:rsidP="00754151">
      <w:pPr>
        <w:spacing w:line="360" w:lineRule="auto"/>
        <w:ind w:firstLineChars="200" w:firstLine="420"/>
        <w:rPr>
          <w:rFonts w:asciiTheme="minorEastAsia" w:eastAsiaTheme="minorEastAsia" w:hAnsiTheme="minorEastAsia"/>
          <w:color w:val="000000" w:themeColor="text1"/>
        </w:rPr>
      </w:pPr>
      <w:r w:rsidRPr="00B3002F">
        <w:rPr>
          <w:rFonts w:asciiTheme="minorEastAsia" w:eastAsiaTheme="minorEastAsia" w:hAnsiTheme="minorEastAsia" w:hint="eastAsia"/>
          <w:color w:val="000000" w:themeColor="text1"/>
        </w:rPr>
        <w:t>在经历新冠疫情的冲击后，二季度市场情绪逐步改善，叠加相对宽松的流动性环境，消费、医药、科技等增长前景相对确定的板块获得较大涨幅。从经济环境看，不少产业仍然受到疫情的冲击，但市场对此冲击的影响已经有所反应。而在一季度末我们的展望中，我们认为市场仍有结构性机会，关注“新老基建”、进口替代、地产竣工链条等板块，并在二季度增加了这些行业的配置。</w:t>
      </w:r>
    </w:p>
    <w:p w:rsidR="005954AE" w:rsidRDefault="00754151" w:rsidP="00754151">
      <w:pPr>
        <w:spacing w:line="360" w:lineRule="auto"/>
        <w:ind w:firstLineChars="200" w:firstLine="420"/>
        <w:rPr>
          <w:rFonts w:asciiTheme="minorEastAsia" w:eastAsiaTheme="minorEastAsia" w:hAnsiTheme="minorEastAsia"/>
          <w:color w:val="000000" w:themeColor="text1"/>
        </w:rPr>
      </w:pPr>
      <w:r w:rsidRPr="00B3002F">
        <w:rPr>
          <w:rFonts w:asciiTheme="minorEastAsia" w:eastAsiaTheme="minorEastAsia" w:hAnsiTheme="minorEastAsia" w:hint="eastAsia"/>
          <w:color w:val="000000" w:themeColor="text1"/>
        </w:rPr>
        <w:t>展望后市，我们认为不少行业的复苏预期已经开始在股价中反应。从基本面看，我们认为前期提到的“新老基建”、地产竣工链条、消费电子、高端设备进口替代等领域增长确定性仍然比较高，而另一方面，市场对于当前估值的分化较为关注，金融地产、传统制造等行业估值处于极低水平。我们认为，在流动性较为充裕的情况下，低估值板块可能会有一定的修复。从组合管理角度，重点仍然关注中期业绩确定性高、长期具备成长性的行业或个股，重点关注传统基建和地产竣工链条中的工程机械、消费建材板块，这类行业中的龙头公司，在行业需求总量上行的同时，叠加市占率提升，有望实现较快的业绩增长；新兴产业链中，</w:t>
      </w:r>
      <w:r w:rsidRPr="00B3002F">
        <w:rPr>
          <w:rFonts w:asciiTheme="minorEastAsia" w:eastAsiaTheme="minorEastAsia" w:hAnsiTheme="minorEastAsia" w:hint="eastAsia"/>
          <w:color w:val="000000" w:themeColor="text1"/>
        </w:rPr>
        <w:lastRenderedPageBreak/>
        <w:t>创新药、消费电子、高端设备和材料具备长期增长前景，疫情过后，中国制造业的优势进一步加强，特别是在高端制造业，随着海外供给的不稳定因素增加，对国产替代的需求将进一步提升；新能源车也是重点关注的板块，汽车电动化和智能化是长期趋势，行业急速扩容，相关零配件和材料公司进入高速成长期。展望下半年，我们将在筛选中长期成长性较好的板块或个股的基础上，加大对估值的比较，把握投资</w:t>
      </w:r>
      <w:r w:rsidRPr="00B3002F">
        <w:rPr>
          <w:rFonts w:asciiTheme="minorEastAsia" w:eastAsiaTheme="minorEastAsia" w:hAnsiTheme="minorEastAsia"/>
          <w:color w:val="000000" w:themeColor="text1"/>
        </w:rPr>
        <w:t>机会，争取为投资人创造</w:t>
      </w:r>
      <w:r w:rsidRPr="00B3002F">
        <w:rPr>
          <w:rFonts w:asciiTheme="minorEastAsia" w:eastAsiaTheme="minorEastAsia" w:hAnsiTheme="minorEastAsia" w:hint="eastAsia"/>
          <w:color w:val="000000" w:themeColor="text1"/>
        </w:rPr>
        <w:t>较好收益。</w:t>
      </w:r>
    </w:p>
    <w:p w:rsidR="005954AE" w:rsidRDefault="007541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本报告期上投摩根成长先锋混合份额净值增长率为:29.91%，同期业绩比较基准收益率为:10.03%。</w:t>
      </w:r>
    </w:p>
    <w:p w:rsidR="005954AE" w:rsidRDefault="005954AE">
      <w:pPr>
        <w:spacing w:line="360" w:lineRule="auto"/>
        <w:ind w:firstLineChars="200" w:firstLine="480"/>
        <w:rPr>
          <w:rFonts w:asciiTheme="minorEastAsia" w:eastAsiaTheme="minorEastAsia" w:hAnsiTheme="minorEastAsia"/>
          <w:color w:val="000000" w:themeColor="text1"/>
          <w:sz w:val="24"/>
          <w:szCs w:val="24"/>
        </w:rPr>
      </w:pPr>
    </w:p>
    <w:p w:rsidR="005954AE" w:rsidRDefault="007541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5954AE" w:rsidRDefault="007541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5954AE" w:rsidRDefault="007541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1,813,758,662.67</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85.53</w:t>
            </w:r>
          </w:p>
        </w:tc>
      </w:tr>
      <w:tr w:rsidR="005954AE">
        <w:trPr>
          <w:jc w:val="center"/>
        </w:trPr>
        <w:tc>
          <w:tcPr>
            <w:tcW w:w="720" w:type="dxa"/>
            <w:vAlign w:val="center"/>
          </w:tcPr>
          <w:p w:rsidR="005954AE" w:rsidRDefault="005954A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954AE" w:rsidRDefault="007541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1,813,758,662.67</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85.53</w:t>
            </w:r>
          </w:p>
        </w:tc>
      </w:tr>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5954AE" w:rsidRDefault="007541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954AE">
        <w:trPr>
          <w:jc w:val="center"/>
        </w:trPr>
        <w:tc>
          <w:tcPr>
            <w:tcW w:w="720" w:type="dxa"/>
            <w:vAlign w:val="center"/>
          </w:tcPr>
          <w:p w:rsidR="005954AE" w:rsidRDefault="005954A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954AE" w:rsidRDefault="007541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954AE">
        <w:trPr>
          <w:jc w:val="center"/>
        </w:trPr>
        <w:tc>
          <w:tcPr>
            <w:tcW w:w="720" w:type="dxa"/>
            <w:vAlign w:val="center"/>
          </w:tcPr>
          <w:p w:rsidR="005954AE" w:rsidRDefault="005954A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954AE" w:rsidRDefault="00754151">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954AE">
        <w:trPr>
          <w:jc w:val="center"/>
        </w:trPr>
        <w:tc>
          <w:tcPr>
            <w:tcW w:w="720" w:type="dxa"/>
          </w:tcPr>
          <w:p w:rsidR="005954AE" w:rsidRDefault="007541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5954AE" w:rsidRDefault="00754151">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5954AE" w:rsidRDefault="00754151">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5954AE" w:rsidRDefault="007541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954AE">
        <w:trPr>
          <w:jc w:val="center"/>
        </w:trPr>
        <w:tc>
          <w:tcPr>
            <w:tcW w:w="720" w:type="dxa"/>
            <w:vAlign w:val="center"/>
          </w:tcPr>
          <w:p w:rsidR="005954AE" w:rsidRDefault="005954A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954AE" w:rsidRDefault="007541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5954AE" w:rsidRDefault="0075415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271,601,311.69</w:t>
            </w:r>
          </w:p>
        </w:tc>
        <w:tc>
          <w:tcPr>
            <w:tcW w:w="1843" w:type="dxa"/>
            <w:vAlign w:val="center"/>
          </w:tcPr>
          <w:p w:rsidR="005954AE" w:rsidRDefault="0075415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12.81</w:t>
            </w:r>
          </w:p>
        </w:tc>
      </w:tr>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5954AE" w:rsidRDefault="0075415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35,288,697.86</w:t>
            </w:r>
          </w:p>
        </w:tc>
        <w:tc>
          <w:tcPr>
            <w:tcW w:w="1843" w:type="dxa"/>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1.66</w:t>
            </w:r>
          </w:p>
        </w:tc>
      </w:tr>
      <w:tr w:rsidR="005954AE">
        <w:trPr>
          <w:jc w:val="center"/>
        </w:trPr>
        <w:tc>
          <w:tcPr>
            <w:tcW w:w="720" w:type="dxa"/>
            <w:vAlign w:val="center"/>
          </w:tcPr>
          <w:p w:rsidR="005954AE" w:rsidRDefault="0075415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8</w:t>
            </w:r>
          </w:p>
        </w:tc>
        <w:tc>
          <w:tcPr>
            <w:tcW w:w="3357" w:type="dxa"/>
            <w:vAlign w:val="center"/>
          </w:tcPr>
          <w:p w:rsidR="005954AE" w:rsidRDefault="0075415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2,120,648,672.22</w:t>
            </w:r>
          </w:p>
        </w:tc>
        <w:tc>
          <w:tcPr>
            <w:tcW w:w="1843" w:type="dxa"/>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5954AE" w:rsidRDefault="005954AE">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5954AE" w:rsidRDefault="00754151">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954A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57,269,800.00</w:t>
            </w:r>
          </w:p>
          <w:p w:rsidR="005954AE" w:rsidRDefault="005954AE">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2.73</w:t>
            </w:r>
          </w:p>
          <w:p w:rsidR="005954AE" w:rsidRDefault="005954AE">
            <w:pPr>
              <w:jc w:val="right"/>
              <w:rPr>
                <w:rFonts w:asciiTheme="minorEastAsia" w:eastAsiaTheme="minorEastAsia" w:hAnsiTheme="minorEastAsia" w:cs="宋体"/>
                <w:color w:val="000000" w:themeColor="text1"/>
                <w:kern w:val="0"/>
              </w:rPr>
            </w:pP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1,567,267,958.89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74.58</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12,766.32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16,488,390.98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0.78</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116,504,797.48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5.54</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19,766,320.00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0.94</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36,448,629.00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1.73</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954A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5954AE">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954AE" w:rsidRDefault="0075415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1,813,758,662.67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954AE" w:rsidRDefault="0075415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86.31</w:t>
            </w:r>
          </w:p>
        </w:tc>
      </w:tr>
    </w:tbl>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5954AE">
        <w:tc>
          <w:tcPr>
            <w:tcW w:w="817" w:type="dxa"/>
            <w:vAlign w:val="center"/>
          </w:tcPr>
          <w:p w:rsidR="005954AE" w:rsidRDefault="007541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5954AE" w:rsidRDefault="007541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5954AE" w:rsidRDefault="007541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5954AE" w:rsidRDefault="007541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5954AE" w:rsidRDefault="0075415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1</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600984</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建设机械</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5,390,812</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133,692,137.60</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6.36</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2</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300132</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青松股份</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3,760,335</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86,863,738.50</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4.13</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3</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601012</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隆基股份</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1,984,470</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80,827,463.10</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3.85</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lastRenderedPageBreak/>
              <w:t>4</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300014</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亿纬锂能</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1,624,112</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77,713,759.20</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3.70</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5</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002126</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银轮股份</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6,215,064</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76,072,383.36</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3.62</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6</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002475</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立讯精密</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1,289,826</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66,232,565.10</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3.15</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7</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000661</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长春高新</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144,714</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62,994,004.20</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3.00</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8</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002271</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东方雨虹</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1,443,653</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58,655,621.39</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2.79</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9</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002918</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蒙娜丽莎</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1,907,217</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57,044,860.47</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2.71</w:t>
            </w:r>
          </w:p>
        </w:tc>
      </w:tr>
      <w:tr w:rsidR="005954AE">
        <w:tc>
          <w:tcPr>
            <w:tcW w:w="817" w:type="dxa"/>
            <w:vAlign w:val="center"/>
          </w:tcPr>
          <w:p w:rsidR="005954AE" w:rsidRDefault="00754151">
            <w:pPr>
              <w:jc w:val="center"/>
            </w:pPr>
            <w:r>
              <w:rPr>
                <w:rFonts w:asciiTheme="minorEastAsia" w:eastAsiaTheme="minorEastAsia" w:hAnsiTheme="minorEastAsia" w:cs="宋体"/>
                <w:color w:val="000000" w:themeColor="text1"/>
                <w:kern w:val="0"/>
              </w:rPr>
              <w:t>10</w:t>
            </w:r>
          </w:p>
        </w:tc>
        <w:tc>
          <w:tcPr>
            <w:tcW w:w="1276" w:type="dxa"/>
            <w:vAlign w:val="center"/>
          </w:tcPr>
          <w:p w:rsidR="005954AE" w:rsidRDefault="00754151">
            <w:pPr>
              <w:jc w:val="center"/>
            </w:pPr>
            <w:r>
              <w:rPr>
                <w:rFonts w:asciiTheme="minorEastAsia" w:eastAsiaTheme="minorEastAsia" w:hAnsiTheme="minorEastAsia" w:cs="宋体"/>
                <w:color w:val="000000" w:themeColor="text1"/>
                <w:kern w:val="0"/>
              </w:rPr>
              <w:t>300750</w:t>
            </w:r>
          </w:p>
        </w:tc>
        <w:tc>
          <w:tcPr>
            <w:tcW w:w="1701" w:type="dxa"/>
            <w:vAlign w:val="center"/>
          </w:tcPr>
          <w:p w:rsidR="005954AE" w:rsidRDefault="00754151">
            <w:pPr>
              <w:jc w:val="center"/>
            </w:pPr>
            <w:r>
              <w:rPr>
                <w:rFonts w:asciiTheme="minorEastAsia" w:eastAsiaTheme="minorEastAsia" w:hAnsiTheme="minorEastAsia" w:cs="宋体"/>
                <w:color w:val="000000" w:themeColor="text1"/>
                <w:kern w:val="0"/>
              </w:rPr>
              <w:t>宁德时代</w:t>
            </w:r>
          </w:p>
        </w:tc>
        <w:tc>
          <w:tcPr>
            <w:tcW w:w="1276" w:type="dxa"/>
            <w:vAlign w:val="center"/>
          </w:tcPr>
          <w:p w:rsidR="005954AE" w:rsidRDefault="00754151">
            <w:pPr>
              <w:jc w:val="right"/>
            </w:pPr>
            <w:r>
              <w:rPr>
                <w:rFonts w:asciiTheme="minorEastAsia" w:eastAsiaTheme="minorEastAsia" w:hAnsiTheme="minorEastAsia" w:cs="宋体"/>
                <w:color w:val="000000" w:themeColor="text1"/>
                <w:kern w:val="0"/>
              </w:rPr>
              <w:t>314,443</w:t>
            </w:r>
          </w:p>
        </w:tc>
        <w:tc>
          <w:tcPr>
            <w:tcW w:w="1842" w:type="dxa"/>
            <w:vAlign w:val="center"/>
          </w:tcPr>
          <w:p w:rsidR="005954AE" w:rsidRDefault="00754151">
            <w:pPr>
              <w:jc w:val="right"/>
            </w:pPr>
            <w:r>
              <w:rPr>
                <w:rFonts w:asciiTheme="minorEastAsia" w:eastAsiaTheme="minorEastAsia" w:hAnsiTheme="minorEastAsia" w:cs="宋体"/>
                <w:color w:val="000000" w:themeColor="text1"/>
                <w:kern w:val="0"/>
              </w:rPr>
              <w:t>54,826,281.48</w:t>
            </w:r>
          </w:p>
        </w:tc>
        <w:tc>
          <w:tcPr>
            <w:tcW w:w="1616" w:type="dxa"/>
            <w:vAlign w:val="center"/>
          </w:tcPr>
          <w:p w:rsidR="005954AE" w:rsidRDefault="00754151">
            <w:pPr>
              <w:jc w:val="right"/>
            </w:pPr>
            <w:r>
              <w:rPr>
                <w:rFonts w:asciiTheme="minorEastAsia" w:eastAsiaTheme="minorEastAsia" w:hAnsiTheme="minorEastAsia" w:cs="宋体"/>
                <w:color w:val="000000" w:themeColor="text1"/>
                <w:kern w:val="0"/>
              </w:rPr>
              <w:t>2.61</w:t>
            </w:r>
          </w:p>
        </w:tc>
      </w:tr>
    </w:tbl>
    <w:p w:rsidR="005954AE" w:rsidRDefault="005954A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5954AE" w:rsidRDefault="005954A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5954AE" w:rsidRDefault="00754151">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5954AE" w:rsidRDefault="005954A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5954AE" w:rsidRDefault="005954AE">
      <w:pPr>
        <w:adjustRightInd w:val="0"/>
        <w:snapToGrid w:val="0"/>
        <w:spacing w:line="360" w:lineRule="exact"/>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5954AE" w:rsidRDefault="007541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w:t>
      </w:r>
      <w:r>
        <w:rPr>
          <w:rFonts w:asciiTheme="minorEastAsia" w:eastAsiaTheme="minorEastAsia" w:hAnsiTheme="minorEastAsia"/>
          <w:color w:val="000000" w:themeColor="text1"/>
          <w:sz w:val="24"/>
          <w:szCs w:val="24"/>
        </w:rPr>
        <w:lastRenderedPageBreak/>
        <w:t>立案调查，或在报告编制日前一年内受到公开谴责、处罚的情形。</w:t>
      </w:r>
    </w:p>
    <w:p w:rsidR="005954AE" w:rsidRDefault="0075415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5954AE">
        <w:tc>
          <w:tcPr>
            <w:tcW w:w="1235"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5954AE" w:rsidRDefault="0075415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974,917.02</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32,687,719.85</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58,793.23</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1,567,267.76</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954AE">
        <w:tc>
          <w:tcPr>
            <w:tcW w:w="1235" w:type="dxa"/>
            <w:vAlign w:val="center"/>
          </w:tcPr>
          <w:p w:rsidR="005954AE" w:rsidRDefault="0075415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5954AE" w:rsidRDefault="0075415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35,288,697.86</w:t>
            </w:r>
          </w:p>
        </w:tc>
      </w:tr>
    </w:tbl>
    <w:p w:rsidR="005954AE" w:rsidRDefault="005954AE">
      <w:pPr>
        <w:autoSpaceDE w:val="0"/>
        <w:autoSpaceDN w:val="0"/>
        <w:adjustRightInd w:val="0"/>
        <w:spacing w:line="360" w:lineRule="auto"/>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5954AE" w:rsidRDefault="005954AE">
      <w:pPr>
        <w:autoSpaceDE w:val="0"/>
        <w:autoSpaceDN w:val="0"/>
        <w:adjustRightInd w:val="0"/>
        <w:spacing w:line="360" w:lineRule="auto"/>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5954AE" w:rsidRDefault="005954AE">
      <w:pPr>
        <w:autoSpaceDE w:val="0"/>
        <w:autoSpaceDN w:val="0"/>
        <w:adjustRightInd w:val="0"/>
        <w:spacing w:line="360" w:lineRule="auto"/>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5954AE" w:rsidRDefault="007541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5954AE" w:rsidRDefault="0075415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5954AE">
        <w:tc>
          <w:tcPr>
            <w:tcW w:w="4609"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1,494,593,830.99</w:t>
            </w:r>
          </w:p>
        </w:tc>
      </w:tr>
      <w:tr w:rsidR="005954AE">
        <w:tc>
          <w:tcPr>
            <w:tcW w:w="4609"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45,674,334.48</w:t>
            </w:r>
          </w:p>
        </w:tc>
      </w:tr>
      <w:tr w:rsidR="005954AE">
        <w:tc>
          <w:tcPr>
            <w:tcW w:w="4609"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39,580,046.55</w:t>
            </w:r>
          </w:p>
        </w:tc>
      </w:tr>
      <w:tr w:rsidR="005954AE">
        <w:tc>
          <w:tcPr>
            <w:tcW w:w="4609"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5954AE">
        <w:tc>
          <w:tcPr>
            <w:tcW w:w="4609" w:type="dxa"/>
            <w:tcBorders>
              <w:top w:val="single" w:sz="8" w:space="0" w:color="000000"/>
              <w:left w:val="single" w:sz="8" w:space="0" w:color="000000"/>
              <w:bottom w:val="single" w:sz="8" w:space="0" w:color="000000"/>
              <w:right w:val="single" w:sz="8" w:space="0" w:color="000000"/>
            </w:tcBorders>
            <w:vAlign w:val="center"/>
          </w:tcPr>
          <w:p w:rsidR="005954AE" w:rsidRDefault="0075415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954AE" w:rsidRDefault="008153EE" w:rsidP="008153EE">
            <w:pPr>
              <w:widowControl/>
              <w:jc w:val="right"/>
              <w:rPr>
                <w:rFonts w:asciiTheme="minorEastAsia" w:eastAsiaTheme="minorEastAsia" w:hAnsiTheme="minorEastAsia" w:cs="宋体"/>
                <w:color w:val="000000" w:themeColor="text1"/>
              </w:rPr>
            </w:pPr>
            <w:r w:rsidRPr="008153EE">
              <w:rPr>
                <w:rFonts w:asciiTheme="minorEastAsia" w:eastAsiaTheme="minorEastAsia" w:hAnsiTheme="minorEastAsia" w:cs="宋体" w:hint="eastAsia"/>
                <w:color w:val="000000" w:themeColor="text1"/>
              </w:rPr>
              <w:t>1,500,688,118.92</w:t>
            </w:r>
          </w:p>
        </w:tc>
      </w:tr>
    </w:tbl>
    <w:p w:rsidR="005954AE" w:rsidRDefault="00754151">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5954AE" w:rsidRDefault="00754151">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5954AE" w:rsidRDefault="0075415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5954AE" w:rsidRDefault="005954AE">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5954AE" w:rsidRDefault="0075415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1、中国证监会批准上投摩根成长先锋混合型证券投资基金设立的文件；</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2、《上投摩根成长先锋混合型证券投资基金基金合同》；</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3、《上投摩根成长先锋混合型证券投资基金托管协议》；</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4、《上投摩根开放式基金业务规则》；</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5954AE" w:rsidRDefault="005954AE">
      <w:pPr>
        <w:spacing w:line="360" w:lineRule="auto"/>
        <w:ind w:firstLineChars="200" w:firstLine="480"/>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5954AE" w:rsidRDefault="005954AE">
      <w:pPr>
        <w:spacing w:line="360" w:lineRule="auto"/>
        <w:ind w:firstLineChars="200" w:firstLine="480"/>
        <w:rPr>
          <w:rFonts w:asciiTheme="minorEastAsia" w:eastAsiaTheme="minorEastAsia" w:hAnsiTheme="minorEastAsia"/>
          <w:color w:val="000000" w:themeColor="text1"/>
          <w:sz w:val="24"/>
          <w:szCs w:val="24"/>
        </w:rPr>
      </w:pPr>
    </w:p>
    <w:p w:rsidR="005954AE" w:rsidRDefault="0075415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5954AE" w:rsidRDefault="0075415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5954AE">
      <w:pPr>
        <w:spacing w:line="360" w:lineRule="auto"/>
        <w:ind w:left="840"/>
        <w:jc w:val="right"/>
        <w:rPr>
          <w:rFonts w:asciiTheme="minorEastAsia" w:eastAsiaTheme="minorEastAsia" w:hAnsiTheme="minorEastAsia"/>
          <w:color w:val="000000" w:themeColor="text1"/>
          <w:sz w:val="24"/>
          <w:szCs w:val="24"/>
        </w:rPr>
      </w:pPr>
    </w:p>
    <w:p w:rsidR="005954AE" w:rsidRDefault="0075415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5954AE" w:rsidRDefault="0075415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二〇二〇年七月二十一日</w:t>
      </w:r>
    </w:p>
    <w:p w:rsidR="005954AE" w:rsidRDefault="005954AE">
      <w:pPr>
        <w:spacing w:line="360" w:lineRule="auto"/>
        <w:ind w:left="840"/>
        <w:jc w:val="right"/>
        <w:rPr>
          <w:rFonts w:asciiTheme="minorEastAsia" w:eastAsiaTheme="minorEastAsia" w:hAnsiTheme="minorEastAsia"/>
          <w:b/>
          <w:bCs/>
          <w:color w:val="000000" w:themeColor="text1"/>
          <w:sz w:val="24"/>
          <w:szCs w:val="24"/>
        </w:rPr>
      </w:pPr>
    </w:p>
    <w:p w:rsidR="005954AE" w:rsidRDefault="005954AE">
      <w:pPr>
        <w:rPr>
          <w:rFonts w:asciiTheme="minorEastAsia" w:eastAsiaTheme="minorEastAsia" w:hAnsiTheme="minorEastAsia"/>
          <w:color w:val="000000" w:themeColor="text1"/>
          <w:sz w:val="24"/>
          <w:szCs w:val="24"/>
        </w:rPr>
      </w:pPr>
    </w:p>
    <w:sectPr w:rsidR="005954AE">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F5" w:rsidRDefault="00754151">
      <w:r>
        <w:separator/>
      </w:r>
    </w:p>
  </w:endnote>
  <w:endnote w:type="continuationSeparator" w:id="0">
    <w:p w:rsidR="00356CF5" w:rsidRDefault="0075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AE" w:rsidRDefault="00754151">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5206EB" w:rsidRPr="005206EB">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AE" w:rsidRDefault="00754151">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5206EB">
      <w:rPr>
        <w:rStyle w:val="aff"/>
        <w:noProof/>
      </w:rPr>
      <w:t>2</w:t>
    </w:r>
    <w:r>
      <w:rPr>
        <w:rStyle w:val="aff"/>
      </w:rPr>
      <w:fldChar w:fldCharType="end"/>
    </w:r>
  </w:p>
  <w:p w:rsidR="005954AE" w:rsidRDefault="005954A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F5" w:rsidRDefault="00754151">
      <w:r>
        <w:separator/>
      </w:r>
    </w:p>
  </w:footnote>
  <w:footnote w:type="continuationSeparator" w:id="0">
    <w:p w:rsidR="00356CF5" w:rsidRDefault="0075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AE" w:rsidRDefault="00754151">
    <w:pPr>
      <w:pStyle w:val="af6"/>
      <w:pBdr>
        <w:bottom w:val="single" w:sz="6" w:space="0" w:color="auto"/>
      </w:pBdr>
      <w:jc w:val="right"/>
    </w:pPr>
    <w:r>
      <w:rPr>
        <w:rFonts w:hint="eastAsia"/>
      </w:rPr>
      <w:t>上投摩根成长先锋混合型证券投资基金</w:t>
    </w:r>
    <w:r>
      <w:rPr>
        <w:rFonts w:hint="eastAsia"/>
      </w:rPr>
      <w:t>2020</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56CF5"/>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06EB"/>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954AE"/>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4151"/>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3EE"/>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002F"/>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5F5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CB76C-AF10-40CE-95FA-84DEC233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7F1CB-12AF-4ACD-A9B9-77C2A12F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Cifm</cp:lastModifiedBy>
  <cp:revision>269</cp:revision>
  <dcterms:created xsi:type="dcterms:W3CDTF">2012-10-16T06:07:00Z</dcterms:created>
  <dcterms:modified xsi:type="dcterms:W3CDTF">2020-07-20T06:17:00Z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