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397616" w:rsidR="00397616" w:rsidRDefault="00397616"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F22F00" w:rsidR="00F22F00" w:rsidRDefault="00F22F00"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506D57" w:rsidR="00F22F00" w:rsidRDefault="00F22F00" w:rsidRPr="008277FF">
      <w:pPr>
        <w:spacing w:line="360" w:lineRule="auto"/>
        <w:jc w:val="center"/>
        <w:rPr>
          <w:rFonts w:asciiTheme="minorEastAsia" w:eastAsiaTheme="minorEastAsia" w:hAnsiTheme="minorEastAsia"/>
          <w:b/>
          <w:color w:themeColor="text1" w:val="000000"/>
          <w:sz w:val="36"/>
          <w:szCs w:val="36"/>
        </w:rPr>
      </w:pPr>
      <w:r w:rsidRPr="008277FF">
        <w:rPr>
          <w:rFonts w:asciiTheme="minorEastAsia" w:eastAsiaTheme="minorEastAsia" w:hAnsiTheme="minorEastAsia" w:hint="eastAsia"/>
          <w:b/>
          <w:color w:themeColor="text1" w:val="000000"/>
          <w:sz w:val="36"/>
          <w:szCs w:val="36"/>
        </w:rPr>
        <w:t/>
      </w:r>
      <w:r w:rsidRPr="008277FF">
        <w:rPr>
          <w:rFonts w:asciiTheme="minorEastAsia" w:eastAsiaTheme="minorEastAsia" w:hAnsiTheme="minorEastAsia"/>
          <w:b/>
          <w:color w:themeColor="text1" w:val="000000"/>
          <w:sz w:val="36"/>
          <w:szCs w:val="36"/>
        </w:rPr>
        <w:t/>
      </w:r>
      <w:r w:rsidRPr="008277FF">
        <w:rPr>
          <w:rFonts w:asciiTheme="minorEastAsia" w:eastAsiaTheme="minorEastAsia" w:hAnsiTheme="minorEastAsia" w:hint="eastAsia"/>
          <w:b/>
          <w:color w:themeColor="text1" w:val="000000"/>
          <w:sz w:val="36"/>
          <w:szCs w:val="36"/>
        </w:rPr>
        <w:t/>
      </w:r>
      <w:r w:rsidRPr="008277FF">
        <w:rPr>
          <w:rFonts w:asciiTheme="minorEastAsia" w:eastAsiaTheme="minorEastAsia" w:hAnsiTheme="minorEastAsia"/>
          <w:b/>
          <w:color w:themeColor="text1" w:val="000000"/>
          <w:sz w:val="36"/>
          <w:szCs w:val="36"/>
        </w:rPr>
        <w:t/>
      </w:r>
      <w:r w:rsidRPr="008277FF">
        <w:rPr>
          <w:rFonts w:asciiTheme="minorEastAsia" w:eastAsiaTheme="minorEastAsia" w:hAnsiTheme="minorEastAsia" w:hint="eastAsia"/>
          <w:b/>
          <w:color w:themeColor="text1" w:val="000000"/>
          <w:sz w:val="36"/>
          <w:szCs w:val="36"/>
        </w:rPr>
        <w:t>上投摩根全球新兴市场混合型证券投资基金</w:t>
      </w:r>
    </w:p>
    <w:p w:rsidP="00506D57" w:rsidR="00F22F00" w:rsidRDefault="00F22F00" w:rsidRPr="008277FF">
      <w:pPr>
        <w:spacing w:line="360" w:lineRule="auto"/>
        <w:jc w:val="center"/>
        <w:rPr>
          <w:rFonts w:asciiTheme="minorEastAsia" w:eastAsiaTheme="minorEastAsia" w:hAnsiTheme="minorEastAsia"/>
          <w:b/>
          <w:color w:themeColor="text1" w:val="000000"/>
          <w:sz w:val="36"/>
          <w:szCs w:val="36"/>
        </w:rPr>
      </w:pPr>
      <w:r w:rsidRPr="008277FF">
        <w:rPr>
          <w:rFonts w:asciiTheme="minorEastAsia" w:eastAsiaTheme="minorEastAsia" w:hAnsiTheme="minorEastAsia" w:hint="eastAsia"/>
          <w:b/>
          <w:color w:themeColor="text1" w:val="000000"/>
          <w:sz w:val="36"/>
          <w:szCs w:val="36"/>
        </w:rPr>
        <w:t>2019年第1季度报告</w:t>
      </w:r>
    </w:p>
    <w:p w:rsidP="00506D57" w:rsidR="00397616" w:rsidRDefault="00623556" w:rsidRPr="008277FF">
      <w:pPr>
        <w:spacing w:line="360" w:lineRule="auto"/>
        <w:jc w:val="center"/>
        <w:rPr>
          <w:rFonts w:asciiTheme="minorEastAsia" w:eastAsiaTheme="minorEastAsia" w:hAnsiTheme="minorEastAsia"/>
          <w:b/>
          <w:color w:themeColor="text1" w:val="000000"/>
          <w:sz w:val="24"/>
        </w:rPr>
      </w:pPr>
      <w:r w:rsidRPr="008277FF">
        <w:rPr>
          <w:rFonts w:asciiTheme="minorEastAsia" w:eastAsiaTheme="minorEastAsia" w:hAnsiTheme="minorEastAsia"/>
          <w:b/>
          <w:color w:themeColor="text1" w:val="000000"/>
          <w:sz w:val="24"/>
        </w:rPr>
        <w:t>2019年3月31日</w:t>
      </w: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397616" w:rsidR="00397616" w:rsidRDefault="00397616" w:rsidRPr="008277FF">
      <w:pPr>
        <w:spacing w:line="360" w:lineRule="auto"/>
        <w:jc w:val="center"/>
        <w:rPr>
          <w:rFonts w:asciiTheme="minorEastAsia" w:eastAsiaTheme="minorEastAsia" w:hAnsiTheme="minorEastAsia"/>
          <w:b/>
          <w:color w:themeColor="text1" w:val="000000"/>
          <w:sz w:val="24"/>
        </w:rPr>
      </w:pPr>
    </w:p>
    <w:p w:rsidP="00826B12" w:rsidR="00397616" w:rsidRDefault="00397616" w:rsidRPr="008277FF">
      <w:pPr>
        <w:spacing w:line="288" w:lineRule="auto"/>
        <w:ind w:firstLine="2168" w:firstLineChars="900"/>
        <w:rPr>
          <w:rFonts w:asciiTheme="minorEastAsia" w:eastAsiaTheme="minorEastAsia" w:hAnsiTheme="minorEastAsia"/>
          <w:b/>
          <w:color w:themeColor="text1" w:val="000000"/>
          <w:sz w:val="24"/>
        </w:rPr>
      </w:pPr>
    </w:p>
    <w:p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pPr>
      <w:r w:rsidRPr="008277FF">
        <w:rPr>
          <w:rFonts w:asciiTheme="minorEastAsia" w:eastAsiaTheme="minorEastAsia" w:hAnsiTheme="minorEastAsia" w:hint="eastAsia"/>
          <w:b/>
          <w:color w:themeColor="text1" w:val="000000"/>
          <w:sz w:val="24"/>
        </w:rPr>
        <w:t>基金管理人：</w:t>
      </w:r>
      <w:r w:rsidRPr="008277FF">
        <w:rPr>
          <w:rFonts w:asciiTheme="minorEastAsia" w:eastAsiaTheme="minorEastAsia" w:hAnsiTheme="minorEastAsia"/>
          <w:b/>
          <w:color w:themeColor="text1" w:val="000000"/>
          <w:sz w:val="24"/>
        </w:rPr>
        <w:t>上投摩根基金管理有限公司</w:t>
      </w:r>
    </w:p>
    <w:p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pPr>
      <w:r w:rsidRPr="008277FF">
        <w:rPr>
          <w:rFonts w:asciiTheme="minorEastAsia" w:eastAsiaTheme="minorEastAsia" w:hAnsiTheme="minorEastAsia" w:hint="eastAsia"/>
          <w:b/>
          <w:color w:themeColor="text1" w:val="000000"/>
          <w:sz w:val="24"/>
        </w:rPr>
        <w:t>基金托管人：</w:t>
      </w:r>
      <w:r w:rsidRPr="008277FF">
        <w:rPr>
          <w:rFonts w:asciiTheme="minorEastAsia" w:eastAsiaTheme="minorEastAsia" w:hAnsiTheme="minorEastAsia"/>
          <w:b/>
          <w:color w:themeColor="text1" w:val="000000"/>
          <w:sz w:val="24"/>
        </w:rPr>
        <w:t>中国建设银行股份有限公司</w:t>
      </w:r>
    </w:p>
    <w:p w:rsidP="00506D57" w:rsidR="007D1292" w:rsidRDefault="007D1292" w:rsidRPr="008277FF">
      <w:pPr>
        <w:spacing w:line="360" w:lineRule="auto"/>
        <w:ind w:firstLine="2168" w:firstLineChars="900"/>
        <w:rPr>
          <w:rFonts w:asciiTheme="minorEastAsia" w:eastAsiaTheme="minorEastAsia" w:hAnsiTheme="minorEastAsia"/>
          <w:b/>
          <w:color w:themeColor="text1" w:val="000000"/>
          <w:sz w:val="24"/>
        </w:rPr>
        <w:sectPr w:rsidR="007D1292" w:rsidRPr="008277FF" w:rsidSect="00B918B8">
          <w:headerReference r:id="rId7" w:type="default"/>
          <w:footerReference r:id="rId8" w:type="default"/>
          <w:pgSz w:h="15840" w:w="11926"/>
          <w:pgMar w:bottom="851" w:footer="992" w:gutter="0" w:header="851" w:left="1418" w:right="1418" w:top="1418"/>
          <w:cols w:space="720"/>
          <w:noEndnote/>
        </w:sectPr>
      </w:pPr>
      <w:r w:rsidRPr="008277FF">
        <w:rPr>
          <w:rFonts w:asciiTheme="minorEastAsia" w:eastAsiaTheme="minorEastAsia" w:hAnsiTheme="minorEastAsia" w:hint="eastAsia"/>
          <w:b/>
          <w:color w:themeColor="text1" w:val="000000"/>
          <w:sz w:val="24"/>
        </w:rPr>
        <w:t>报告送出日期：</w:t>
      </w:r>
      <w:r w:rsidR="00CB44DE" w:rsidRPr="008277FF">
        <w:rPr>
          <w:rFonts w:asciiTheme="minorEastAsia" w:eastAsiaTheme="minorEastAsia" w:hAnsiTheme="minorEastAsia"/>
          <w:b/>
          <w:color w:themeColor="text1" w:val="000000"/>
          <w:sz w:val="24"/>
        </w:rPr>
        <w:t/>
      </w:r>
      <w:r w:rsidR="00CB44DE" w:rsidRPr="008277FF">
        <w:rPr>
          <w:rFonts w:asciiTheme="minorEastAsia" w:eastAsiaTheme="minorEastAsia" w:hAnsiTheme="minorEastAsia" w:hint="eastAsia"/>
          <w:b/>
          <w:color w:themeColor="text1" w:val="000000"/>
          <w:sz w:val="24"/>
        </w:rPr>
        <w:t/>
      </w:r>
      <w:r w:rsidR="00623556" w:rsidRPr="008277FF">
        <w:rPr>
          <w:rFonts w:asciiTheme="minorEastAsia" w:eastAsiaTheme="minorEastAsia" w:hAnsiTheme="minorEastAsia" w:hint="eastAsia"/>
          <w:b/>
          <w:color w:themeColor="text1" w:val="000000"/>
          <w:sz w:val="24"/>
        </w:rPr>
        <w:t/>
      </w:r>
      <w:r w:rsidR="00CB44DE" w:rsidRPr="008277FF">
        <w:rPr>
          <w:rFonts w:asciiTheme="minorEastAsia" w:eastAsiaTheme="minorEastAsia" w:hAnsiTheme="minorEastAsia"/>
          <w:b/>
          <w:color w:themeColor="text1" w:val="000000"/>
          <w:sz w:val="24"/>
        </w:rPr>
        <w:t>二〇一九年四月十九日</w:t>
      </w:r>
    </w:p>
    <w:p w:rsidP="007449EE" w:rsidR="0076518F" w:rsidRDefault="0076518F" w:rsidRPr="008277FF">
      <w:pPr>
        <w:pStyle w:val="1"/>
        <w:spacing w:afterLines="100" w:beforeLines="100" w:line="360" w:lineRule="auto"/>
        <w:jc w:val="center"/>
        <w:rPr>
          <w:rFonts w:asciiTheme="minorEastAsia" w:cs="Arial" w:eastAsiaTheme="minorEastAsia" w:hAnsiTheme="minorEastAsia"/>
          <w:b w:val="0"/>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lastRenderedPageBreak/>
        <w:t>§</w:t>
      </w:r>
      <w:r w:rsidRPr="008277FF">
        <w:rPr>
          <w:rFonts w:asciiTheme="minorEastAsia" w:cs="Arial" w:eastAsiaTheme="minorEastAsia" w:hAnsiTheme="minorEastAsia"/>
          <w:color w:themeColor="text1" w:val="000000"/>
          <w:kern w:val="0"/>
          <w:sz w:val="24"/>
          <w:szCs w:val="24"/>
        </w:rPr>
        <w:t xml:space="preserve">1  </w:t>
      </w:r>
      <w:r w:rsidRPr="008277FF">
        <w:rPr>
          <w:rFonts w:asciiTheme="minorEastAsia" w:cs="Arial"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基金托管人中国建设银行股份有限公司根据本基金合同规定，于2019年4月18日复核了本报告中的财务指标、净值表现和投资组合报告等内容，保证复核内容不存在虚假记载、误导性陈述或者重大遗漏。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本报告中财务资料未经审计。</w:t>
      </w:r>
    </w:p>
    <w:p w:rsidP="006669C9" w:rsidR="007D1292" w:rsidRDefault="007D1292"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本报告期自2019年1月1日起至3月31日止。</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2  </w:t>
      </w:r>
      <w:r w:rsidRPr="008277FF">
        <w:rPr>
          <w:rFonts w:asciiTheme="minorEastAsia" w:cs="Arial" w:eastAsiaTheme="minorEastAsia" w:hAnsiTheme="minorEastAsia" w:hint="eastAsia"/>
          <w:color w:themeColor="text1" w:val="000000"/>
          <w:kern w:val="0"/>
          <w:sz w:val="24"/>
          <w:szCs w:val="24"/>
        </w:rPr>
        <w:t>基金产品概况</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2977"/>
        <w:gridCol w:w="2721"/>
        <w:gridCol w:w="2722"/>
      </w:tblGrid>
      <w:tr w:rsidR="008277FF" w:rsidRPr="008277FF" w:rsidTr="006669C9">
        <w:tc>
          <w:tcPr>
            <w:tcW w:type="dxa" w:w="2977"/>
            <w:vAlign w:val="center"/>
          </w:tcPr>
          <w:p w:rsidP="006669C9" w:rsidR="00363E15" w:rsidRDefault="00363E15"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基金简称</w:t>
            </w:r>
          </w:p>
        </w:tc>
        <w:tc>
          <w:tcPr>
            <w:tcW w:type="dxa" w:w="5443"/>
            <w:gridSpan w:val="2"/>
            <w:vAlign w:val="center"/>
          </w:tcPr>
          <w:p w:rsidP="006669C9" w:rsidR="00363E15" w:rsidRDefault="00363E15"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上投摩根全球新兴市场混合(QDII)</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基金主代码</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378006</w:t>
            </w:r>
          </w:p>
        </w:tc>
      </w:tr>
      <w:tr w:rsidR="008277FF" w:rsidRPr="008277FF" w:rsidTr="006669C9">
        <w:tc>
          <w:tcPr>
            <w:tcW w:type="dxa" w:w="2977"/>
            <w:vAlign w:val="center"/>
          </w:tcPr>
          <w:p w:rsidP="006669C9" w:rsidR="005837E4" w:rsidRDefault="005837E4"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交易代码</w:t>
            </w:r>
          </w:p>
        </w:tc>
        <w:tc>
          <w:tcPr>
            <w:tcW w:type="dxa" w:w="5443"/>
            <w:gridSpan w:val="2"/>
            <w:vAlign w:val="center"/>
          </w:tcPr>
          <w:p w:rsidP="006669C9" w:rsidR="005837E4" w:rsidRDefault="005837E4"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378006</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基金运作方式</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契约型开放式</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基金合同生效日</w:t>
            </w:r>
          </w:p>
        </w:tc>
        <w:tc>
          <w:tcPr>
            <w:tcW w:type="dxa" w:w="5443"/>
            <w:gridSpan w:val="2"/>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2011年1月30日</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报告期末基金份额总额</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70,354,195.50</w:t>
            </w:r>
            <w:r w:rsidRPr="008277FF">
              <w:rPr>
                <w:rFonts w:asciiTheme="minorEastAsia" w:eastAsiaTheme="minorEastAsia" w:hAnsiTheme="minorEastAsia" w:hint="eastAsia"/>
                <w:color w:themeColor="text1" w:val="000000"/>
                <w:kern w:val="0"/>
                <w:szCs w:val="21"/>
              </w:rPr>
              <w:t>份</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投资目标</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本基金主要投资于新兴市场以及在其他证券市场交易的新兴市场企业，通过深入挖掘新兴市场企业的投资价值，努力实现基金资产的稳健增值。</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投资策略</w:t>
            </w:r>
          </w:p>
        </w:tc>
        <w:tc>
          <w:tcPr>
            <w:tcW w:type="dxa" w:w="5443"/>
            <w:gridSpan w:val="2"/>
            <w:vAlign w:val="center"/>
          </w:tcPr>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新兴市场所属国家和地区经济发展多处于转型阶段，劳动力成本低，自然资源丰富，与发达国家与地区比较，其经济发展速度一般相对较高。本基金将充分分享新兴市场经济高增长成果，审慎把握新兴市场的投资机会，争取为投资者带来长期稳健回报。</w:t>
            </w:r>
          </w:p>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总体上本基金将采取自上而下与自下而上相结合的投资策略。首先通过考察不同国家的发展趋势及不同行业的景气程度，决定地区与板块的基本布局；其次采取自下而上的选股策略，在对股票进行基本面分析的同时，通过深入研究股票的价值与动量特性，选取目标投资对象。在固定收益类投资部分，本基金将综合考虑资产布局的安全性、流动性与收益性，并结合现金管理要求等来制订具体策略。</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业绩比较基准</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本基金的业绩比较基准为：MSCI新兴市场股票指数（总回报）</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风险收益特征</w:t>
            </w:r>
          </w:p>
        </w:tc>
        <w:tc>
          <w:tcPr>
            <w:tcW w:type="dxa" w:w="5443"/>
            <w:gridSpan w:val="2"/>
            <w:vAlign w:val="center"/>
          </w:tcPr>
          <w:p>
            <w:pPr>
              <w:adjustRightInd w:val="0"/>
              <w:spacing w:before="29" w:line="360" w:lineRule="auto"/>
              <w:ind w:left="17"/>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kern w:val="0"/>
                <w:szCs w:val="21"/>
              </w:rPr>
              <w:t>本基金是混合型证券投资基金，预期收益及预期风险水平低于股票型基金，高于债券型基金和货币市场基金，属于较高预期收益和预期风险水平的投资品种。</w:t>
            </w:r>
          </w:p>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本基金风险收益特征会定期评估并在公司网站发布，请投资者关注。</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基金管理人</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上投摩根基金管理有限公司</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kern w:val="0"/>
                <w:szCs w:val="21"/>
              </w:rPr>
              <w:t>基金托管人</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中国建设银行股份有限公司</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境外投资顾问英文名称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JPMorgan Asset Management(UK) Limited</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境外投资顾问中文名称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摩根资产管理（英国）有限公司</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lastRenderedPageBreak/>
              <w:t>境外资产托管人英文名称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JPMorgan Chase Bank, N.A.</w:t>
            </w:r>
          </w:p>
        </w:tc>
      </w:tr>
      <w:tr w:rsidR="008277FF" w:rsidRPr="008277FF" w:rsidTr="006669C9">
        <w:tc>
          <w:tcPr>
            <w:tcW w:type="dxa" w:w="2977"/>
            <w:vAlign w:val="center"/>
          </w:tcPr>
          <w:p w:rsidP="006669C9" w:rsidR="0066726C" w:rsidRDefault="0066726C" w:rsidRPr="008277FF">
            <w:pPr>
              <w:adjustRightInd w:val="0"/>
              <w:spacing w:before="29" w:line="360" w:lineRule="auto"/>
              <w:ind w:left="17"/>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境外资产托管人中文名称</w:t>
            </w:r>
          </w:p>
        </w:tc>
        <w:tc>
          <w:tcPr>
            <w:tcW w:type="dxa" w:w="5443"/>
            <w:gridSpan w:val="2"/>
            <w:vAlign w:val="center"/>
          </w:tcPr>
          <w:p w:rsidP="006669C9" w:rsidR="0066726C" w:rsidRDefault="0066726C"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eastAsiaTheme="minorEastAsia" w:hAnsiTheme="minorEastAsia" w:hint="eastAsia"/>
                <w:color w:themeColor="text1" w:val="000000"/>
                <w:kern w:val="0"/>
                <w:szCs w:val="21"/>
              </w:rPr>
              <w:t/>
            </w:r>
            <w:r w:rsidRPr="008277FF">
              <w:rPr>
                <w:rFonts w:asciiTheme="minorEastAsia" w:cs="宋体" w:eastAsiaTheme="minorEastAsia" w:hAnsiTheme="minorEastAsia"/>
                <w:color w:themeColor="text1" w:val="000000"/>
                <w:kern w:val="0"/>
                <w:szCs w:val="21"/>
              </w:rPr>
              <w:t/>
            </w: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hint="eastAsia"/>
                <w:color w:themeColor="text1" w:val="000000"/>
                <w:kern w:val="0"/>
                <w:szCs w:val="21"/>
              </w:rPr>
              <w:t>摩根大通银行</w:t>
            </w:r>
          </w:p>
        </w:tc>
      </w:tr>
    </w:tbl>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3  </w:t>
      </w:r>
      <w:r w:rsidRPr="008277FF">
        <w:rPr>
          <w:rFonts w:asciiTheme="minorEastAsia" w:cs="Arial" w:eastAsiaTheme="minorEastAsia" w:hAnsiTheme="minorEastAsia" w:hint="eastAsia"/>
          <w:color w:themeColor="text1" w:val="000000"/>
          <w:kern w:val="0"/>
          <w:sz w:val="24"/>
          <w:szCs w:val="24"/>
        </w:rPr>
        <w:t>主要财务指标和基金净值表现</w:t>
      </w:r>
    </w:p>
    <w:p w:rsidP="00506D57"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3.1 </w:t>
      </w:r>
      <w:r w:rsidRPr="008277FF">
        <w:rPr>
          <w:rFonts w:asciiTheme="minorEastAsia" w:cs="Arial" w:eastAsiaTheme="minorEastAsia" w:hAnsiTheme="minorEastAsia" w:hint="eastAsia"/>
          <w:b/>
          <w:color w:themeColor="text1" w:val="000000"/>
          <w:kern w:val="0"/>
          <w:sz w:val="24"/>
        </w:rPr>
        <w:t>主要财务指标</w:t>
      </w:r>
    </w:p>
    <w:p w:rsidP="008B6A4A" w:rsidR="0076518F" w:rsidRDefault="0076518F" w:rsidRPr="008277FF">
      <w:pPr>
        <w:autoSpaceDE w:val="0"/>
        <w:autoSpaceDN w:val="0"/>
        <w:adjustRightInd w:val="0"/>
        <w:spacing w:before="29" w:line="360" w:lineRule="auto"/>
        <w:ind w:left="15"/>
        <w:jc w:val="right"/>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402"/>
        <w:gridCol w:w="2552"/>
        <w:gridCol w:w="2410"/>
      </w:tblGrid>
      <w:tr w:rsidR="008277FF" w:rsidRPr="008277FF" w:rsidTr="001D369F">
        <w:tc>
          <w:tcPr>
            <w:tcW w:type="dxa" w:w="3402"/>
            <w:vAlign w:val="center"/>
          </w:tcPr>
          <w:p w:rsidP="001D369F" w:rsidR="007D1292" w:rsidRDefault="007D1292" w:rsidRPr="008277FF">
            <w:pPr>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主要财务指标</w:t>
            </w:r>
            <w:r w:rsidR="001B28D0" w:rsidRPr="008277FF">
              <w:rPr>
                <w:rFonts w:asciiTheme="minorEastAsia" w:cs="宋体" w:eastAsiaTheme="minorEastAsia" w:hAnsiTheme="minorEastAsia"/>
                <w:color w:themeColor="text1" w:val="000000"/>
                <w:kern w:val="0"/>
                <w:szCs w:val="21"/>
              </w:rPr>
              <w:t/>
            </w:r>
          </w:p>
        </w:tc>
        <w:tc>
          <w:tcPr>
            <w:tcW w:type="dxa" w:w="4962"/>
            <w:hMerge w:val="restart"/>
            <w:vAlign w:val="center"/>
          </w:tcPr>
          <w:p w:rsidP="001D369F" w:rsidR="000306F0" w:rsidRDefault="000306F0" w:rsidRPr="008277FF">
            <w:pPr>
              <w:adjustRightInd w:val="0"/>
              <w:spacing w:before="29" w:line="360" w:lineRule="auto"/>
              <w:ind w:left="17"/>
              <w:jc w:val="center"/>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报告期</w:t>
            </w:r>
          </w:p>
          <w:p w:rsidP="001D369F" w:rsidR="007D1292" w:rsidRDefault="000306F0" w:rsidRPr="008277FF">
            <w:pPr>
              <w:adjustRightInd w:val="0"/>
              <w:spacing w:before="29" w:line="360" w:lineRule="auto"/>
              <w:ind w:left="17"/>
              <w:jc w:val="cente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w:t>
            </w: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2019年1月1日-2019年3月31日</w:t>
            </w:r>
            <w:r w:rsidRPr="008277FF">
              <w:rPr>
                <w:rFonts w:asciiTheme="minorEastAsia" w:cs="宋体" w:eastAsiaTheme="minorEastAsia" w:hAnsiTheme="minorEastAsia" w:hint="eastAsia"/>
                <w:color w:themeColor="text1" w:val="000000"/>
                <w:szCs w:val="21"/>
              </w:rPr>
              <w:t>)</w:t>
            </w:r>
          </w:p>
        </w:tc>
        <w:tc>
          <w:tcPr>
            <w:tcW w:type="dxa" w:w="2410"/>
            <w:hMerge/>
            <w:vAlign w:val="center"/>
          </w:tcPr>
          <w:p w:rsidP="001D369F" w:rsidR="007D1292" w:rsidRDefault="007D1292" w:rsidRPr="008277FF">
            <w:pPr>
              <w:adjustRightInd w:val="0"/>
              <w:spacing w:before="29" w:line="360" w:lineRule="auto"/>
              <w:ind w:left="17"/>
              <w:jc w:val="center"/>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上期金额</w:t>
            </w:r>
            <w:r w:rsidR="0018734E" w:rsidRPr="008277FF">
              <w:rPr>
                <w:rFonts w:asciiTheme="minorEastAsia" w:eastAsiaTheme="minorEastAsia" w:hAnsiTheme="minorEastAsia" w:hint="eastAsia"/>
                <w:color w:themeColor="text1" w:val="000000"/>
                <w:szCs w:val="21"/>
              </w:rPr>
              <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1.</w:t>
            </w:r>
            <w:r w:rsidRPr="008277FF">
              <w:rPr>
                <w:rFonts w:asciiTheme="minorEastAsia" w:cs="宋体" w:eastAsiaTheme="minorEastAsia" w:hAnsiTheme="minorEastAsia" w:hint="eastAsia"/>
                <w:color w:themeColor="text1" w:val="000000"/>
                <w:kern w:val="0"/>
                <w:szCs w:val="21"/>
              </w:rPr>
              <w:t>本期已实现收益</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327,077.49</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2.</w:t>
            </w:r>
            <w:r w:rsidRPr="008277FF">
              <w:rPr>
                <w:rFonts w:asciiTheme="minorEastAsia" w:cs="宋体" w:eastAsiaTheme="minorEastAsia" w:hAnsiTheme="minorEastAsia" w:hint="eastAsia"/>
                <w:color w:themeColor="text1" w:val="000000"/>
                <w:kern w:val="0"/>
                <w:szCs w:val="21"/>
              </w:rPr>
              <w:t>本期利润</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5,373,240.53</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3.</w:t>
            </w:r>
            <w:r w:rsidRPr="008277FF">
              <w:rPr>
                <w:rFonts w:asciiTheme="minorEastAsia" w:cs="宋体" w:eastAsiaTheme="minorEastAsia" w:hAnsiTheme="minorEastAsia" w:hint="eastAsia"/>
                <w:color w:themeColor="text1" w:val="000000"/>
                <w:kern w:val="0"/>
                <w:szCs w:val="21"/>
              </w:rPr>
              <w:t>加权平均基金份额本期利润</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0.0726</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4.</w:t>
            </w:r>
            <w:r w:rsidRPr="008277FF">
              <w:rPr>
                <w:rFonts w:asciiTheme="minorEastAsia" w:cs="宋体" w:eastAsiaTheme="minorEastAsia" w:hAnsiTheme="minorEastAsia" w:hint="eastAsia"/>
                <w:color w:themeColor="text1" w:val="000000"/>
                <w:kern w:val="0"/>
                <w:szCs w:val="21"/>
              </w:rPr>
              <w:t>期末基金资产净值</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69,279,630.30</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r w:rsidR="008277FF" w:rsidRPr="008277FF" w:rsidTr="001D369F">
        <w:trPr>
          <w:trHeight w:val="158"/>
        </w:trPr>
        <w:tc>
          <w:tcPr>
            <w:tcW w:type="dxa" w:w="3402"/>
            <w:vAlign w:val="center"/>
          </w:tcPr>
          <w:p w:rsidP="001D369F" w:rsidR="007D1292" w:rsidRDefault="007D1292" w:rsidRPr="008277FF">
            <w:pPr>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方正仿宋简体" w:eastAsiaTheme="minorEastAsia" w:hAnsiTheme="minorEastAsia"/>
                <w:color w:themeColor="text1" w:val="000000"/>
                <w:kern w:val="0"/>
                <w:szCs w:val="21"/>
              </w:rPr>
              <w:t>5.</w:t>
            </w:r>
            <w:r w:rsidRPr="008277FF">
              <w:rPr>
                <w:rFonts w:asciiTheme="minorEastAsia" w:cs="宋体" w:eastAsiaTheme="minorEastAsia" w:hAnsiTheme="minorEastAsia" w:hint="eastAsia"/>
                <w:color w:themeColor="text1" w:val="000000"/>
                <w:kern w:val="0"/>
                <w:szCs w:val="21"/>
              </w:rPr>
              <w:t>期末基金份额净值</w:t>
            </w:r>
          </w:p>
        </w:tc>
        <w:tc>
          <w:tcPr>
            <w:tcW w:type="dxa" w:w="4962"/>
            <w:hMerge w:val="restart"/>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0.985</w:t>
            </w:r>
          </w:p>
        </w:tc>
        <w:tc>
          <w:tcPr>
            <w:tcW w:type="dxa" w:w="2410"/>
            <w:hMerge/>
            <w:vAlign w:val="center"/>
          </w:tcPr>
          <w:p w:rsidP="001D369F" w:rsidR="007D1292" w:rsidRDefault="007D1292" w:rsidRPr="008277FF">
            <w:pPr>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hint="eastAsia"/>
                <w:color w:themeColor="text1" w:val="000000"/>
                <w:szCs w:val="21"/>
              </w:rPr>
              <w:t/>
            </w:r>
            <w:r w:rsidR="0018734E" w:rsidRPr="008277FF">
              <w:rPr>
                <w:rFonts w:asciiTheme="minorEastAsia" w:cs="宋体" w:eastAsiaTheme="minorEastAsia" w:hAnsiTheme="minorEastAsia"/>
                <w:color w:themeColor="text1" w:val="000000"/>
                <w:szCs w:val="21"/>
              </w:rPr>
              <w:t>-</w:t>
            </w:r>
          </w:p>
        </w:tc>
      </w:tr>
    </w:tbl>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注：本期已实现收益指基金本期利息收入、投资收益、其他收入（不含公允价值变动收益）扣除相关费用后的余额，本期利润为本期已实现收益加上本期公允价值变动收益。</w:t>
      </w:r>
    </w:p>
    <w:p w:rsidP="002236BC" w:rsidR="007D1292" w:rsidRDefault="007D1292"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lastRenderedPageBreak/>
        <w:t xml:space="preserve">3.2 </w:t>
      </w:r>
      <w:r w:rsidRPr="008277FF">
        <w:rPr>
          <w:rFonts w:asciiTheme="minorEastAsia" w:cs="Arial" w:eastAsiaTheme="minorEastAsia" w:hAnsiTheme="minorEastAsia" w:hint="eastAsia"/>
          <w:b/>
          <w:color w:themeColor="text1" w:val="000000"/>
          <w:kern w:val="0"/>
          <w:sz w:val="24"/>
        </w:rPr>
        <w:t>基金净值表现</w:t>
      </w: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277FF">
          <w:rPr>
            <w:rFonts w:asciiTheme="minorEastAsia" w:cs="Arial" w:eastAsiaTheme="minorEastAsia" w:hAnsiTheme="minorEastAsia"/>
            <w:b/>
            <w:color w:themeColor="text1" w:val="000000"/>
            <w:kern w:val="0"/>
            <w:sz w:val="24"/>
          </w:rPr>
          <w:t>3.2.1</w:t>
        </w:r>
      </w:smartTag>
      <w:r w:rsidRPr="008277FF">
        <w:rPr>
          <w:rFonts w:asciiTheme="minorEastAsia" w:cs="Arial" w:eastAsiaTheme="minorEastAsia" w:hAnsiTheme="minorEastAsia" w:hint="eastAsia"/>
          <w:b/>
          <w:color w:themeColor="text1" w:val="000000"/>
          <w:kern w:val="0"/>
          <w:sz w:val="24"/>
        </w:rPr>
        <w:t>本报告期基金份额净值增长率及其与同期业绩比较基准收益率的比较</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1395"/>
        <w:gridCol w:w="1092"/>
        <w:gridCol w:w="1161"/>
        <w:gridCol w:w="1181"/>
        <w:gridCol w:w="1188"/>
        <w:gridCol w:w="1199"/>
        <w:gridCol w:w="1204"/>
      </w:tblGrid>
      <w:tr w:rsidR="008277FF" w:rsidRPr="008277FF" w:rsidTr="00B918B8">
        <w:tc>
          <w:tcPr>
            <w:tcW w:type="dxa" w:w="1395"/>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阶段</w:t>
            </w:r>
            <w:r w:rsidR="00026BFF" w:rsidRPr="008277FF">
              <w:rPr>
                <w:rFonts w:asciiTheme="minorEastAsia" w:cs="Arial" w:eastAsiaTheme="minorEastAsia" w:hAnsiTheme="minorEastAsia"/>
                <w:color w:themeColor="text1" w:val="000000"/>
                <w:szCs w:val="21"/>
              </w:rPr>
              <w:t/>
            </w:r>
          </w:p>
        </w:tc>
        <w:tc>
          <w:tcPr>
            <w:tcW w:type="dxa" w:w="1092"/>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净值增长率①</w:t>
            </w:r>
          </w:p>
        </w:tc>
        <w:tc>
          <w:tcPr>
            <w:tcW w:type="dxa" w:w="1161"/>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净值增长率标准差②</w:t>
            </w:r>
          </w:p>
        </w:tc>
        <w:tc>
          <w:tcPr>
            <w:tcW w:type="dxa" w:w="1181"/>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业绩比较基准收益率③</w:t>
            </w:r>
          </w:p>
        </w:tc>
        <w:tc>
          <w:tcPr>
            <w:tcW w:type="dxa" w:w="1188"/>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业绩比较基准收益率标准差④</w:t>
            </w:r>
          </w:p>
        </w:tc>
        <w:tc>
          <w:tcPr>
            <w:tcW w:type="dxa" w:w="1199"/>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①</w:t>
            </w:r>
            <w:r w:rsidRPr="008277FF">
              <w:rPr>
                <w:rFonts w:asciiTheme="minorEastAsia" w:cs="Arial" w:eastAsiaTheme="minorEastAsia" w:hAnsiTheme="minorEastAsia"/>
                <w:color w:themeColor="text1" w:val="000000"/>
                <w:szCs w:val="21"/>
              </w:rPr>
              <w:t>-</w:t>
            </w:r>
            <w:r w:rsidRPr="008277FF">
              <w:rPr>
                <w:rFonts w:asciiTheme="minorEastAsia" w:cs="Arial" w:eastAsiaTheme="minorEastAsia" w:hAnsiTheme="minorEastAsia" w:hint="eastAsia"/>
                <w:color w:themeColor="text1" w:val="000000"/>
                <w:szCs w:val="21"/>
              </w:rPr>
              <w:t>③</w:t>
            </w:r>
          </w:p>
        </w:tc>
        <w:tc>
          <w:tcPr>
            <w:tcW w:type="dxa" w:w="1204"/>
            <w:shd w:color="auto" w:fill="auto" w:val="clear"/>
            <w:vAlign w:val="center"/>
          </w:tcPr>
          <w:p w:rsidP="00B918B8" w:rsidR="007D1292" w:rsidRDefault="007D1292" w:rsidRPr="008277FF">
            <w:pPr>
              <w:autoSpaceDE w:val="0"/>
              <w:autoSpaceDN w:val="0"/>
              <w:adjustRightInd w:val="0"/>
              <w:spacing w:before="29" w:line="360" w:lineRule="auto"/>
              <w:ind w:left="17"/>
              <w:jc w:val="center"/>
              <w:rPr>
                <w:rFonts w:asciiTheme="minorEastAsia" w:cs="Arial" w:eastAsiaTheme="minorEastAsia" w:hAnsiTheme="minorEastAsia"/>
                <w:color w:themeColor="text1" w:val="000000"/>
                <w:szCs w:val="21"/>
              </w:rPr>
            </w:pPr>
            <w:r w:rsidRPr="008277FF">
              <w:rPr>
                <w:rFonts w:asciiTheme="minorEastAsia" w:cs="Arial" w:eastAsiaTheme="minorEastAsia" w:hAnsiTheme="minorEastAsia" w:hint="eastAsia"/>
                <w:color w:themeColor="text1" w:val="000000"/>
                <w:szCs w:val="21"/>
              </w:rPr>
              <w:t>②</w:t>
            </w:r>
            <w:r w:rsidRPr="008277FF">
              <w:rPr>
                <w:rFonts w:asciiTheme="minorEastAsia" w:cs="Arial" w:eastAsiaTheme="minorEastAsia" w:hAnsiTheme="minorEastAsia"/>
                <w:color w:themeColor="text1" w:val="000000"/>
                <w:szCs w:val="21"/>
              </w:rPr>
              <w:t>-</w:t>
            </w:r>
            <w:r w:rsidRPr="008277FF">
              <w:rPr>
                <w:rFonts w:asciiTheme="minorEastAsia" w:cs="Arial" w:eastAsiaTheme="minorEastAsia" w:hAnsiTheme="minorEastAsia" w:hint="eastAsia"/>
                <w:color w:themeColor="text1" w:val="000000"/>
                <w:szCs w:val="21"/>
              </w:rPr>
              <w:t>④</w:t>
            </w:r>
          </w:p>
        </w:tc>
      </w:tr>
      <w:tr>
        <w:tc>
          <w:tcPr>
            <w:vAlign w:val="center"/>
          </w:tcPr>
          <w:p>
            <w:pPr>
              <w:jc w:val="left"/>
            </w:pPr>
            <w:r>
              <w:rPr>
                <w:rFonts w:asciiTheme="minorEastAsia" w:eastAsiaTheme="minorEastAsia" w:hAnsiTheme="minorEastAsia"/>
                <w:color w:themeColor="text1" w:val="000000"/>
                <w:szCs w:val="21"/>
              </w:rPr>
              <w:t>过去三个月</w:t>
            </w:r>
          </w:p>
        </w:tc>
        <w:tc>
          <w:tcPr>
            <w:vAlign w:val="center"/>
          </w:tcPr>
          <w:p>
            <w:pPr>
              <w:jc w:val="right"/>
            </w:pPr>
            <w:r>
              <w:rPr>
                <w:rFonts w:asciiTheme="minorEastAsia" w:eastAsiaTheme="minorEastAsia" w:hAnsiTheme="minorEastAsia"/>
                <w:color w:themeColor="text1" w:val="000000"/>
                <w:szCs w:val="21"/>
              </w:rPr>
              <w:t>8.00%</w:t>
            </w:r>
          </w:p>
        </w:tc>
        <w:tc>
          <w:tcPr>
            <w:vAlign w:val="center"/>
          </w:tcPr>
          <w:p>
            <w:pPr>
              <w:jc w:val="right"/>
            </w:pPr>
            <w:r>
              <w:rPr>
                <w:rFonts w:asciiTheme="minorEastAsia" w:eastAsiaTheme="minorEastAsia" w:hAnsiTheme="minorEastAsia"/>
                <w:color w:themeColor="text1" w:val="000000"/>
                <w:szCs w:val="21"/>
              </w:rPr>
              <w:t>0.82%</w:t>
            </w:r>
          </w:p>
        </w:tc>
        <w:tc>
          <w:tcPr>
            <w:vAlign w:val="center"/>
          </w:tcPr>
          <w:p>
            <w:pPr>
              <w:jc w:val="right"/>
            </w:pPr>
            <w:r>
              <w:rPr>
                <w:rFonts w:asciiTheme="minorEastAsia" w:eastAsiaTheme="minorEastAsia" w:hAnsiTheme="minorEastAsia"/>
                <w:color w:themeColor="text1" w:val="000000"/>
                <w:szCs w:val="21"/>
              </w:rPr>
              <w:t>7.50%</w:t>
            </w:r>
          </w:p>
        </w:tc>
        <w:tc>
          <w:tcPr>
            <w:vAlign w:val="center"/>
          </w:tcPr>
          <w:p>
            <w:pPr>
              <w:jc w:val="right"/>
            </w:pPr>
            <w:r>
              <w:rPr>
                <w:rFonts w:asciiTheme="minorEastAsia" w:eastAsiaTheme="minorEastAsia" w:hAnsiTheme="minorEastAsia"/>
                <w:color w:themeColor="text1" w:val="000000"/>
                <w:szCs w:val="21"/>
              </w:rPr>
              <w:t>0.79%</w:t>
            </w:r>
          </w:p>
        </w:tc>
        <w:tc>
          <w:tcPr>
            <w:vAlign w:val="center"/>
          </w:tcPr>
          <w:p>
            <w:pPr>
              <w:jc w:val="right"/>
            </w:pPr>
            <w:r>
              <w:rPr>
                <w:rFonts w:asciiTheme="minorEastAsia" w:eastAsiaTheme="minorEastAsia" w:hAnsiTheme="minorEastAsia"/>
                <w:color w:themeColor="text1" w:val="000000"/>
                <w:szCs w:val="21"/>
              </w:rPr>
              <w:t>0.50%</w:t>
            </w:r>
          </w:p>
        </w:tc>
        <w:tc>
          <w:tcPr>
            <w:vAlign w:val="center"/>
          </w:tcPr>
          <w:p>
            <w:pPr>
              <w:jc w:val="right"/>
            </w:pPr>
            <w:r>
              <w:rPr>
                <w:rFonts w:asciiTheme="minorEastAsia" w:eastAsiaTheme="minorEastAsia" w:hAnsiTheme="minorEastAsia"/>
                <w:color w:themeColor="text1" w:val="000000"/>
                <w:szCs w:val="21"/>
              </w:rPr>
              <w:t>0.03%</w:t>
            </w:r>
          </w:p>
        </w:tc>
      </w:tr>
    </w:tbl>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3.2.2</w:t>
      </w:r>
      <w:r w:rsidRPr="008277FF">
        <w:rPr>
          <w:rFonts w:asciiTheme="minorEastAsia" w:cs="Arial" w:eastAsiaTheme="minorEastAsia" w:hAnsiTheme="minorEastAsia" w:hint="eastAsia"/>
          <w:b/>
          <w:color w:themeColor="text1" w:val="000000"/>
          <w:kern w:val="0"/>
          <w:sz w:val="24"/>
        </w:rPr>
        <w:t xml:space="preserve">　</w:t>
      </w:r>
      <w:r w:rsidR="009779FD" w:rsidRPr="008277FF">
        <w:rPr>
          <w:rStyle w:val="af8"/>
          <w:rFonts w:hint="eastAsia"/>
          <w:color w:themeColor="text1" w:val="000000"/>
          <w:sz w:val="24"/>
          <w:shd w:color="auto" w:fill="FFFFFF" w:val="clear"/>
        </w:rPr>
        <w:t>自基金合同生效以来</w:t>
      </w:r>
      <w:r w:rsidRPr="008277FF">
        <w:rPr>
          <w:rFonts w:asciiTheme="minorEastAsia" w:cs="Arial" w:eastAsiaTheme="minorEastAsia" w:hAnsiTheme="minorEastAsia" w:hint="eastAsia"/>
          <w:b/>
          <w:color w:themeColor="text1" w:val="000000"/>
          <w:kern w:val="0"/>
          <w:sz w:val="24"/>
        </w:rPr>
        <w:t>基金累计</w:t>
      </w:r>
      <w:r w:rsidR="004339D9" w:rsidRPr="008277FF">
        <w:rPr>
          <w:rFonts w:asciiTheme="minorEastAsia" w:cs="Arial" w:eastAsiaTheme="minorEastAsia" w:hAnsiTheme="minorEastAsia" w:hint="eastAsia"/>
          <w:b/>
          <w:color w:themeColor="text1" w:val="000000"/>
          <w:kern w:val="0"/>
          <w:sz w:val="24"/>
        </w:rPr>
        <w:t>份额</w:t>
      </w:r>
      <w:r w:rsidRPr="008277FF">
        <w:rPr>
          <w:rFonts w:asciiTheme="minorEastAsia" w:cs="Arial" w:eastAsiaTheme="minorEastAsia" w:hAnsiTheme="minorEastAsia" w:hint="eastAsia"/>
          <w:b/>
          <w:color w:themeColor="text1" w:val="000000"/>
          <w:kern w:val="0"/>
          <w:sz w:val="24"/>
        </w:rPr>
        <w:t>净值增长率变动及其与同期业绩比较基准收益率变动的比较</w:t>
      </w:r>
    </w:p>
    <w:p w:rsidP="00EC4BA3" w:rsidR="00A96FD9" w:rsidRDefault="00A96FD9"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上投摩根全球新兴市场混合型证券投资基金</w:t>
      </w:r>
    </w:p>
    <w:p w:rsidP="00EC4BA3" w:rsidR="00FB39F7" w:rsidRDefault="00FB39F7" w:rsidRPr="008277FF">
      <w:pPr>
        <w:pStyle w:val="a5"/>
        <w:snapToGrid w:val="0"/>
        <w:spacing w:line="360" w:lineRule="auto"/>
        <w:ind w:firstLine="480"/>
        <w:jc w:val="center"/>
        <w:rPr>
          <w:rFonts w:asciiTheme="minorEastAsia" w:eastAsiaTheme="minorEastAsia" w:hAnsiTheme="minorEastAsia"/>
          <w:color w:themeColor="text1" w:val="000000"/>
        </w:rPr>
      </w:pPr>
      <w:r w:rsidRPr="008277FF">
        <w:rPr>
          <w:rFonts w:asciiTheme="minorEastAsia" w:eastAsiaTheme="minorEastAsia" w:hAnsiTheme="minorEastAsia"/>
          <w:color w:themeColor="text1" w:val="000000"/>
        </w:rPr>
        <w:t>累计</w:t>
      </w:r>
      <w:r w:rsidR="00C67DCB" w:rsidRPr="008277FF">
        <w:rPr>
          <w:rFonts w:asciiTheme="minorEastAsia" w:eastAsiaTheme="minorEastAsia" w:hAnsiTheme="minorEastAsia"/>
          <w:color w:themeColor="text1" w:val="000000"/>
        </w:rPr>
        <w:t>份额</w:t>
      </w:r>
      <w:r w:rsidRPr="008277FF">
        <w:rPr>
          <w:rFonts w:asciiTheme="minorEastAsia" w:eastAsiaTheme="minorEastAsia" w:hAnsiTheme="minorEastAsia"/>
          <w:color w:themeColor="text1" w:val="000000"/>
        </w:rPr>
        <w:t>净值增长率与业绩比较基准收益率历史走势对比图</w:t>
      </w:r>
    </w:p>
    <w:p w:rsidP="00EC4BA3" w:rsidR="005908C0" w:rsidRDefault="005908C0" w:rsidRPr="008277FF">
      <w:pPr>
        <w:spacing w:line="360" w:lineRule="auto"/>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kern w:val="0"/>
          <w:szCs w:val="21"/>
        </w:rPr>
        <w:t>（</w:t>
      </w:r>
      <w:r w:rsidR="00623556" w:rsidRPr="008277FF">
        <w:rPr>
          <w:rFonts w:asciiTheme="minorEastAsia" w:eastAsiaTheme="minorEastAsia" w:hAnsiTheme="minorEastAsia"/>
          <w:color w:themeColor="text1" w:val="000000"/>
          <w:kern w:val="0"/>
          <w:szCs w:val="21"/>
        </w:rPr>
        <w:t>2011年1月30日</w:t>
      </w:r>
      <w:r w:rsidRPr="008277FF">
        <w:rPr>
          <w:rFonts w:asciiTheme="minorEastAsia" w:eastAsiaTheme="minorEastAsia" w:hAnsiTheme="minorEastAsia" w:hint="eastAsia"/>
          <w:color w:themeColor="text1" w:val="000000"/>
          <w:kern w:val="0"/>
          <w:szCs w:val="21"/>
        </w:rPr>
        <w:t>至2019年3月31日）</w:t>
      </w:r>
    </w:p>
    <w:p w:rsidP="00A96FD9" w:rsidR="00A96FD9" w:rsidRDefault="004F16AD" w:rsidRPr="008277FF">
      <w:pPr>
        <w:tabs>
          <w:tab w:pos="1800" w:val="left"/>
        </w:tabs>
        <w:spacing w:line="360" w:lineRule="auto"/>
        <w:jc w:val="center"/>
        <w:rPr>
          <w:rFonts w:asciiTheme="minorEastAsia" w:eastAsiaTheme="minorEastAsia" w:hAnsiTheme="minorEastAsia"/>
          <w:color w:themeColor="text1" w:val="000000"/>
          <w:sz w:val="24"/>
        </w:rPr>
      </w:pPr>
      <w:r w:rsidRPr="008277FF">
        <w:rPr>
          <w:rFonts w:asciiTheme="minorEastAsia" w:eastAsiaTheme="minorEastAsia" w:hAnsiTheme="minorEastAsia"/>
          <w:noProof/>
          <w:color w:themeColor="text1" w:val="000000"/>
          <w:sz w:val="24"/>
        </w:rPr>
        <w:lastRenderedPageBreak/>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0" name="Picture 1"/>
                    <pic:cNvPicPr>
                      <a:picLocks noChangeArrowheads="1" noChangeAspect="1"/>
                    </pic:cNvPicPr>
                  </pic:nvPicPr>
                  <pic:blipFill>
                    <a:blip r:embed="rId9">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注：本基金合同生效日为2011年1月30日，图示时间段为2011年1月30日至2019年3月31日。</w:t>
      </w:r>
    </w:p>
    <w:p w:rsidP="002236BC" w:rsidR="00A96FD9" w:rsidRDefault="00A96FD9"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FB7363"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本基金建仓期自2011年1月30日至2011年7月29日，建仓期结束时资产配置比例符合本基金基金合同规定。</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4  </w:t>
      </w:r>
      <w:r w:rsidRPr="008277FF">
        <w:rPr>
          <w:rFonts w:asciiTheme="minorEastAsia" w:cs="Arial" w:eastAsiaTheme="minorEastAsia" w:hAnsiTheme="minorEastAsia" w:hint="eastAsia"/>
          <w:color w:themeColor="text1" w:val="000000"/>
          <w:kern w:val="0"/>
          <w:sz w:val="24"/>
          <w:szCs w:val="24"/>
        </w:rPr>
        <w:t>管理人报告</w:t>
      </w: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4.1 </w:t>
      </w:r>
      <w:r w:rsidRPr="008277FF">
        <w:rPr>
          <w:rFonts w:asciiTheme="minorEastAsia" w:cs="Arial" w:eastAsiaTheme="minorEastAsia" w:hAnsiTheme="minorEastAsia" w:hint="eastAsia"/>
          <w:b/>
          <w:color w:themeColor="text1" w:val="000000"/>
          <w:kern w:val="0"/>
          <w:sz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51"/>
        <w:gridCol w:w="850"/>
        <w:gridCol w:w="1560"/>
        <w:gridCol w:w="1559"/>
        <w:gridCol w:w="1417"/>
        <w:gridCol w:w="2694"/>
      </w:tblGrid>
      <w:tr w:rsidR="008277FF" w:rsidRPr="008277FF" w:rsidTr="00797DD2">
        <w:trPr>
          <w:cantSplit/>
          <w:trHeight w:val="292"/>
        </w:trPr>
        <w:tc>
          <w:tcPr>
            <w:tcW w:type="dxa" w:w="851"/>
            <w:vMerge w:val="restart"/>
            <w:vAlign w:val="center"/>
          </w:tcPr>
          <w:p w:rsidP="00B918B8"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姓名</w:t>
            </w:r>
          </w:p>
        </w:tc>
        <w:tc>
          <w:tcPr>
            <w:tcW w:type="dxa" w:w="850"/>
            <w:vMerge w:val="restart"/>
            <w:vAlign w:val="center"/>
          </w:tcPr>
          <w:p w:rsidP="00B918B8"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职务</w:t>
            </w:r>
          </w:p>
        </w:tc>
        <w:tc>
          <w:tcPr>
            <w:tcW w:type="dxa" w:w="3119"/>
            <w:gridSpan w:val="2"/>
            <w:vAlign w:val="center"/>
          </w:tcPr>
          <w:p w:rsidP="00797DD2" w:rsidR="007D1292" w:rsidRDefault="007D1292"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任本基金的基金经理期限</w:t>
            </w:r>
          </w:p>
        </w:tc>
        <w:tc>
          <w:tcPr>
            <w:tcW w:type="dxa" w:w="1417"/>
            <w:vMerge w:val="restart"/>
            <w:vAlign w:val="center"/>
          </w:tcPr>
          <w:p w:rsidP="00797DD2" w:rsidR="007D1292" w:rsidRDefault="007D1292"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证券从业年限</w:t>
            </w:r>
          </w:p>
        </w:tc>
        <w:tc>
          <w:tcPr>
            <w:tcW w:type="dxa" w:w="2694"/>
            <w:vMerge w:val="restart"/>
            <w:vAlign w:val="center"/>
          </w:tcPr>
          <w:p w:rsidP="00797DD2" w:rsidR="007D1292" w:rsidRDefault="007D1292" w:rsidRPr="008277FF">
            <w:pPr>
              <w:widowControl/>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说明</w:t>
            </w:r>
          </w:p>
        </w:tc>
      </w:tr>
      <w:tr w:rsidR="008277FF" w:rsidRPr="008277FF" w:rsidTr="00797DD2">
        <w:trPr>
          <w:cantSplit/>
        </w:trPr>
        <w:tc>
          <w:tcPr>
            <w:tcW w:type="dxa" w:w="851"/>
            <w:vMerge/>
            <w:vAlign w:val="center"/>
          </w:tcPr>
          <w:p w:rsidP="00B918B8" w:rsidR="007D1292" w:rsidRDefault="007D1292" w:rsidRPr="008277FF">
            <w:pPr>
              <w:widowControl/>
              <w:spacing w:line="360" w:lineRule="auto"/>
              <w:jc w:val="left"/>
              <w:rPr>
                <w:rFonts w:asciiTheme="minorEastAsia" w:eastAsiaTheme="minorEastAsia" w:hAnsiTheme="minorEastAsia"/>
                <w:color w:themeColor="text1" w:val="000000"/>
                <w:kern w:val="0"/>
                <w:szCs w:val="21"/>
              </w:rPr>
            </w:pPr>
          </w:p>
        </w:tc>
        <w:tc>
          <w:tcPr>
            <w:tcW w:type="dxa" w:w="850"/>
            <w:vMerge/>
            <w:vAlign w:val="center"/>
          </w:tcPr>
          <w:p w:rsidP="00B918B8" w:rsidR="007D1292" w:rsidRDefault="007D1292" w:rsidRPr="008277FF">
            <w:pPr>
              <w:widowControl/>
              <w:spacing w:line="360" w:lineRule="auto"/>
              <w:jc w:val="left"/>
              <w:rPr>
                <w:rFonts w:asciiTheme="minorEastAsia" w:eastAsiaTheme="minorEastAsia" w:hAnsiTheme="minorEastAsia"/>
                <w:color w:themeColor="text1" w:val="000000"/>
                <w:kern w:val="0"/>
                <w:szCs w:val="21"/>
              </w:rPr>
            </w:pPr>
          </w:p>
        </w:tc>
        <w:tc>
          <w:tcPr>
            <w:tcW w:type="dxa" w:w="1560"/>
            <w:vAlign w:val="center"/>
          </w:tcPr>
          <w:p w:rsidP="00797DD2" w:rsidR="007D1292" w:rsidRDefault="007D1292" w:rsidRPr="008277FF">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任职日期</w:t>
            </w:r>
          </w:p>
        </w:tc>
        <w:tc>
          <w:tcPr>
            <w:tcW w:type="dxa" w:w="1559"/>
            <w:vAlign w:val="center"/>
          </w:tcPr>
          <w:p w:rsidP="00797DD2" w:rsidR="007D1292" w:rsidRDefault="007D1292" w:rsidRPr="008277FF">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离任日期</w:t>
            </w:r>
          </w:p>
        </w:tc>
        <w:tc>
          <w:tcPr>
            <w:tcW w:type="dxa" w:w="1417"/>
            <w:vMerge/>
            <w:vAlign w:val="center"/>
          </w:tcPr>
          <w:p w:rsidP="00797DD2" w:rsidR="007D1292" w:rsidRDefault="007D1292" w:rsidRPr="008277FF">
            <w:pPr>
              <w:widowControl/>
              <w:spacing w:line="360" w:lineRule="auto"/>
              <w:jc w:val="center"/>
              <w:rPr>
                <w:rFonts w:asciiTheme="minorEastAsia" w:eastAsiaTheme="minorEastAsia" w:hAnsiTheme="minorEastAsia"/>
                <w:color w:themeColor="text1" w:val="000000"/>
                <w:kern w:val="0"/>
                <w:szCs w:val="21"/>
              </w:rPr>
            </w:pPr>
          </w:p>
        </w:tc>
        <w:tc>
          <w:tcPr>
            <w:tcW w:type="dxa" w:w="2694"/>
            <w:vMerge/>
            <w:vAlign w:val="center"/>
          </w:tcPr>
          <w:p w:rsidP="00797DD2" w:rsidR="007D1292" w:rsidRDefault="007D1292" w:rsidRPr="008277FF">
            <w:pPr>
              <w:widowControl/>
              <w:spacing w:line="360" w:lineRule="auto"/>
              <w:jc w:val="center"/>
              <w:rPr>
                <w:rFonts w:asciiTheme="minorEastAsia" w:eastAsiaTheme="minorEastAsia" w:hAnsiTheme="minorEastAsia"/>
                <w:color w:themeColor="text1" w:val="000000"/>
                <w:kern w:val="0"/>
                <w:szCs w:val="21"/>
              </w:rPr>
            </w:pPr>
          </w:p>
        </w:tc>
      </w:tr>
      <w:tr>
        <w:tc>
          <w:tcPr>
            <w:vAlign w:val="center"/>
          </w:tcPr>
          <w:p>
            <w:pPr>
              <w:jc w:val="center"/>
            </w:pPr>
            <w:r>
              <w:rPr>
                <w:rFonts w:asciiTheme="minorEastAsia" w:eastAsiaTheme="minorEastAsia" w:hAnsiTheme="minorEastAsia"/>
                <w:color w:themeColor="text1" w:val="000000"/>
                <w:szCs w:val="21"/>
              </w:rPr>
              <w:t>张淑婉</w:t>
            </w:r>
          </w:p>
        </w:tc>
        <w:tc>
          <w:tcPr>
            <w:vAlign w:val="center"/>
          </w:tcPr>
          <w:p>
            <w:pPr>
              <w:jc w:val="center"/>
            </w:pPr>
            <w:r>
              <w:rPr>
                <w:rFonts w:asciiTheme="minorEastAsia" w:eastAsiaTheme="minorEastAsia" w:hAnsiTheme="minorEastAsia"/>
                <w:color w:themeColor="text1" w:val="000000"/>
                <w:szCs w:val="21"/>
              </w:rPr>
              <w:t>本基金基金经理</w:t>
            </w:r>
          </w:p>
        </w:tc>
        <w:tc>
          <w:tcPr>
            <w:vAlign w:val="center"/>
          </w:tcPr>
          <w:p>
            <w:pPr>
              <w:jc w:val="center"/>
            </w:pPr>
            <w:r>
              <w:rPr>
                <w:rFonts w:asciiTheme="minorEastAsia" w:eastAsiaTheme="minorEastAsia" w:hAnsiTheme="minorEastAsia"/>
                <w:color w:themeColor="text1" w:val="000000"/>
                <w:szCs w:val="21"/>
              </w:rPr>
              <w:t>2016-12-16</w:t>
            </w:r>
          </w:p>
        </w:tc>
        <w:tc>
          <w:tcPr>
            <w:vAlign w:val="center"/>
          </w:tcPr>
          <w:p>
            <w:pPr>
              <w:jc w:val="center"/>
            </w:pPr>
            <w:r>
              <w:rPr>
                <w:rFonts w:asciiTheme="minorEastAsia" w:eastAsiaTheme="minorEastAsia" w:hAnsiTheme="minorEastAsia"/>
                <w:color w:themeColor="text1" w:val="000000"/>
                <w:szCs w:val="21"/>
              </w:rPr>
              <w:t>-</w:t>
            </w:r>
          </w:p>
        </w:tc>
        <w:tc>
          <w:tcPr>
            <w:vAlign w:val="center"/>
          </w:tcPr>
          <w:p>
            <w:pPr>
              <w:jc w:val="center"/>
            </w:pPr>
            <w:r>
              <w:rPr>
                <w:rFonts w:asciiTheme="minorEastAsia" w:eastAsiaTheme="minorEastAsia" w:hAnsiTheme="minorEastAsia"/>
                <w:color w:themeColor="text1" w:val="000000"/>
                <w:szCs w:val="21"/>
              </w:rPr>
              <w:t>29年</w:t>
            </w:r>
          </w:p>
        </w:tc>
        <w:tc>
          <w:tcPr>
            <w:vAlign w:val="center"/>
          </w:tcPr>
          <w:p>
            <w:pPr>
              <w:jc w:val="left"/>
            </w:pPr>
            <w:r>
              <w:rPr>
                <w:rFonts w:asciiTheme="minorEastAsia" w:eastAsiaTheme="minorEastAsia" w:hAnsiTheme="minorEastAsia"/>
                <w:color w:themeColor="text1" w:val="000000"/>
                <w:szCs w:val="21"/>
              </w:rPr>
              <w:t>张淑婉女士，台湾大学财务金融研究所MBA，自1987年9月至1989年2月，在东盟成衣股份有限公司担任研究部专员；自1989年3月至1991年8月，在富隆证券股份有限公司担任投行部专员；自1993年3月至1998年1月，在光华证券投资信托股份有限公司担任研究部副理；自1998年2月至2006年7月，在摩根富林明证券信托股份有限公司担任副总经理；自2007年11月至2009年8月，在德意志亚洲资产管理公司担任副总经理；自2009年9月至2014年6月，在嘉实国际资产管理公司担任副总经理；自2014年7月至2016年8月，在上投摩根资产管理（香港）有限公司担任投资总监；自2016年9月起加入上投摩根基金管理有限公司，自2016年12月起同时担任上投摩根亚太优势混合型证券投资基金基金经理及上投摩根全球新兴市场混合型证券投资基金基金经理，自2017年12月起同时担任上投摩根标普港股通低波红利指数型证券投资基金基金经理，自2018年6月起同时担任上投摩根香港精选港股通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注：1.任职日期和离任日期均指根据公司决定确定的聘任日期和解聘日期。</w:t>
      </w:r>
    </w:p>
    <w:p w:rsidP="002236BC" w:rsidR="00A47E47" w:rsidRDefault="00A47E47"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2.证券从业的含义遵从行业协会《证券业从业人员资格管理办法》的相关规定。</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B95E5A"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76518F" w:rsidRPr="008277FF">
        <w:rPr>
          <w:rFonts w:asciiTheme="minorEastAsia" w:cs="Arial" w:eastAsiaTheme="minorEastAsia" w:hAnsiTheme="minorEastAsia"/>
          <w:b/>
          <w:color w:themeColor="text1" w:val="000000"/>
          <w:kern w:val="0"/>
          <w:sz w:val="24"/>
        </w:rPr>
        <w:t>4.</w:t>
      </w:r>
      <w:r w:rsidR="00F077D2" w:rsidRPr="008277FF">
        <w:rPr>
          <w:rFonts w:asciiTheme="minorEastAsia" w:cs="Arial" w:eastAsiaTheme="minorEastAsia" w:hAnsiTheme="minorEastAsia" w:hint="eastAsia"/>
          <w:b/>
          <w:color w:themeColor="text1" w:val="000000"/>
          <w:kern w:val="0"/>
          <w:sz w:val="24"/>
        </w:rPr>
        <w:t>2</w:t>
      </w:r>
      <w:r w:rsidR="00A32FDA"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境外投资顾问为本基金提供投资建议的主要成员简介</w:t>
      </w:r>
    </w:p>
    <w:tbl>
      <w:tblPr>
        <w:tblStyle w:val="af7"/>
        <w:tblW w:type="auto" w:w="0"/>
        <w:tblInd w:type="dxa" w:w="15"/>
        <w:tblLook w:val="04A0"/>
      </w:tblPr>
      <w:tblGrid>
        <w:gridCol w:w="2129"/>
        <w:gridCol w:w="2128"/>
        <w:gridCol w:w="2128"/>
        <w:gridCol w:w="2128"/>
      </w:tblGrid>
      <w:tr w:rsidR="008277FF" w:rsidRPr="008277FF" w:rsidTr="00797DD2">
        <w:tc>
          <w:tcPr>
            <w:tcW w:type="dxa" w:w="2129"/>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姓名</w:t>
            </w:r>
          </w:p>
        </w:tc>
        <w:tc>
          <w:tcPr>
            <w:tcW w:type="dxa" w:w="2128"/>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在境外投资顾问所任职务</w:t>
            </w:r>
          </w:p>
        </w:tc>
        <w:tc>
          <w:tcPr>
            <w:tcW w:type="dxa" w:w="2128"/>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证券从业年限</w:t>
            </w:r>
          </w:p>
        </w:tc>
        <w:tc>
          <w:tcPr>
            <w:tcW w:type="dxa" w:w="2128"/>
            <w:vAlign w:val="center"/>
          </w:tcPr>
          <w:p w:rsidP="00797DD2" w:rsidR="004061D9" w:rsidRDefault="004061D9"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说明</w:t>
            </w:r>
          </w:p>
        </w:tc>
      </w:tr>
      <w:tr>
        <w:tc>
          <w:tcPr>
            <w:vAlign w:val="center"/>
          </w:tcPr>
          <w:p>
            <w:pPr>
              <w:jc w:val="center"/>
            </w:pPr>
            <w:r>
              <w:rPr>
                <w:rFonts w:asciiTheme="minorEastAsia" w:eastAsiaTheme="minorEastAsia" w:hAnsiTheme="minorEastAsia"/>
                <w:color w:themeColor="text1" w:val="000000"/>
                <w:szCs w:val="21"/>
              </w:rPr>
              <w:t>Anuj Arora</w:t>
            </w:r>
          </w:p>
        </w:tc>
        <w:tc>
          <w:tcPr>
            <w:vAlign w:val="center"/>
          </w:tcPr>
          <w:p>
            <w:pPr>
              <w:jc w:val="center"/>
            </w:pPr>
            <w:r>
              <w:rPr>
                <w:rFonts w:asciiTheme="minorEastAsia" w:eastAsiaTheme="minorEastAsia" w:hAnsiTheme="minorEastAsia"/>
                <w:color w:themeColor="text1" w:val="000000"/>
                <w:szCs w:val="21"/>
              </w:rPr>
              <w:t>投资组合经理</w:t>
            </w:r>
          </w:p>
        </w:tc>
        <w:tc>
          <w:tcPr>
            <w:vAlign w:val="center"/>
          </w:tcPr>
          <w:p>
            <w:pPr>
              <w:jc w:val="center"/>
            </w:pPr>
            <w:r>
              <w:rPr>
                <w:rFonts w:asciiTheme="minorEastAsia" w:eastAsiaTheme="minorEastAsia" w:hAnsiTheme="minorEastAsia"/>
                <w:color w:themeColor="text1" w:val="000000"/>
                <w:szCs w:val="21"/>
              </w:rPr>
              <w:t>16年</w:t>
            </w:r>
          </w:p>
        </w:tc>
        <w:tc>
          <w:tcPr>
            <w:vAlign w:val="center"/>
          </w:tcPr>
          <w:p>
            <w:pPr>
              <w:jc w:val="left"/>
            </w:pPr>
            <w:r>
              <w:rPr>
                <w:rFonts w:asciiTheme="minorEastAsia" w:eastAsiaTheme="minorEastAsia" w:hAnsiTheme="minorEastAsia"/>
                <w:color w:themeColor="text1" w:val="000000"/>
                <w:szCs w:val="21"/>
              </w:rPr>
              <w:t>男，伊利诺斯理工大学硕士，主修金融学</w:t>
            </w:r>
          </w:p>
        </w:tc>
      </w:tr>
      <w:tr>
        <w:tc>
          <w:tcPr>
            <w:vAlign w:val="center"/>
          </w:tcPr>
          <w:p>
            <w:pPr>
              <w:jc w:val="center"/>
            </w:pPr>
            <w:r>
              <w:rPr>
                <w:rFonts w:asciiTheme="minorEastAsia" w:eastAsiaTheme="minorEastAsia" w:hAnsiTheme="minorEastAsia"/>
                <w:color w:themeColor="text1" w:val="000000"/>
                <w:szCs w:val="21"/>
              </w:rPr>
              <w:t>Noriko Kuroki</w:t>
            </w:r>
          </w:p>
        </w:tc>
        <w:tc>
          <w:tcPr>
            <w:vAlign w:val="center"/>
          </w:tcPr>
          <w:p>
            <w:pPr>
              <w:jc w:val="center"/>
            </w:pPr>
            <w:r>
              <w:rPr>
                <w:rFonts w:asciiTheme="minorEastAsia" w:eastAsiaTheme="minorEastAsia" w:hAnsiTheme="minorEastAsia"/>
                <w:color w:themeColor="text1" w:val="000000"/>
                <w:szCs w:val="21"/>
              </w:rPr>
              <w:t>投资组合经理</w:t>
            </w:r>
          </w:p>
        </w:tc>
        <w:tc>
          <w:tcPr>
            <w:vAlign w:val="center"/>
          </w:tcPr>
          <w:p>
            <w:pPr>
              <w:jc w:val="center"/>
            </w:pPr>
            <w:r>
              <w:rPr>
                <w:rFonts w:asciiTheme="minorEastAsia" w:eastAsiaTheme="minorEastAsia" w:hAnsiTheme="minorEastAsia"/>
                <w:color w:themeColor="text1" w:val="000000"/>
                <w:szCs w:val="21"/>
              </w:rPr>
              <w:t>23年</w:t>
            </w:r>
          </w:p>
        </w:tc>
        <w:tc>
          <w:tcPr>
            <w:vAlign w:val="center"/>
          </w:tcPr>
          <w:p>
            <w:pPr>
              <w:jc w:val="left"/>
            </w:pPr>
            <w:r>
              <w:rPr>
                <w:rFonts w:asciiTheme="minorEastAsia" w:eastAsiaTheme="minorEastAsia" w:hAnsiTheme="minorEastAsia"/>
                <w:color w:themeColor="text1" w:val="000000"/>
                <w:szCs w:val="21"/>
              </w:rPr>
              <w:t>女，牛津大学硕士，主修哲学、政治和经济学</w:t>
            </w:r>
          </w:p>
        </w:tc>
      </w:tr>
    </w:tbl>
    <w:p w:rsidP="008B6A4A" w:rsidR="00FB47E0" w:rsidRDefault="00FB47E0"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A70E23" w:rsidR="0076518F" w:rsidRDefault="00B95E5A"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76518F"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3</w:t>
      </w:r>
      <w:r w:rsidR="003508B0" w:rsidRPr="003508B0">
        <w:rPr>
          <w:rFonts w:hint="eastAsia"/>
          <w:b/>
          <w:color w:val="000000"/>
          <w:sz w:val="24"/>
          <w:shd w:color="auto" w:fill="FFFFFF" w:val="clear"/>
        </w:rPr>
        <w:t>管理人对报告期内本基金运作遵规守信情况的说明</w:t>
      </w:r>
    </w:p>
    <w:p w:rsidP="00797DD2" w:rsidR="00363E15" w:rsidRDefault="00363E15"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全球新兴市场混合型证券投资基金基金合同》的规定。基金经理对个股和投资组合的比例遵循了投资决策委员会的授权限制，基金投资比例符合基金合同和法律法规的要求。</w:t>
      </w: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4</w:t>
      </w:r>
      <w:r w:rsidRPr="008277FF">
        <w:rPr>
          <w:rFonts w:asciiTheme="minorEastAsia" w:cs="Arial" w:eastAsiaTheme="minorEastAsia" w:hAnsiTheme="minorEastAsia"/>
          <w:b/>
          <w:color w:themeColor="text1" w:val="000000"/>
          <w:kern w:val="0"/>
          <w:sz w:val="24"/>
        </w:rPr>
        <w:t xml:space="preserve"> </w:t>
      </w:r>
      <w:r w:rsidRPr="008277FF">
        <w:rPr>
          <w:rFonts w:asciiTheme="minorEastAsia" w:cs="Arial" w:eastAsiaTheme="minorEastAsia" w:hAnsiTheme="minorEastAsia" w:hint="eastAsia"/>
          <w:b/>
          <w:color w:themeColor="text1" w:val="000000"/>
          <w:kern w:val="0"/>
          <w:sz w:val="24"/>
        </w:rPr>
        <w:t>公平交易专项说明</w:t>
      </w:r>
    </w:p>
    <w:p w:rsidP="00A70E23" w:rsidR="00AB42E2" w:rsidRDefault="00AB42E2"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4.1</w:t>
      </w:r>
      <w:r w:rsidRPr="008277FF">
        <w:rPr>
          <w:rFonts w:asciiTheme="minorEastAsia" w:eastAsiaTheme="minorEastAsia" w:hAnsiTheme="minorEastAsia" w:hint="eastAsia"/>
          <w:color w:themeColor="text1" w:val="000000"/>
          <w:sz w:val="24"/>
        </w:rPr>
        <w:t>公平交易制度的执行情况</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P="00797DD2" w:rsidR="00AB42E2" w:rsidRDefault="001F3C28"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rsidP="00A70E23" w:rsidR="00AB42E2" w:rsidRDefault="00AB42E2"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4</w:t>
      </w:r>
      <w:r w:rsidRPr="008277FF">
        <w:rPr>
          <w:rFonts w:asciiTheme="minorEastAsia" w:eastAsiaTheme="minorEastAsia" w:hAnsiTheme="minorEastAsia" w:hint="eastAsia"/>
          <w:color w:themeColor="text1" w:val="000000"/>
          <w:sz w:val="24"/>
        </w:rPr>
        <w:t>.</w:t>
      </w:r>
      <w:r w:rsidR="00A32FDA" w:rsidRPr="008277FF">
        <w:rPr>
          <w:rFonts w:asciiTheme="minorEastAsia" w:eastAsiaTheme="minorEastAsia" w:hAnsiTheme="minorEastAsia" w:hint="eastAsia"/>
          <w:color w:themeColor="text1" w:val="000000"/>
          <w:sz w:val="24"/>
        </w:rPr>
        <w:t>2</w:t>
      </w:r>
      <w:r w:rsidRPr="008277FF">
        <w:rPr>
          <w:rFonts w:asciiTheme="minorEastAsia" w:eastAsiaTheme="minorEastAsia" w:hAnsiTheme="minorEastAsia" w:hint="eastAsia"/>
          <w:color w:themeColor="text1" w:val="000000"/>
          <w:sz w:val="24"/>
        </w:rPr>
        <w:t>异常交易行为的专项说明</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报告期内，通过对交易价格、交易时间、交易方向等的分析，未发现有可能导致不公平交易和利益输送的异常交易行为。</w:t>
      </w:r>
    </w:p>
    <w:p w:rsidP="00797DD2" w:rsidR="001F3C28" w:rsidRDefault="001F3C28"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所有投资组合参与的交易所公开竞价同日反向交易成交较少的单边交易量超过该证券当日成交量的5%的情形：报告期内，所有投资组合参与的交易所公开竞价同日反向交易成交较少的单边交易量超过该证券当日成交量的5%的次数为一次，发生在量化投资组合与主动管理投资组合之间。</w:t>
      </w: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A70E2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4.</w:t>
      </w:r>
      <w:r w:rsidR="00A32FDA" w:rsidRPr="008277FF">
        <w:rPr>
          <w:rFonts w:asciiTheme="minorEastAsia" w:cs="Arial" w:eastAsiaTheme="minorEastAsia" w:hAnsiTheme="minorEastAsia" w:hint="eastAsia"/>
          <w:b/>
          <w:color w:themeColor="text1" w:val="000000"/>
          <w:kern w:val="0"/>
          <w:sz w:val="24"/>
        </w:rPr>
        <w:t>5</w:t>
      </w:r>
      <w:r w:rsidRPr="008277FF">
        <w:rPr>
          <w:rFonts w:asciiTheme="minorEastAsia" w:cs="Arial" w:eastAsiaTheme="minorEastAsia" w:hAnsiTheme="minorEastAsia"/>
          <w:b/>
          <w:color w:themeColor="text1" w:val="000000"/>
          <w:kern w:val="0"/>
          <w:sz w:val="24"/>
        </w:rPr>
        <w:t xml:space="preserve"> </w:t>
      </w:r>
      <w:r w:rsidRPr="008277FF">
        <w:rPr>
          <w:rFonts w:asciiTheme="minorEastAsia" w:cs="Arial" w:eastAsiaTheme="minorEastAsia" w:hAnsiTheme="minorEastAsia" w:hint="eastAsia"/>
          <w:b/>
          <w:color w:themeColor="text1" w:val="000000"/>
          <w:kern w:val="0"/>
          <w:sz w:val="24"/>
        </w:rPr>
        <w:t>报告期内基金的投资策略和业绩表现说明</w:t>
      </w:r>
    </w:p>
    <w:p w:rsidP="00A70E23" w:rsidR="00462B61" w:rsidRDefault="00462B61"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5.1</w:t>
      </w:r>
      <w:r w:rsidRPr="008277FF">
        <w:rPr>
          <w:rFonts w:asciiTheme="minorEastAsia" w:eastAsiaTheme="minorEastAsia" w:hAnsiTheme="minorEastAsia" w:hint="eastAsia"/>
          <w:color w:themeColor="text1" w:val="000000"/>
          <w:sz w:val="24"/>
        </w:rPr>
        <w:t>报告期内基金投资策略和运作分析</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2018年的负面因素，如主要经济体逐步退出量化宽松、全球流动性收紧趋势下，美国强劲的经济数据以及美联储超预期加息的判断引发美元走强，强势美元导致新兴市场动荡、中美贸易摩擦以及油价上涨等，这些因素在2019年初皆有所改善。美联储多数官员表态赞成2019年暂停加息，并计划于9月结束缩表进程使得美元走弱，而中国经济指标逐步企稳，固定资产投资和消费数据均稳步复苏，经济有企稳迹象。中美贸易谈判仍然稳步推进，对全球经济有正面的影响。新兴市场在中国的带领下反弹强劲。</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 xml:space="preserve">亚洲新兴市场表现以中国内地及中国香港最佳，而马来西亚则是唯一下跌的市场。其他市场则以俄罗斯表现较佳。中国走过2018年的低谷，经济逐步企稳，中美贸易谈判稳步推进，政策相对积极托市，加上MSCI将A股纳入因子提升至20%及内地证监会和上交所公布科创板细则推动，市场反弹强劲。中国台湾及韩国也受惠于IT硬件及半导体上涨而反弹。印度在执政党可能在大选中获胜而在3月表现最佳。全球新兴市场基金由于超配中国，使得2019年一季度表现优于业绩基准。  </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color w:themeColor="text1" w:val="000000"/>
          <w:szCs w:val="21"/>
        </w:rPr>
        <w:t>展望第二季，美国经济数据喜忧参半，中美贸易谈判稳步推进，美国2018 年第四季度实际GDP年化同比终值为升2.2%，差于预期的2.4%。美国2 月未经季节性调整的CPI 同比增1.5%，不及前值及预期的1.6%。美国贸易代表莱特希泽、财政部长姆努钦于3 月28 日至29 日应邀访华，在北京举行第八轮中美经贸高级别磋商，双方讨论了协议有关文本，并取得新的进展。英国脱欧协议连续被否决显示内部分歧仍然较高，内部的割裂及脱欧日期和形式的不确定性给欧洲乃至全球的经济带来负面影响。土耳其货币在一季度底又见大幅波动，南美的阿根廷披索及巴西里埃亦随之贬值，带来风险因素。</w:t>
      </w:r>
    </w:p>
    <w:p w:rsidP="00797DD2" w:rsidR="00B0116D" w:rsidRDefault="00B0116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印度及印尼将举行选举。目前民调结果多偏向于执政党能获胜，这对政策的延续性有利，市场亦较欢迎此类结果。选举年对于消费、基建相关的个股通常有政策利好消息，而且央行也是我们的重点配置。我们仍然关注科技及消费板块，尤其是优质的龙头公司。由于一季度股市反弹强劲，第二季可能有拉回的压力，我们将在拉回时增配相关市场的消费及金融板块。</w:t>
      </w:r>
    </w:p>
    <w:p w:rsidP="00A70E23" w:rsidR="00462B61" w:rsidRDefault="00462B61"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hint="eastAsia"/>
          <w:color w:themeColor="text1" w:val="000000"/>
          <w:sz w:val="24"/>
        </w:rPr>
        <w:t>4.</w:t>
      </w:r>
      <w:r w:rsidR="00A32FDA" w:rsidRPr="008277FF">
        <w:rPr>
          <w:rFonts w:asciiTheme="minorEastAsia" w:eastAsiaTheme="minorEastAsia" w:hAnsiTheme="minorEastAsia" w:hint="eastAsia"/>
          <w:color w:themeColor="text1" w:val="000000"/>
          <w:sz w:val="24"/>
        </w:rPr>
        <w:t>5</w:t>
      </w:r>
      <w:r w:rsidRPr="008277FF">
        <w:rPr>
          <w:rFonts w:asciiTheme="minorEastAsia" w:eastAsiaTheme="minorEastAsia" w:hAnsiTheme="minorEastAsia" w:hint="eastAsia"/>
          <w:color w:themeColor="text1" w:val="000000"/>
          <w:sz w:val="24"/>
        </w:rPr>
        <w:t>.</w:t>
      </w:r>
      <w:r w:rsidR="00A32FDA" w:rsidRPr="008277FF">
        <w:rPr>
          <w:rFonts w:asciiTheme="minorEastAsia" w:eastAsiaTheme="minorEastAsia" w:hAnsiTheme="minorEastAsia" w:hint="eastAsia"/>
          <w:color w:themeColor="text1" w:val="000000"/>
          <w:sz w:val="24"/>
        </w:rPr>
        <w:t>2</w:t>
      </w:r>
      <w:r w:rsidRPr="008277FF">
        <w:rPr>
          <w:rFonts w:asciiTheme="minorEastAsia" w:eastAsiaTheme="minorEastAsia" w:hAnsiTheme="minorEastAsia" w:hint="eastAsia"/>
          <w:color w:themeColor="text1" w:val="000000"/>
          <w:sz w:val="24"/>
        </w:rPr>
        <w:t>报告期内基金的业绩表现</w:t>
      </w:r>
    </w:p>
    <w:p w:rsidP="00797DD2" w:rsidR="00FD7298" w:rsidRDefault="00B0116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本报告期本基金份额净值增长率为8.00%，同期业绩比较基准收益率为7.50%。</w:t>
      </w:r>
    </w:p>
    <w:p w:rsidP="00A70E23" w:rsidR="00C736BB" w:rsidRDefault="00C736BB" w:rsidRPr="008277FF">
      <w:pPr>
        <w:spacing w:line="360" w:lineRule="auto"/>
        <w:ind w:firstLine="480" w:firstLineChars="200"/>
        <w:rPr>
          <w:rFonts w:asciiTheme="minorEastAsia" w:eastAsiaTheme="minorEastAsia" w:hAnsiTheme="minorEastAsia"/>
          <w:color w:themeColor="text1" w:val="000000"/>
          <w:sz w:val="24"/>
        </w:rPr>
      </w:pPr>
    </w:p>
    <w:p w:rsidP="00D9766F" w:rsidR="00D9766F" w:rsidRDefault="00D9766F" w:rsidRPr="008277FF">
      <w:pPr>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b/>
          <w:color w:themeColor="text1" w:val="000000"/>
          <w:kern w:val="0"/>
          <w:sz w:val="24"/>
        </w:rPr>
        <w:t/>
      </w:r>
      <w:r w:rsidRPr="008277FF">
        <w:rPr>
          <w:rFonts w:asciiTheme="minorEastAsia" w:cs="Arial" w:eastAsiaTheme="minorEastAsia" w:hAnsiTheme="minorEastAsia"/>
          <w:b/>
          <w:color w:themeColor="text1" w:val="000000"/>
          <w:kern w:val="0"/>
          <w:sz w:val="24"/>
        </w:rPr>
        <w:t>4.</w:t>
      </w:r>
      <w:r w:rsidRPr="008277FF">
        <w:rPr>
          <w:rFonts w:asciiTheme="minorEastAsia" w:cs="Arial" w:eastAsiaTheme="minorEastAsia" w:hAnsiTheme="minorEastAsia" w:hint="eastAsia"/>
          <w:b/>
          <w:color w:themeColor="text1" w:val="000000"/>
          <w:kern w:val="0"/>
          <w:sz w:val="24"/>
        </w:rPr>
        <w:t>6</w:t>
      </w:r>
      <w:r w:rsidRPr="008277FF">
        <w:rPr>
          <w:rFonts w:asciiTheme="minorEastAsia" w:eastAsiaTheme="minorEastAsia" w:hAnsiTheme="minorEastAsia" w:hint="eastAsia"/>
          <w:b/>
          <w:color w:themeColor="text1" w:val="000000"/>
          <w:kern w:val="0"/>
          <w:sz w:val="24"/>
        </w:rPr>
        <w:t>报告期内基金持有人数或基金资产净值预警说明</w:t>
      </w:r>
    </w:p>
    <w:p w:rsidP="00D9766F" w:rsidR="00D9766F" w:rsidRDefault="00D9766F"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kern w:val="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color w:themeColor="text1" w:val="000000"/>
          <w:kern w:val="0"/>
          <w:szCs w:val="21"/>
        </w:rPr>
        <w:t>无。</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5  </w:t>
      </w:r>
      <w:r w:rsidRPr="008277FF">
        <w:rPr>
          <w:rFonts w:asciiTheme="minorEastAsia" w:cs="Arial" w:eastAsiaTheme="minorEastAsia" w:hAnsiTheme="minorEastAsia" w:hint="eastAsia"/>
          <w:color w:themeColor="text1" w:val="000000"/>
          <w:kern w:val="0"/>
          <w:sz w:val="24"/>
          <w:szCs w:val="24"/>
        </w:rPr>
        <w:t>投资组合报告</w:t>
      </w:r>
    </w:p>
    <w:p w:rsidP="00EC4BA3" w:rsidR="0076518F" w:rsidRDefault="0076518F"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 xml:space="preserve">5.1 </w:t>
      </w:r>
      <w:r w:rsidRPr="008277FF">
        <w:rPr>
          <w:rFonts w:asciiTheme="minorEastAsia" w:cs="Arial" w:eastAsiaTheme="minorEastAsia" w:hAnsiTheme="minorEastAsia" w:hint="eastAsia"/>
          <w:b/>
          <w:color w:themeColor="text1" w:val="000000"/>
          <w:kern w:val="0"/>
          <w:sz w:val="24"/>
        </w:rPr>
        <w:t>报告期末基金资产组合情况</w:t>
      </w:r>
    </w:p>
    <w:tbl>
      <w:tblPr>
        <w:tblW w:type="dxa" w:w="9498"/>
        <w:tblInd w:type="dxa" w:w="-34"/>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51"/>
        <w:gridCol w:w="4253"/>
        <w:gridCol w:w="2835"/>
        <w:gridCol w:w="1559"/>
      </w:tblGrid>
      <w:tr w:rsidR="008277FF" w:rsidRPr="008277FF" w:rsidTr="00592EFF">
        <w:tc>
          <w:tcPr>
            <w:tcW w:type="dxa" w:w="851"/>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序号</w:t>
            </w:r>
          </w:p>
        </w:tc>
        <w:tc>
          <w:tcPr>
            <w:tcW w:type="dxa" w:w="4253"/>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项目</w:t>
            </w:r>
            <w:r w:rsidR="00304106" w:rsidRPr="008277FF">
              <w:rPr>
                <w:rFonts w:asciiTheme="minorEastAsia" w:eastAsiaTheme="minorEastAsia" w:hAnsiTheme="minorEastAsia"/>
                <w:color w:themeColor="text1" w:val="000000"/>
                <w:szCs w:val="21"/>
              </w:rPr>
              <w:t/>
            </w:r>
          </w:p>
        </w:tc>
        <w:tc>
          <w:tcPr>
            <w:tcW w:type="dxa" w:w="2835"/>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金额(</w:t>
            </w:r>
            <w:r w:rsidR="002655D4" w:rsidRPr="008277FF">
              <w:rPr>
                <w:rFonts w:asciiTheme="minorEastAsia" w:eastAsiaTheme="minorEastAsia" w:hAnsiTheme="minorEastAsia" w:hint="eastAsia"/>
                <w:color w:themeColor="text1" w:val="000000"/>
                <w:szCs w:val="21"/>
              </w:rPr>
              <w:t>人民币</w:t>
            </w:r>
            <w:r w:rsidRPr="008277FF">
              <w:rPr>
                <w:rFonts w:asciiTheme="minorEastAsia" w:eastAsiaTheme="minorEastAsia" w:hAnsiTheme="minorEastAsia" w:hint="eastAsia"/>
                <w:color w:themeColor="text1" w:val="000000"/>
                <w:szCs w:val="21"/>
              </w:rPr>
              <w:t>元)</w:t>
            </w:r>
          </w:p>
        </w:tc>
        <w:tc>
          <w:tcPr>
            <w:tcW w:type="dxa" w:w="1559"/>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占基金总资产</w:t>
            </w:r>
            <w:r w:rsidRPr="008277FF">
              <w:rPr>
                <w:rFonts w:asciiTheme="minorEastAsia" w:eastAsiaTheme="minorEastAsia" w:hAnsiTheme="minorEastAsia" w:hint="eastAsia"/>
                <w:color w:themeColor="text1" w:val="000000"/>
                <w:szCs w:val="21"/>
              </w:rPr>
              <w:lastRenderedPageBreak/>
              <w:t>的比例(</w:t>
            </w:r>
            <w:r w:rsidRPr="008277FF">
              <w:rPr>
                <w:rFonts w:asciiTheme="minorEastAsia" w:eastAsiaTheme="minorEastAsia" w:hAnsiTheme="minorEastAsia"/>
                <w:color w:themeColor="text1" w:val="000000"/>
                <w:szCs w:val="21"/>
              </w:rPr>
              <w:t>%</w:t>
            </w:r>
            <w:r w:rsidRPr="008277FF">
              <w:rPr>
                <w:rFonts w:asciiTheme="minorEastAsia"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lastRenderedPageBreak/>
              <w:t>1</w:t>
            </w:r>
          </w:p>
        </w:tc>
        <w:tc>
          <w:tcPr>
            <w:tcW w:type="dxa" w:w="4253"/>
            <w:shd w:color="auto" w:fill="auto" w:val="clear"/>
            <w:vAlign w:val="center"/>
          </w:tcPr>
          <w:p w:rsidP="00877D98" w:rsidR="00363E15" w:rsidRDefault="00363E15"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权益投资</w:t>
            </w:r>
          </w:p>
        </w:tc>
        <w:tc>
          <w:tcPr>
            <w:tcW w:type="dxa" w:w="2835"/>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64,016,703.31</w:t>
            </w:r>
          </w:p>
        </w:tc>
        <w:tc>
          <w:tcPr>
            <w:tcW w:type="dxa" w:w="1559"/>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87.80</w:t>
            </w:r>
          </w:p>
        </w:tc>
      </w:tr>
      <w:tr w:rsidR="008277FF" w:rsidRPr="008277FF" w:rsidTr="00877D98">
        <w:tc>
          <w:tcPr>
            <w:tcW w:type="dxa" w:w="851"/>
            <w:shd w:color="auto" w:fill="auto" w:val="clear"/>
            <w:vAlign w:val="center"/>
          </w:tcPr>
          <w:p w:rsidP="00B918B8" w:rsidR="00363E15" w:rsidRDefault="00363E15"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363E15" w:rsidRDefault="00363E15"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w:t>
            </w:r>
            <w:r w:rsidR="00E462F4" w:rsidRPr="008277FF">
              <w:rPr>
                <w:rFonts w:asciiTheme="minorEastAsia" w:eastAsiaTheme="minorEastAsia" w:hAnsiTheme="minorEastAsia" w:hint="eastAsia"/>
                <w:color w:themeColor="text1" w:val="000000"/>
                <w:szCs w:val="21"/>
              </w:rPr>
              <w:t>普通股</w:t>
            </w:r>
          </w:p>
        </w:tc>
        <w:tc>
          <w:tcPr>
            <w:tcW w:type="dxa" w:w="2835"/>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8B0A73"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41,776,376.69</w:t>
            </w:r>
          </w:p>
        </w:tc>
        <w:tc>
          <w:tcPr>
            <w:tcW w:type="dxa" w:w="1559"/>
            <w:shd w:color="auto" w:fill="auto" w:val="clear"/>
            <w:vAlign w:val="center"/>
          </w:tcPr>
          <w:p w:rsidP="00BF1DD5" w:rsidR="00363E15" w:rsidRDefault="00363E15"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8620ED"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57.30</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spacing w:before="29" w:line="360" w:lineRule="auto"/>
              <w:ind w:firstLine="630" w:firstLineChars="300" w:left="17"/>
              <w:rPr>
                <w:rFonts w:asciiTheme="minorEastAsia" w:cs="宋体"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存托凭证</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22,240,326.62</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30.50</w:t>
            </w:r>
          </w:p>
        </w:tc>
      </w:tr>
      <w:tr w:rsidR="008277FF" w:rsidRPr="008277FF" w:rsidTr="00877D98">
        <w:tc>
          <w:tcPr>
            <w:tcW w:type="dxa" w:w="851"/>
            <w:shd w:color="auto" w:fill="auto" w:val="clear"/>
            <w:vAlign w:val="center"/>
          </w:tcPr>
          <w:p w:rsidP="00877D98" w:rsidR="00CE4499" w:rsidRDefault="00CE4499"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CE4499" w:rsidRDefault="00CE4499" w:rsidRPr="008277FF">
            <w:pPr>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优先股</w:t>
            </w:r>
          </w:p>
        </w:tc>
        <w:tc>
          <w:tcPr>
            <w:tcW w:type="dxa" w:w="2835"/>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CE4499" w:rsidRDefault="00CE4499"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CE4499" w:rsidRDefault="00CE4499" w:rsidRPr="008277FF">
            <w:pPr>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房地产信托</w:t>
            </w:r>
          </w:p>
        </w:tc>
        <w:tc>
          <w:tcPr>
            <w:tcW w:type="dxa" w:w="2835"/>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CE4499" w:rsidRDefault="00CE449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adjustRightInd w:val="0"/>
              <w:snapToGrid w:val="0"/>
              <w:spacing w:line="400" w:lineRule="exact"/>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2</w:t>
            </w:r>
          </w:p>
        </w:tc>
        <w:tc>
          <w:tcPr>
            <w:tcW w:type="dxa" w:w="4253"/>
            <w:shd w:color="auto" w:fill="auto" w:val="clear"/>
            <w:vAlign w:val="center"/>
          </w:tcPr>
          <w:p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基金投资</w:t>
            </w:r>
          </w:p>
        </w:tc>
        <w:tc>
          <w:tcPr>
            <w:tcW w:type="dxa" w:w="2835"/>
            <w:shd w:color="auto" w:fill="auto" w:val="clear"/>
            <w:vAlign w:val="center"/>
          </w:tcPr>
          <w:p w:rsidP="00BF1DD5" w:rsidR="00E462F4" w:rsidRDefault="006C4E1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C4E1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lastRenderedPageBreak/>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3</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固定收益投资</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00900F02"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其中：债券</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utoSpaceDE w:val="0"/>
              <w:autoSpaceDN w:val="0"/>
              <w:adjustRightInd w:val="0"/>
              <w:spacing w:before="29" w:line="360" w:lineRule="auto"/>
              <w:ind w:firstLine="630" w:firstLineChars="300"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资产支持证券</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4</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金融衍生品投资</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其中：远期</w:t>
            </w:r>
          </w:p>
        </w:tc>
        <w:tc>
          <w:tcPr>
            <w:tcW w:type="dxa" w:w="2835"/>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Del="00455464" w:rsidP="00877D98" w:rsidR="00E462F4" w:rsidRDefault="00E462F4" w:rsidRPr="008277FF">
            <w:pPr>
              <w:adjustRightInd w:val="0"/>
              <w:snapToGrid w:val="0"/>
              <w:spacing w:line="400" w:lineRule="exact"/>
              <w:ind w:firstLine="630" w:firstLineChars="3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期货</w:t>
            </w:r>
          </w:p>
        </w:tc>
        <w:tc>
          <w:tcPr>
            <w:tcW w:type="dxa" w:w="2835"/>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B918B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djustRightInd w:val="0"/>
              <w:snapToGrid w:val="0"/>
              <w:spacing w:line="400" w:lineRule="exact"/>
              <w:ind w:firstLine="630" w:firstLineChars="3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期权</w:t>
            </w:r>
          </w:p>
        </w:tc>
        <w:tc>
          <w:tcPr>
            <w:tcW w:type="dxa" w:w="2835"/>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adjustRightInd w:val="0"/>
              <w:snapToGrid w:val="0"/>
              <w:spacing w:line="400" w:lineRule="exact"/>
              <w:ind w:firstLine="626" w:firstLineChars="298"/>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权证</w:t>
            </w:r>
          </w:p>
        </w:tc>
        <w:tc>
          <w:tcPr>
            <w:tcW w:type="dxa" w:w="2835"/>
            <w:shd w:color="auto" w:fill="auto" w:val="clear"/>
            <w:vAlign w:val="center"/>
          </w:tcPr>
          <w:p w:rsidP="00877D98"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877D98" w:rsidR="00E462F4" w:rsidRDefault="00664F49"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5</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买入返售金融资产</w:t>
            </w:r>
          </w:p>
        </w:tc>
        <w:tc>
          <w:tcPr>
            <w:tcW w:type="dxa" w:w="2835"/>
            <w:shd w:color="auto" w:fill="auto" w:val="clear"/>
            <w:vAlign w:val="center"/>
          </w:tcPr>
          <w:p w:rsidP="00877D98"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877D98"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其中：买断式回购的买入返售金融资产</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lastRenderedPageBreak/>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adjustRightInd w:val="0"/>
              <w:snapToGrid w:val="0"/>
              <w:spacing w:line="400" w:lineRule="exact"/>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6</w:t>
            </w:r>
          </w:p>
        </w:tc>
        <w:tc>
          <w:tcPr>
            <w:tcW w:type="dxa" w:w="4253"/>
            <w:shd w:color="auto" w:fill="auto" w:val="clear"/>
            <w:vAlign w:val="center"/>
          </w:tcPr>
          <w:p w:rsidP="00877D98" w:rsidR="00E462F4" w:rsidRDefault="00E462F4" w:rsidRPr="008277FF">
            <w:pPr>
              <w:adjustRightInd w:val="0"/>
              <w:snapToGrid w:val="0"/>
              <w:spacing w:line="400" w:lineRule="exac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货币市场工具</w:t>
            </w:r>
          </w:p>
        </w:tc>
        <w:tc>
          <w:tcPr>
            <w:tcW w:type="dxa" w:w="2835"/>
            <w:shd w:color="auto" w:fill="auto" w:val="clear"/>
            <w:vAlign w:val="center"/>
          </w:tcPr>
          <w:p w:rsidP="00BF1DD5" w:rsidR="00E462F4" w:rsidRDefault="00CE7FC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c>
          <w:tcPr>
            <w:tcW w:type="dxa" w:w="1559"/>
            <w:shd w:color="auto" w:fill="auto" w:val="clear"/>
            <w:vAlign w:val="center"/>
          </w:tcPr>
          <w:p w:rsidP="00BF1DD5" w:rsidR="00E462F4" w:rsidRDefault="00CE7FC6"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w:t>
            </w:r>
          </w:p>
        </w:tc>
      </w:tr>
      <w:tr w:rsidR="008277FF" w:rsidRPr="008277FF" w:rsidTr="00877D98">
        <w:tc>
          <w:tcPr>
            <w:tcW w:type="dxa" w:w="851"/>
            <w:shd w:color="auto" w:fill="auto" w:val="clear"/>
            <w:vAlign w:val="center"/>
          </w:tcPr>
          <w:p w:rsidP="00877D98"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7</w:t>
            </w:r>
          </w:p>
        </w:tc>
        <w:tc>
          <w:tcPr>
            <w:tcW w:type="dxa" w:w="4253"/>
            <w:shd w:color="auto" w:fill="auto" w:val="clear"/>
            <w:vAlign w:val="center"/>
          </w:tcPr>
          <w:p w:rsidP="00877D98" w:rsidR="00E462F4" w:rsidRDefault="00E462F4" w:rsidRPr="008277FF">
            <w:pPr>
              <w:spacing w:before="29" w:line="360" w:lineRule="auto"/>
              <w:ind w:left="17"/>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银行存款和结算备付金合计</w:t>
            </w:r>
          </w:p>
        </w:tc>
        <w:tc>
          <w:tcPr>
            <w:tcW w:type="dxa" w:w="2835"/>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5,577,540.66</w:t>
            </w:r>
          </w:p>
        </w:tc>
        <w:tc>
          <w:tcPr>
            <w:tcW w:type="dxa" w:w="1559"/>
            <w:shd w:color="auto" w:fill="auto" w:val="clear"/>
            <w:vAlign w:val="center"/>
          </w:tcPr>
          <w:p w:rsidP="00BF1DD5" w:rsidR="00E462F4" w:rsidRDefault="00E462F4" w:rsidRPr="008277FF">
            <w:pPr>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7.65</w:t>
            </w:r>
          </w:p>
        </w:tc>
      </w:tr>
      <w:tr w:rsidR="008277FF" w:rsidRPr="008277FF" w:rsidTr="00797DD2">
        <w:tc>
          <w:tcPr>
            <w:tcW w:type="dxa" w:w="851"/>
            <w:shd w:color="auto" w:fill="auto" w:val="clear"/>
            <w:vAlign w:val="center"/>
          </w:tcPr>
          <w:p w:rsidP="00466B17"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00466B17"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8</w:t>
            </w:r>
          </w:p>
        </w:tc>
        <w:tc>
          <w:tcPr>
            <w:tcW w:type="dxa" w:w="4253"/>
            <w:shd w:color="auto" w:fill="auto" w:val="clear"/>
            <w:vAlign w:val="center"/>
          </w:tcPr>
          <w:p w:rsidP="00797DD2" w:rsidR="00E462F4" w:rsidRDefault="00E462F4" w:rsidRPr="008277FF">
            <w:pP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其他各项资产</w:t>
            </w:r>
          </w:p>
        </w:tc>
        <w:tc>
          <w:tcPr>
            <w:tcW w:type="dxa" w:w="2835"/>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3,317,654.86</w:t>
            </w:r>
          </w:p>
        </w:tc>
        <w:tc>
          <w:tcPr>
            <w:tcW w:type="dxa" w:w="1559"/>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4.55</w:t>
            </w:r>
          </w:p>
        </w:tc>
      </w:tr>
      <w:tr w:rsidR="008277FF" w:rsidRPr="008277FF" w:rsidTr="00797DD2">
        <w:tc>
          <w:tcPr>
            <w:tcW w:type="dxa" w:w="851"/>
            <w:shd w:color="auto" w:fill="auto" w:val="clear"/>
            <w:vAlign w:val="center"/>
          </w:tcPr>
          <w:p w:rsidP="00466B17" w:rsidR="00E462F4" w:rsidRDefault="00E462F4" w:rsidRPr="008277FF">
            <w:pPr>
              <w:spacing w:before="29" w:line="360" w:lineRule="auto"/>
              <w:ind w:left="17"/>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00466B17"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9</w:t>
            </w:r>
          </w:p>
        </w:tc>
        <w:tc>
          <w:tcPr>
            <w:tcW w:type="dxa" w:w="4253"/>
            <w:shd w:color="auto" w:fill="auto" w:val="clear"/>
            <w:vAlign w:val="center"/>
          </w:tcPr>
          <w:p w:rsidP="00797DD2" w:rsidR="00E462F4" w:rsidRDefault="00E462F4" w:rsidRPr="008277FF">
            <w:pPr>
              <w:rPr>
                <w:rFonts w:asciiTheme="minorEastAsia"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合计</w:t>
            </w:r>
          </w:p>
        </w:tc>
        <w:tc>
          <w:tcPr>
            <w:tcW w:type="dxa" w:w="2835"/>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72,911,898.83</w:t>
            </w:r>
          </w:p>
        </w:tc>
        <w:tc>
          <w:tcPr>
            <w:tcW w:type="dxa" w:w="1559"/>
            <w:shd w:color="auto" w:fill="auto" w:val="clear"/>
            <w:vAlign w:val="center"/>
          </w:tcPr>
          <w:p w:rsidP="00BF1DD5" w:rsidR="00E462F4" w:rsidRDefault="00E462F4" w:rsidRPr="008277FF">
            <w:pPr>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lastRenderedPageBreak/>
              <w:t/>
            </w:r>
            <w:r w:rsidRPr="008277FF">
              <w:rPr>
                <w:rFonts w:asciiTheme="minorEastAsia" w:cs="宋体" w:eastAsiaTheme="minorEastAsia" w:hAnsiTheme="minorEastAsia" w:hint="eastAsia"/>
                <w:color w:themeColor="text1" w:val="000000"/>
                <w:szCs w:val="21"/>
              </w:rPr>
              <w:t>100.00</w:t>
            </w:r>
          </w:p>
        </w:tc>
      </w:tr>
    </w:tbl>
    <w:bookmarkEnd w:id="2"/>
    <w:p w:rsidP="00363E15" w:rsidR="00F512C0" w:rsidRDefault="00F512C0" w:rsidRPr="008277FF">
      <w:pPr>
        <w:autoSpaceDE w:val="0"/>
        <w:autoSpaceDN w:val="0"/>
        <w:adjustRightInd w:val="0"/>
        <w:spacing w:line="360" w:lineRule="auto"/>
        <w:jc w:val="left"/>
        <w:rPr>
          <w:rFonts w:asciiTheme="minorEastAsia" w:eastAsiaTheme="minorEastAsia" w:hAnsiTheme="minorEastAsia"/>
          <w:color w:themeColor="text1" w:val="000000"/>
          <w:szCs w:val="21"/>
        </w:rPr>
      </w:pPr>
    </w:p>
    <w:p w:rsidP="00EC4BA3" w:rsidR="0076518F" w:rsidRDefault="00A82C02"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2</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报告期末在各个国家（地区）证券市场的股票及存托凭证投资分布</w:t>
      </w:r>
    </w:p>
    <w:tbl>
      <w:tblPr>
        <w:tblStyle w:val="af7"/>
        <w:tblW w:type="dxa" w:w="8604"/>
        <w:jc w:val="center"/>
        <w:tblInd w:type="dxa" w:w="576"/>
        <w:tblLayout w:type="fixed"/>
        <w:tblLook w:val="04A0"/>
      </w:tblPr>
      <w:tblGrid>
        <w:gridCol w:w="2410"/>
        <w:gridCol w:w="3118"/>
        <w:gridCol w:w="3076"/>
      </w:tblGrid>
      <w:tr w:rsidR="008277FF" w:rsidRPr="008277FF" w:rsidTr="002C042C">
        <w:trPr>
          <w:jc w:val="center"/>
        </w:trPr>
        <w:tc>
          <w:tcPr>
            <w:tcW w:type="dxa" w:w="2410"/>
            <w:vAlign w:val="center"/>
          </w:tcPr>
          <w:p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国家（地区）</w:t>
            </w:r>
          </w:p>
        </w:tc>
        <w:tc>
          <w:tcPr>
            <w:tcW w:type="dxa" w:w="3118"/>
            <w:vAlign w:val="center"/>
          </w:tcPr>
          <w:p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w:t>
            </w:r>
            <w:r w:rsidRPr="008277FF">
              <w:rPr>
                <w:rFonts w:asciiTheme="minorEastAsia" w:cs="Arial" w:eastAsiaTheme="minorEastAsia" w:hAnsiTheme="minorEastAsia"/>
                <w:color w:themeColor="text1" w:val="000000"/>
                <w:kern w:val="0"/>
                <w:szCs w:val="21"/>
              </w:rPr>
              <w:t>(</w:t>
            </w:r>
            <w:r w:rsidRPr="008277FF">
              <w:rPr>
                <w:rFonts w:asciiTheme="minorEastAsia" w:cs="Arial" w:eastAsiaTheme="minorEastAsia" w:hAnsiTheme="minorEastAsia" w:hint="eastAsia"/>
                <w:color w:themeColor="text1" w:val="000000"/>
                <w:kern w:val="0"/>
                <w:szCs w:val="21"/>
              </w:rPr>
              <w:t>人民币元</w:t>
            </w:r>
            <w:r w:rsidRPr="008277FF">
              <w:rPr>
                <w:rFonts w:asciiTheme="minorEastAsia" w:cs="Arial" w:eastAsiaTheme="minorEastAsia" w:hAnsiTheme="minorEastAsia"/>
                <w:color w:themeColor="text1" w:val="000000"/>
                <w:kern w:val="0"/>
                <w:szCs w:val="21"/>
              </w:rPr>
              <w:t>)</w:t>
            </w:r>
          </w:p>
        </w:tc>
        <w:tc>
          <w:tcPr>
            <w:tcW w:type="dxa" w:w="3076"/>
            <w:vAlign w:val="center"/>
          </w:tcPr>
          <w:p w:rsidP="00797DD2" w:rsidR="002C042C" w:rsidRDefault="002C042C"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tc>
          <w:tcPr>
            <w:vAlign w:val="center"/>
          </w:tcPr>
          <w:p>
            <w:pPr>
              <w:jc w:val="left"/>
            </w:pPr>
            <w:r>
              <w:rPr>
                <w:rFonts w:asciiTheme="minorEastAsia" w:eastAsiaTheme="minorEastAsia" w:hAnsiTheme="minorEastAsia"/>
                <w:color w:themeColor="text1" w:val="000000"/>
                <w:szCs w:val="21"/>
              </w:rPr>
              <w:t>中国香港</w:t>
            </w:r>
          </w:p>
        </w:tc>
        <w:tc>
          <w:tcPr>
            <w:vAlign w:val="center"/>
          </w:tcPr>
          <w:p>
            <w:pPr>
              <w:jc w:val="right"/>
            </w:pPr>
            <w:r>
              <w:rPr>
                <w:rFonts w:asciiTheme="minorEastAsia" w:eastAsiaTheme="minorEastAsia" w:hAnsiTheme="minorEastAsia"/>
                <w:color w:themeColor="text1" w:val="000000"/>
                <w:szCs w:val="21"/>
              </w:rPr>
              <w:t>25,217,384.03</w:t>
            </w:r>
          </w:p>
        </w:tc>
        <w:tc>
          <w:tcPr>
            <w:vAlign w:val="center"/>
          </w:tcPr>
          <w:p>
            <w:pPr>
              <w:jc w:val="right"/>
            </w:pPr>
            <w:r>
              <w:rPr>
                <w:rFonts w:asciiTheme="minorEastAsia" w:eastAsiaTheme="minorEastAsia" w:hAnsiTheme="minorEastAsia"/>
                <w:color w:themeColor="text1" w:val="000000"/>
                <w:szCs w:val="21"/>
              </w:rPr>
              <w:t>36.40</w:t>
            </w:r>
          </w:p>
        </w:tc>
      </w:tr>
      <w:tr>
        <w:tc>
          <w:tcPr>
            <w:vAlign w:val="center"/>
          </w:tcPr>
          <w:p>
            <w:pPr>
              <w:jc w:val="left"/>
            </w:pPr>
            <w:r>
              <w:rPr>
                <w:rFonts w:asciiTheme="minorEastAsia" w:eastAsiaTheme="minorEastAsia" w:hAnsiTheme="minorEastAsia"/>
                <w:color w:themeColor="text1" w:val="000000"/>
                <w:szCs w:val="21"/>
              </w:rPr>
              <w:t>韩国</w:t>
            </w:r>
          </w:p>
        </w:tc>
        <w:tc>
          <w:tcPr>
            <w:vAlign w:val="center"/>
          </w:tcPr>
          <w:p>
            <w:pPr>
              <w:jc w:val="right"/>
            </w:pPr>
            <w:r>
              <w:rPr>
                <w:rFonts w:asciiTheme="minorEastAsia" w:eastAsiaTheme="minorEastAsia" w:hAnsiTheme="minorEastAsia"/>
                <w:color w:themeColor="text1" w:val="000000"/>
                <w:szCs w:val="21"/>
              </w:rPr>
              <w:t>9,153,542.20</w:t>
            </w:r>
          </w:p>
        </w:tc>
        <w:tc>
          <w:tcPr>
            <w:vAlign w:val="center"/>
          </w:tcPr>
          <w:p>
            <w:pPr>
              <w:jc w:val="right"/>
            </w:pPr>
            <w:r>
              <w:rPr>
                <w:rFonts w:asciiTheme="minorEastAsia" w:eastAsiaTheme="minorEastAsia" w:hAnsiTheme="minorEastAsia"/>
                <w:color w:themeColor="text1" w:val="000000"/>
                <w:szCs w:val="21"/>
              </w:rPr>
              <w:t>13.21</w:t>
            </w:r>
          </w:p>
        </w:tc>
      </w:tr>
      <w:tr>
        <w:tc>
          <w:tcPr>
            <w:vAlign w:val="center"/>
          </w:tcPr>
          <w:p>
            <w:pPr>
              <w:jc w:val="left"/>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20,005,137.74</w:t>
            </w:r>
          </w:p>
        </w:tc>
        <w:tc>
          <w:tcPr>
            <w:vAlign w:val="center"/>
          </w:tcPr>
          <w:p>
            <w:pPr>
              <w:jc w:val="right"/>
            </w:pPr>
            <w:r>
              <w:rPr>
                <w:rFonts w:asciiTheme="minorEastAsia" w:eastAsiaTheme="minorEastAsia" w:hAnsiTheme="minorEastAsia"/>
                <w:color w:themeColor="text1" w:val="000000"/>
                <w:szCs w:val="21"/>
              </w:rPr>
              <w:t>28.88</w:t>
            </w:r>
          </w:p>
        </w:tc>
      </w:tr>
      <w:tr>
        <w:tc>
          <w:tcPr>
            <w:vAlign w:val="center"/>
          </w:tcPr>
          <w:p>
            <w:pPr>
              <w:jc w:val="left"/>
            </w:pPr>
            <w:r>
              <w:rPr>
                <w:rFonts w:asciiTheme="minorEastAsia" w:eastAsiaTheme="minorEastAsia" w:hAnsiTheme="minorEastAsia"/>
                <w:color w:themeColor="text1" w:val="000000"/>
                <w:szCs w:val="21"/>
              </w:rPr>
              <w:t>印度尼西亚</w:t>
            </w:r>
          </w:p>
        </w:tc>
        <w:tc>
          <w:tcPr>
            <w:vAlign w:val="center"/>
          </w:tcPr>
          <w:p>
            <w:pPr>
              <w:jc w:val="right"/>
            </w:pPr>
            <w:r>
              <w:rPr>
                <w:rFonts w:asciiTheme="minorEastAsia" w:eastAsiaTheme="minorEastAsia" w:hAnsiTheme="minorEastAsia"/>
                <w:color w:themeColor="text1" w:val="000000"/>
                <w:szCs w:val="21"/>
              </w:rPr>
              <w:t>4,489,343.60</w:t>
            </w:r>
          </w:p>
        </w:tc>
        <w:tc>
          <w:tcPr>
            <w:vAlign w:val="center"/>
          </w:tcPr>
          <w:p>
            <w:pPr>
              <w:jc w:val="right"/>
            </w:pPr>
            <w:r>
              <w:rPr>
                <w:rFonts w:asciiTheme="minorEastAsia" w:eastAsiaTheme="minorEastAsia" w:hAnsiTheme="minorEastAsia"/>
                <w:color w:themeColor="text1" w:val="000000"/>
                <w:szCs w:val="21"/>
              </w:rPr>
              <w:t>6.48</w:t>
            </w:r>
          </w:p>
        </w:tc>
      </w:tr>
      <w:tr>
        <w:tc>
          <w:tcPr>
            <w:vAlign w:val="center"/>
          </w:tcPr>
          <w:p>
            <w:pPr>
              <w:jc w:val="left"/>
            </w:pPr>
            <w:r>
              <w:rPr>
                <w:rFonts w:asciiTheme="minorEastAsia" w:eastAsiaTheme="minorEastAsia" w:hAnsiTheme="minorEastAsia"/>
                <w:color w:themeColor="text1" w:val="000000"/>
                <w:szCs w:val="21"/>
              </w:rPr>
              <w:t>泰国</w:t>
            </w:r>
          </w:p>
        </w:tc>
        <w:tc>
          <w:tcPr>
            <w:vAlign w:val="center"/>
          </w:tcPr>
          <w:p>
            <w:pPr>
              <w:jc w:val="right"/>
            </w:pPr>
            <w:r>
              <w:rPr>
                <w:rFonts w:asciiTheme="minorEastAsia" w:eastAsiaTheme="minorEastAsia" w:hAnsiTheme="minorEastAsia"/>
                <w:color w:themeColor="text1" w:val="000000"/>
                <w:szCs w:val="21"/>
              </w:rPr>
              <w:t>1,857,472.03</w:t>
            </w:r>
          </w:p>
        </w:tc>
        <w:tc>
          <w:tcPr>
            <w:vAlign w:val="center"/>
          </w:tcPr>
          <w:p>
            <w:pPr>
              <w:jc w:val="right"/>
            </w:pPr>
            <w:r>
              <w:rPr>
                <w:rFonts w:asciiTheme="minorEastAsia" w:eastAsiaTheme="minorEastAsia" w:hAnsiTheme="minorEastAsia"/>
                <w:color w:themeColor="text1" w:val="000000"/>
                <w:szCs w:val="21"/>
              </w:rPr>
              <w:t>2.68</w:t>
            </w:r>
          </w:p>
        </w:tc>
      </w:tr>
      <w:tr>
        <w:tc>
          <w:tcPr>
            <w:vAlign w:val="center"/>
          </w:tcPr>
          <w:p>
            <w:pPr>
              <w:jc w:val="left"/>
            </w:pPr>
            <w:r>
              <w:rPr>
                <w:rFonts w:asciiTheme="minorEastAsia" w:eastAsiaTheme="minorEastAsia" w:hAnsiTheme="minorEastAsia"/>
                <w:color w:themeColor="text1" w:val="000000"/>
                <w:szCs w:val="21"/>
              </w:rPr>
              <w:t>中国台湾</w:t>
            </w:r>
          </w:p>
        </w:tc>
        <w:tc>
          <w:tcPr>
            <w:vAlign w:val="center"/>
          </w:tcPr>
          <w:p>
            <w:pPr>
              <w:jc w:val="right"/>
            </w:pPr>
            <w:r>
              <w:rPr>
                <w:rFonts w:asciiTheme="minorEastAsia" w:eastAsiaTheme="minorEastAsia" w:hAnsiTheme="minorEastAsia"/>
                <w:color w:themeColor="text1" w:val="000000"/>
                <w:szCs w:val="21"/>
              </w:rPr>
              <w:t>2,235,188.88</w:t>
            </w:r>
          </w:p>
        </w:tc>
        <w:tc>
          <w:tcPr>
            <w:vAlign w:val="center"/>
          </w:tcPr>
          <w:p>
            <w:pPr>
              <w:jc w:val="right"/>
            </w:pPr>
            <w:r>
              <w:rPr>
                <w:rFonts w:asciiTheme="minorEastAsia" w:eastAsiaTheme="minorEastAsia" w:hAnsiTheme="minorEastAsia"/>
                <w:color w:themeColor="text1" w:val="000000"/>
                <w:szCs w:val="21"/>
              </w:rPr>
              <w:t>3.23</w:t>
            </w:r>
          </w:p>
        </w:tc>
      </w:tr>
      <w:tr>
        <w:tc>
          <w:tcPr>
            <w:vAlign w:val="center"/>
          </w:tcPr>
          <w:p>
            <w:pPr>
              <w:jc w:val="left"/>
            </w:pPr>
            <w:r>
              <w:rPr>
                <w:rFonts w:asciiTheme="minorEastAsia" w:eastAsiaTheme="minorEastAsia" w:hAnsiTheme="minorEastAsia"/>
                <w:color w:themeColor="text1" w:val="000000"/>
                <w:szCs w:val="21"/>
              </w:rPr>
              <w:t>南非</w:t>
            </w:r>
          </w:p>
        </w:tc>
        <w:tc>
          <w:tcPr>
            <w:vAlign w:val="center"/>
          </w:tcPr>
          <w:p>
            <w:pPr>
              <w:jc w:val="right"/>
            </w:pPr>
            <w:r>
              <w:rPr>
                <w:rFonts w:asciiTheme="minorEastAsia" w:eastAsiaTheme="minorEastAsia" w:hAnsiTheme="minorEastAsia"/>
                <w:color w:themeColor="text1" w:val="000000"/>
                <w:szCs w:val="21"/>
              </w:rPr>
              <w:t>1,058,634.83</w:t>
            </w:r>
          </w:p>
        </w:tc>
        <w:tc>
          <w:tcPr>
            <w:vAlign w:val="center"/>
          </w:tcPr>
          <w:p>
            <w:pPr>
              <w:jc w:val="right"/>
            </w:pPr>
            <w:r>
              <w:rPr>
                <w:rFonts w:asciiTheme="minorEastAsia" w:eastAsiaTheme="minorEastAsia" w:hAnsiTheme="minorEastAsia"/>
                <w:color w:themeColor="text1" w:val="000000"/>
                <w:szCs w:val="21"/>
              </w:rPr>
              <w:t>1.53</w:t>
            </w:r>
          </w:p>
        </w:tc>
      </w:tr>
      <w:tr w:rsidR="008277FF" w:rsidRPr="008277FF" w:rsidTr="00877D98">
        <w:trPr>
          <w:jc w:val="center"/>
        </w:trPr>
        <w:tc>
          <w:tcPr>
            <w:tcW w:type="dxa" w:w="2410"/>
            <w:vAlign w:val="center"/>
          </w:tcPr>
          <w:p w:rsidP="00877D98" w:rsidR="002C042C" w:rsidRDefault="002C042C" w:rsidRPr="008277FF">
            <w:pPr>
              <w:autoSpaceDE w:val="0"/>
              <w:autoSpaceDN w:val="0"/>
              <w:adjustRightInd w:val="0"/>
              <w:spacing w:before="29" w:line="360" w:lineRule="auto"/>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合计</w:t>
            </w:r>
          </w:p>
        </w:tc>
        <w:tc>
          <w:tcPr>
            <w:tcW w:type="dxa" w:w="3118"/>
            <w:vAlign w:val="center"/>
          </w:tcPr>
          <w:p w:rsidP="00877D98" w:rsidR="002C042C" w:rsidRDefault="002C042C" w:rsidRPr="008277FF">
            <w:pPr>
              <w:autoSpaceDE w:val="0"/>
              <w:autoSpaceDN w:val="0"/>
              <w:adjustRightInd w:val="0"/>
              <w:spacing w:before="29" w:line="360" w:lineRule="auto"/>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64,016,703.31</w:t>
            </w:r>
          </w:p>
        </w:tc>
        <w:tc>
          <w:tcPr>
            <w:tcW w:type="dxa" w:w="3076"/>
            <w:vAlign w:val="center"/>
          </w:tcPr>
          <w:p w:rsidP="00877D98" w:rsidR="002C042C" w:rsidRDefault="002C042C" w:rsidRPr="008277FF">
            <w:pPr>
              <w:autoSpaceDE w:val="0"/>
              <w:autoSpaceDN w:val="0"/>
              <w:adjustRightInd w:val="0"/>
              <w:spacing w:before="29" w:line="360" w:lineRule="auto"/>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92.40</w:t>
            </w:r>
          </w:p>
        </w:tc>
      </w:tr>
    </w:tbl>
    <w:p w:rsidP="00363E15" w:rsidR="00363E15" w:rsidRDefault="00363E1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注：国家（地区）类别根据其所在的证券交易所确定，ADR、GDR按照存托凭证本身挂牌的证券交易所确定。</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C37E98"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3</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报告期末按行业分类的股票及存托凭证投资组合</w:t>
      </w:r>
    </w:p>
    <w:tbl>
      <w:tblPr>
        <w:tblStyle w:val="af7"/>
        <w:tblW w:type="auto" w:w="0"/>
        <w:tblInd w:type="dxa" w:w="15"/>
        <w:tblLayout w:type="fixed"/>
        <w:tblLook w:val="04A0"/>
      </w:tblPr>
      <w:tblGrid>
        <w:gridCol w:w="2787"/>
        <w:gridCol w:w="2551"/>
        <w:gridCol w:w="3175"/>
      </w:tblGrid>
      <w:tr w:rsidR="008277FF" w:rsidRPr="008277FF" w:rsidTr="008B2EAD">
        <w:tc>
          <w:tcPr>
            <w:tcW w:type="dxa" w:w="2787"/>
            <w:vAlign w:val="center"/>
          </w:tcPr>
          <w:p w:rsidP="00797DD2" w:rsidR="00C37E98" w:rsidRDefault="00C37E98"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行业类别</w:t>
            </w:r>
            <w:r w:rsidR="00304E97" w:rsidRPr="008277FF">
              <w:rPr>
                <w:rFonts w:asciiTheme="minorEastAsia" w:cs="Arial" w:eastAsiaTheme="minorEastAsia" w:hAnsiTheme="minorEastAsia"/>
                <w:color w:themeColor="text1" w:val="000000"/>
                <w:kern w:val="0"/>
                <w:szCs w:val="21"/>
              </w:rPr>
              <w:t/>
            </w:r>
          </w:p>
        </w:tc>
        <w:tc>
          <w:tcPr>
            <w:tcW w:type="dxa" w:w="2551"/>
            <w:vAlign w:val="center"/>
          </w:tcPr>
          <w:p w:rsidP="00797DD2" w:rsidR="00C37E98" w:rsidRDefault="00C37E98"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公允价值（人民币元）</w:t>
            </w:r>
          </w:p>
        </w:tc>
        <w:tc>
          <w:tcPr>
            <w:tcW w:type="dxa" w:w="3175"/>
            <w:vAlign w:val="center"/>
          </w:tcPr>
          <w:p w:rsidP="00797DD2" w:rsidR="00C37E98" w:rsidRDefault="00C37E98"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tc>
          <w:tcPr>
            <w:vAlign w:val="center"/>
          </w:tcPr>
          <w:p>
            <w:pPr>
              <w:jc w:val="left"/>
            </w:pPr>
            <w:r>
              <w:rPr>
                <w:rFonts w:asciiTheme="minorEastAsia" w:eastAsiaTheme="minorEastAsia" w:hAnsiTheme="minorEastAsia"/>
                <w:color w:themeColor="text1" w:val="000000"/>
                <w:szCs w:val="21"/>
              </w:rPr>
              <w:t>商业银行</w:t>
            </w:r>
          </w:p>
        </w:tc>
        <w:tc>
          <w:tcPr>
            <w:vAlign w:val="center"/>
          </w:tcPr>
          <w:p>
            <w:pPr>
              <w:jc w:val="right"/>
            </w:pPr>
            <w:r>
              <w:rPr>
                <w:rFonts w:asciiTheme="minorEastAsia" w:eastAsiaTheme="minorEastAsia" w:hAnsiTheme="minorEastAsia"/>
                <w:color w:themeColor="text1" w:val="000000"/>
                <w:szCs w:val="21"/>
              </w:rPr>
              <w:t>13,657,789.85</w:t>
            </w:r>
          </w:p>
        </w:tc>
        <w:tc>
          <w:tcPr>
            <w:vAlign w:val="center"/>
          </w:tcPr>
          <w:p>
            <w:pPr>
              <w:jc w:val="right"/>
            </w:pPr>
            <w:r>
              <w:rPr>
                <w:rFonts w:asciiTheme="minorEastAsia" w:eastAsiaTheme="minorEastAsia" w:hAnsiTheme="minorEastAsia"/>
                <w:color w:themeColor="text1" w:val="000000"/>
                <w:szCs w:val="21"/>
              </w:rPr>
              <w:t>19.71</w:t>
            </w:r>
          </w:p>
        </w:tc>
      </w:tr>
      <w:tr>
        <w:tc>
          <w:tcPr>
            <w:vAlign w:val="center"/>
          </w:tcPr>
          <w:p>
            <w:pPr>
              <w:jc w:val="left"/>
            </w:pPr>
            <w:r>
              <w:rPr>
                <w:rFonts w:asciiTheme="minorEastAsia" w:eastAsiaTheme="minorEastAsia" w:hAnsiTheme="minorEastAsia"/>
                <w:color w:themeColor="text1" w:val="000000"/>
                <w:szCs w:val="21"/>
              </w:rPr>
              <w:t>保险</w:t>
            </w:r>
          </w:p>
        </w:tc>
        <w:tc>
          <w:tcPr>
            <w:vAlign w:val="center"/>
          </w:tcPr>
          <w:p>
            <w:pPr>
              <w:jc w:val="right"/>
            </w:pPr>
            <w:r>
              <w:rPr>
                <w:rFonts w:asciiTheme="minorEastAsia" w:eastAsiaTheme="minorEastAsia" w:hAnsiTheme="minorEastAsia"/>
                <w:color w:themeColor="text1" w:val="000000"/>
                <w:szCs w:val="21"/>
              </w:rPr>
              <w:t>7,388,715.03</w:t>
            </w:r>
          </w:p>
        </w:tc>
        <w:tc>
          <w:tcPr>
            <w:vAlign w:val="center"/>
          </w:tcPr>
          <w:p>
            <w:pPr>
              <w:jc w:val="right"/>
            </w:pPr>
            <w:r>
              <w:rPr>
                <w:rFonts w:asciiTheme="minorEastAsia" w:eastAsiaTheme="minorEastAsia" w:hAnsiTheme="minorEastAsia"/>
                <w:color w:themeColor="text1" w:val="000000"/>
                <w:szCs w:val="21"/>
              </w:rPr>
              <w:t>10.67</w:t>
            </w:r>
          </w:p>
        </w:tc>
      </w:tr>
      <w:tr>
        <w:tc>
          <w:tcPr>
            <w:vAlign w:val="center"/>
          </w:tcPr>
          <w:p>
            <w:pPr>
              <w:jc w:val="left"/>
            </w:pPr>
            <w:r>
              <w:rPr>
                <w:rFonts w:asciiTheme="minorEastAsia" w:eastAsiaTheme="minorEastAsia" w:hAnsiTheme="minorEastAsia"/>
                <w:color w:themeColor="text1" w:val="000000"/>
                <w:szCs w:val="21"/>
              </w:rPr>
              <w:t>互动媒体与服务</w:t>
            </w:r>
          </w:p>
        </w:tc>
        <w:tc>
          <w:tcPr>
            <w:vAlign w:val="center"/>
          </w:tcPr>
          <w:p>
            <w:pPr>
              <w:jc w:val="right"/>
            </w:pPr>
            <w:r>
              <w:rPr>
                <w:rFonts w:asciiTheme="minorEastAsia" w:eastAsiaTheme="minorEastAsia" w:hAnsiTheme="minorEastAsia"/>
                <w:color w:themeColor="text1" w:val="000000"/>
                <w:szCs w:val="21"/>
              </w:rPr>
              <w:t>6,777,263.22</w:t>
            </w:r>
          </w:p>
        </w:tc>
        <w:tc>
          <w:tcPr>
            <w:vAlign w:val="center"/>
          </w:tcPr>
          <w:p>
            <w:pPr>
              <w:jc w:val="right"/>
            </w:pPr>
            <w:r>
              <w:rPr>
                <w:rFonts w:asciiTheme="minorEastAsia" w:eastAsiaTheme="minorEastAsia" w:hAnsiTheme="minorEastAsia"/>
                <w:color w:themeColor="text1" w:val="000000"/>
                <w:szCs w:val="21"/>
              </w:rPr>
              <w:t>9.78</w:t>
            </w:r>
          </w:p>
        </w:tc>
      </w:tr>
      <w:tr>
        <w:tc>
          <w:tcPr>
            <w:vAlign w:val="center"/>
          </w:tcPr>
          <w:p>
            <w:pPr>
              <w:jc w:val="left"/>
            </w:pPr>
            <w:r>
              <w:rPr>
                <w:rFonts w:asciiTheme="minorEastAsia" w:eastAsiaTheme="minorEastAsia" w:hAnsiTheme="minorEastAsia"/>
                <w:color w:themeColor="text1" w:val="000000"/>
                <w:szCs w:val="21"/>
              </w:rPr>
              <w:t>网络营销与直销零售</w:t>
            </w:r>
          </w:p>
        </w:tc>
        <w:tc>
          <w:tcPr>
            <w:vAlign w:val="center"/>
          </w:tcPr>
          <w:p>
            <w:pPr>
              <w:jc w:val="right"/>
            </w:pPr>
            <w:r>
              <w:rPr>
                <w:rFonts w:asciiTheme="minorEastAsia" w:eastAsiaTheme="minorEastAsia" w:hAnsiTheme="minorEastAsia"/>
                <w:color w:themeColor="text1" w:val="000000"/>
                <w:szCs w:val="21"/>
              </w:rPr>
              <w:t>5,704,780.92</w:t>
            </w:r>
          </w:p>
        </w:tc>
        <w:tc>
          <w:tcPr>
            <w:vAlign w:val="center"/>
          </w:tcPr>
          <w:p>
            <w:pPr>
              <w:jc w:val="right"/>
            </w:pPr>
            <w:r>
              <w:rPr>
                <w:rFonts w:asciiTheme="minorEastAsia" w:eastAsiaTheme="minorEastAsia" w:hAnsiTheme="minorEastAsia"/>
                <w:color w:themeColor="text1" w:val="000000"/>
                <w:szCs w:val="21"/>
              </w:rPr>
              <w:t>8.23</w:t>
            </w:r>
          </w:p>
        </w:tc>
      </w:tr>
      <w:tr>
        <w:tc>
          <w:tcPr>
            <w:vAlign w:val="center"/>
          </w:tcPr>
          <w:p>
            <w:pPr>
              <w:jc w:val="left"/>
            </w:pPr>
            <w:r>
              <w:rPr>
                <w:rFonts w:asciiTheme="minorEastAsia" w:eastAsiaTheme="minorEastAsia" w:hAnsiTheme="minorEastAsia"/>
                <w:color w:themeColor="text1" w:val="000000"/>
                <w:szCs w:val="21"/>
              </w:rPr>
              <w:t>科技硬件、存储及周边</w:t>
            </w:r>
          </w:p>
        </w:tc>
        <w:tc>
          <w:tcPr>
            <w:vAlign w:val="center"/>
          </w:tcPr>
          <w:p>
            <w:pPr>
              <w:jc w:val="right"/>
            </w:pPr>
            <w:r>
              <w:rPr>
                <w:rFonts w:asciiTheme="minorEastAsia" w:eastAsiaTheme="minorEastAsia" w:hAnsiTheme="minorEastAsia"/>
                <w:color w:themeColor="text1" w:val="000000"/>
                <w:szCs w:val="21"/>
              </w:rPr>
              <w:t>4,181,723.58</w:t>
            </w:r>
          </w:p>
        </w:tc>
        <w:tc>
          <w:tcPr>
            <w:vAlign w:val="center"/>
          </w:tcPr>
          <w:p>
            <w:pPr>
              <w:jc w:val="right"/>
            </w:pPr>
            <w:r>
              <w:rPr>
                <w:rFonts w:asciiTheme="minorEastAsia" w:eastAsiaTheme="minorEastAsia" w:hAnsiTheme="minorEastAsia"/>
                <w:color w:themeColor="text1" w:val="000000"/>
                <w:szCs w:val="21"/>
              </w:rPr>
              <w:t>6.04</w:t>
            </w:r>
          </w:p>
        </w:tc>
      </w:tr>
      <w:tr>
        <w:tc>
          <w:tcPr>
            <w:vAlign w:val="center"/>
          </w:tcPr>
          <w:p>
            <w:pPr>
              <w:jc w:val="left"/>
            </w:pPr>
            <w:r>
              <w:rPr>
                <w:rFonts w:asciiTheme="minorEastAsia" w:eastAsiaTheme="minorEastAsia" w:hAnsiTheme="minorEastAsia"/>
                <w:color w:themeColor="text1" w:val="000000"/>
                <w:szCs w:val="21"/>
              </w:rPr>
              <w:t>半导体产品与设备</w:t>
            </w:r>
          </w:p>
        </w:tc>
        <w:tc>
          <w:tcPr>
            <w:vAlign w:val="center"/>
          </w:tcPr>
          <w:p>
            <w:pPr>
              <w:jc w:val="right"/>
            </w:pPr>
            <w:r>
              <w:rPr>
                <w:rFonts w:asciiTheme="minorEastAsia" w:eastAsiaTheme="minorEastAsia" w:hAnsiTheme="minorEastAsia"/>
                <w:color w:themeColor="text1" w:val="000000"/>
                <w:szCs w:val="21"/>
              </w:rPr>
              <w:t>4,026,740.74</w:t>
            </w:r>
          </w:p>
        </w:tc>
        <w:tc>
          <w:tcPr>
            <w:vAlign w:val="center"/>
          </w:tcPr>
          <w:p>
            <w:pPr>
              <w:jc w:val="right"/>
            </w:pPr>
            <w:r>
              <w:rPr>
                <w:rFonts w:asciiTheme="minorEastAsia" w:eastAsiaTheme="minorEastAsia" w:hAnsiTheme="minorEastAsia"/>
                <w:color w:themeColor="text1" w:val="000000"/>
                <w:szCs w:val="21"/>
              </w:rPr>
              <w:t>5.81</w:t>
            </w:r>
          </w:p>
        </w:tc>
      </w:tr>
      <w:tr>
        <w:tc>
          <w:tcPr>
            <w:vAlign w:val="center"/>
          </w:tcPr>
          <w:p>
            <w:pPr>
              <w:jc w:val="left"/>
            </w:pPr>
            <w:r>
              <w:rPr>
                <w:rFonts w:asciiTheme="minorEastAsia" w:eastAsiaTheme="minorEastAsia" w:hAnsiTheme="minorEastAsia"/>
                <w:color w:themeColor="text1" w:val="000000"/>
                <w:szCs w:val="21"/>
              </w:rPr>
              <w:t>电子设备、仪器和元件</w:t>
            </w:r>
          </w:p>
        </w:tc>
        <w:tc>
          <w:tcPr>
            <w:vAlign w:val="center"/>
          </w:tcPr>
          <w:p>
            <w:pPr>
              <w:jc w:val="right"/>
            </w:pPr>
            <w:r>
              <w:rPr>
                <w:rFonts w:asciiTheme="minorEastAsia" w:eastAsiaTheme="minorEastAsia" w:hAnsiTheme="minorEastAsia"/>
                <w:color w:themeColor="text1" w:val="000000"/>
                <w:szCs w:val="21"/>
              </w:rPr>
              <w:t>2,868,085.02</w:t>
            </w:r>
          </w:p>
        </w:tc>
        <w:tc>
          <w:tcPr>
            <w:vAlign w:val="center"/>
          </w:tcPr>
          <w:p>
            <w:pPr>
              <w:jc w:val="right"/>
            </w:pPr>
            <w:r>
              <w:rPr>
                <w:rFonts w:asciiTheme="minorEastAsia" w:eastAsiaTheme="minorEastAsia" w:hAnsiTheme="minorEastAsia"/>
                <w:color w:themeColor="text1" w:val="000000"/>
                <w:szCs w:val="21"/>
              </w:rPr>
              <w:t>4.14</w:t>
            </w:r>
          </w:p>
        </w:tc>
      </w:tr>
      <w:tr>
        <w:tc>
          <w:tcPr>
            <w:vAlign w:val="center"/>
          </w:tcPr>
          <w:p>
            <w:pPr>
              <w:jc w:val="left"/>
            </w:pPr>
            <w:r>
              <w:rPr>
                <w:rFonts w:asciiTheme="minorEastAsia" w:eastAsiaTheme="minorEastAsia" w:hAnsiTheme="minorEastAsia"/>
                <w:color w:themeColor="text1" w:val="000000"/>
                <w:szCs w:val="21"/>
              </w:rPr>
              <w:t>制药</w:t>
            </w:r>
          </w:p>
        </w:tc>
        <w:tc>
          <w:tcPr>
            <w:vAlign w:val="center"/>
          </w:tcPr>
          <w:p>
            <w:pPr>
              <w:jc w:val="right"/>
            </w:pPr>
            <w:r>
              <w:rPr>
                <w:rFonts w:asciiTheme="minorEastAsia" w:eastAsiaTheme="minorEastAsia" w:hAnsiTheme="minorEastAsia"/>
                <w:color w:themeColor="text1" w:val="000000"/>
                <w:szCs w:val="21"/>
              </w:rPr>
              <w:t>2,762,982.81</w:t>
            </w:r>
          </w:p>
        </w:tc>
        <w:tc>
          <w:tcPr>
            <w:vAlign w:val="center"/>
          </w:tcPr>
          <w:p>
            <w:pPr>
              <w:jc w:val="right"/>
            </w:pPr>
            <w:r>
              <w:rPr>
                <w:rFonts w:asciiTheme="minorEastAsia" w:eastAsiaTheme="minorEastAsia" w:hAnsiTheme="minorEastAsia"/>
                <w:color w:themeColor="text1" w:val="000000"/>
                <w:szCs w:val="21"/>
              </w:rPr>
              <w:t>3.99</w:t>
            </w:r>
          </w:p>
        </w:tc>
      </w:tr>
      <w:tr>
        <w:tc>
          <w:tcPr>
            <w:vAlign w:val="center"/>
          </w:tcPr>
          <w:p>
            <w:pPr>
              <w:jc w:val="left"/>
            </w:pPr>
            <w:r>
              <w:rPr>
                <w:rFonts w:asciiTheme="minorEastAsia" w:eastAsiaTheme="minorEastAsia" w:hAnsiTheme="minorEastAsia"/>
                <w:color w:themeColor="text1" w:val="000000"/>
                <w:szCs w:val="21"/>
              </w:rPr>
              <w:t>石油、天然气与消费用</w:t>
            </w:r>
          </w:p>
        </w:tc>
        <w:tc>
          <w:tcPr>
            <w:vAlign w:val="center"/>
          </w:tcPr>
          <w:p>
            <w:pPr>
              <w:jc w:val="right"/>
            </w:pPr>
            <w:r>
              <w:rPr>
                <w:rFonts w:asciiTheme="minorEastAsia" w:eastAsiaTheme="minorEastAsia" w:hAnsiTheme="minorEastAsia"/>
                <w:color w:themeColor="text1" w:val="000000"/>
                <w:szCs w:val="21"/>
              </w:rPr>
              <w:t>2,488,129.97</w:t>
            </w:r>
          </w:p>
        </w:tc>
        <w:tc>
          <w:tcPr>
            <w:vAlign w:val="center"/>
          </w:tcPr>
          <w:p>
            <w:pPr>
              <w:jc w:val="right"/>
            </w:pPr>
            <w:r>
              <w:rPr>
                <w:rFonts w:asciiTheme="minorEastAsia" w:eastAsiaTheme="minorEastAsia" w:hAnsiTheme="minorEastAsia"/>
                <w:color w:themeColor="text1" w:val="000000"/>
                <w:szCs w:val="21"/>
              </w:rPr>
              <w:t>3.59</w:t>
            </w:r>
          </w:p>
        </w:tc>
      </w:tr>
      <w:tr>
        <w:tc>
          <w:tcPr>
            <w:vAlign w:val="center"/>
          </w:tcPr>
          <w:p>
            <w:pPr>
              <w:jc w:val="left"/>
            </w:pPr>
            <w:r>
              <w:rPr>
                <w:rFonts w:asciiTheme="minorEastAsia" w:eastAsiaTheme="minorEastAsia" w:hAnsiTheme="minorEastAsia"/>
                <w:color w:themeColor="text1" w:val="000000"/>
                <w:szCs w:val="21"/>
              </w:rPr>
              <w:t>信息技术服务</w:t>
            </w:r>
          </w:p>
        </w:tc>
        <w:tc>
          <w:tcPr>
            <w:vAlign w:val="center"/>
          </w:tcPr>
          <w:p>
            <w:pPr>
              <w:jc w:val="right"/>
            </w:pPr>
            <w:r>
              <w:rPr>
                <w:rFonts w:asciiTheme="minorEastAsia" w:eastAsiaTheme="minorEastAsia" w:hAnsiTheme="minorEastAsia"/>
                <w:color w:themeColor="text1" w:val="000000"/>
                <w:szCs w:val="21"/>
              </w:rPr>
              <w:t>2,405,155.03</w:t>
            </w:r>
          </w:p>
        </w:tc>
        <w:tc>
          <w:tcPr>
            <w:vAlign w:val="center"/>
          </w:tcPr>
          <w:p>
            <w:pPr>
              <w:jc w:val="right"/>
            </w:pPr>
            <w:r>
              <w:rPr>
                <w:rFonts w:asciiTheme="minorEastAsia" w:eastAsiaTheme="minorEastAsia" w:hAnsiTheme="minorEastAsia"/>
                <w:color w:themeColor="text1" w:val="000000"/>
                <w:szCs w:val="21"/>
              </w:rPr>
              <w:t>3.47</w:t>
            </w:r>
          </w:p>
        </w:tc>
      </w:tr>
      <w:tr>
        <w:tc>
          <w:tcPr>
            <w:vAlign w:val="center"/>
          </w:tcPr>
          <w:p>
            <w:pPr>
              <w:jc w:val="left"/>
            </w:pPr>
            <w:r>
              <w:rPr>
                <w:rFonts w:asciiTheme="minorEastAsia" w:eastAsiaTheme="minorEastAsia" w:hAnsiTheme="minorEastAsia"/>
                <w:color w:themeColor="text1" w:val="000000"/>
                <w:szCs w:val="21"/>
              </w:rPr>
              <w:t>食品与主要用品零售</w:t>
            </w:r>
          </w:p>
        </w:tc>
        <w:tc>
          <w:tcPr>
            <w:vAlign w:val="center"/>
          </w:tcPr>
          <w:p>
            <w:pPr>
              <w:jc w:val="right"/>
            </w:pPr>
            <w:r>
              <w:rPr>
                <w:rFonts w:asciiTheme="minorEastAsia" w:eastAsiaTheme="minorEastAsia" w:hAnsiTheme="minorEastAsia"/>
                <w:color w:themeColor="text1" w:val="000000"/>
                <w:szCs w:val="21"/>
              </w:rPr>
              <w:t>2,070,575.99</w:t>
            </w:r>
          </w:p>
        </w:tc>
        <w:tc>
          <w:tcPr>
            <w:vAlign w:val="center"/>
          </w:tcPr>
          <w:p>
            <w:pPr>
              <w:jc w:val="right"/>
            </w:pPr>
            <w:r>
              <w:rPr>
                <w:rFonts w:asciiTheme="minorEastAsia" w:eastAsiaTheme="minorEastAsia" w:hAnsiTheme="minorEastAsia"/>
                <w:color w:themeColor="text1" w:val="000000"/>
                <w:szCs w:val="21"/>
              </w:rPr>
              <w:t>2.99</w:t>
            </w:r>
          </w:p>
        </w:tc>
      </w:tr>
      <w:tr>
        <w:tc>
          <w:tcPr>
            <w:vAlign w:val="center"/>
          </w:tcPr>
          <w:p>
            <w:pPr>
              <w:jc w:val="left"/>
            </w:pPr>
            <w:r>
              <w:rPr>
                <w:rFonts w:asciiTheme="minorEastAsia" w:eastAsiaTheme="minorEastAsia" w:hAnsiTheme="minorEastAsia"/>
                <w:color w:themeColor="text1" w:val="000000"/>
                <w:szCs w:val="21"/>
              </w:rPr>
              <w:t>纺织品、服装与奢侈品</w:t>
            </w:r>
          </w:p>
        </w:tc>
        <w:tc>
          <w:tcPr>
            <w:vAlign w:val="center"/>
          </w:tcPr>
          <w:p>
            <w:pPr>
              <w:jc w:val="right"/>
            </w:pPr>
            <w:r>
              <w:rPr>
                <w:rFonts w:asciiTheme="minorEastAsia" w:eastAsiaTheme="minorEastAsia" w:hAnsiTheme="minorEastAsia"/>
                <w:color w:themeColor="text1" w:val="000000"/>
                <w:szCs w:val="21"/>
              </w:rPr>
              <w:t>1,903,233.76</w:t>
            </w:r>
          </w:p>
        </w:tc>
        <w:tc>
          <w:tcPr>
            <w:vAlign w:val="center"/>
          </w:tcPr>
          <w:p>
            <w:pPr>
              <w:jc w:val="right"/>
            </w:pPr>
            <w:r>
              <w:rPr>
                <w:rFonts w:asciiTheme="minorEastAsia" w:eastAsiaTheme="minorEastAsia" w:hAnsiTheme="minorEastAsia"/>
                <w:color w:themeColor="text1" w:val="000000"/>
                <w:szCs w:val="21"/>
              </w:rPr>
              <w:t>2.75</w:t>
            </w:r>
          </w:p>
        </w:tc>
      </w:tr>
      <w:tr>
        <w:tc>
          <w:tcPr>
            <w:vAlign w:val="center"/>
          </w:tcPr>
          <w:p>
            <w:pPr>
              <w:jc w:val="left"/>
            </w:pPr>
            <w:r>
              <w:rPr>
                <w:rFonts w:asciiTheme="minorEastAsia" w:eastAsiaTheme="minorEastAsia" w:hAnsiTheme="minorEastAsia"/>
                <w:color w:themeColor="text1" w:val="000000"/>
                <w:szCs w:val="21"/>
              </w:rPr>
              <w:t>汽车</w:t>
            </w:r>
          </w:p>
        </w:tc>
        <w:tc>
          <w:tcPr>
            <w:vAlign w:val="center"/>
          </w:tcPr>
          <w:p>
            <w:pPr>
              <w:jc w:val="right"/>
            </w:pPr>
            <w:r>
              <w:rPr>
                <w:rFonts w:asciiTheme="minorEastAsia" w:eastAsiaTheme="minorEastAsia" w:hAnsiTheme="minorEastAsia"/>
                <w:color w:themeColor="text1" w:val="000000"/>
                <w:szCs w:val="21"/>
              </w:rPr>
              <w:t>1,813,080.52</w:t>
            </w:r>
          </w:p>
        </w:tc>
        <w:tc>
          <w:tcPr>
            <w:vAlign w:val="center"/>
          </w:tcPr>
          <w:p>
            <w:pPr>
              <w:jc w:val="right"/>
            </w:pPr>
            <w:r>
              <w:rPr>
                <w:rFonts w:asciiTheme="minorEastAsia" w:eastAsiaTheme="minorEastAsia" w:hAnsiTheme="minorEastAsia"/>
                <w:color w:themeColor="text1" w:val="000000"/>
                <w:szCs w:val="21"/>
              </w:rPr>
              <w:t>2.62</w:t>
            </w:r>
          </w:p>
        </w:tc>
      </w:tr>
      <w:tr>
        <w:tc>
          <w:tcPr>
            <w:vAlign w:val="center"/>
          </w:tcPr>
          <w:p>
            <w:pPr>
              <w:jc w:val="left"/>
            </w:pPr>
            <w:r>
              <w:rPr>
                <w:rFonts w:asciiTheme="minorEastAsia" w:eastAsiaTheme="minorEastAsia" w:hAnsiTheme="minorEastAsia"/>
                <w:color w:themeColor="text1" w:val="000000"/>
                <w:szCs w:val="21"/>
              </w:rPr>
              <w:t>化学制品</w:t>
            </w:r>
          </w:p>
        </w:tc>
        <w:tc>
          <w:tcPr>
            <w:vAlign w:val="center"/>
          </w:tcPr>
          <w:p>
            <w:pPr>
              <w:jc w:val="right"/>
            </w:pPr>
            <w:r>
              <w:rPr>
                <w:rFonts w:asciiTheme="minorEastAsia" w:eastAsiaTheme="minorEastAsia" w:hAnsiTheme="minorEastAsia"/>
                <w:color w:themeColor="text1" w:val="000000"/>
                <w:szCs w:val="21"/>
              </w:rPr>
              <w:t>1,309,683.84</w:t>
            </w:r>
          </w:p>
        </w:tc>
        <w:tc>
          <w:tcPr>
            <w:vAlign w:val="center"/>
          </w:tcPr>
          <w:p>
            <w:pPr>
              <w:jc w:val="right"/>
            </w:pPr>
            <w:r>
              <w:rPr>
                <w:rFonts w:asciiTheme="minorEastAsia" w:eastAsiaTheme="minorEastAsia" w:hAnsiTheme="minorEastAsia"/>
                <w:color w:themeColor="text1" w:val="000000"/>
                <w:szCs w:val="21"/>
              </w:rPr>
              <w:t>1.89</w:t>
            </w:r>
          </w:p>
        </w:tc>
      </w:tr>
      <w:tr>
        <w:tc>
          <w:tcPr>
            <w:vAlign w:val="center"/>
          </w:tcPr>
          <w:p>
            <w:pPr>
              <w:jc w:val="left"/>
            </w:pPr>
            <w:r>
              <w:rPr>
                <w:rFonts w:asciiTheme="minorEastAsia" w:eastAsiaTheme="minorEastAsia" w:hAnsiTheme="minorEastAsia"/>
                <w:color w:themeColor="text1" w:val="000000"/>
                <w:szCs w:val="21"/>
              </w:rPr>
              <w:t>电气设备</w:t>
            </w:r>
          </w:p>
        </w:tc>
        <w:tc>
          <w:tcPr>
            <w:vAlign w:val="center"/>
          </w:tcPr>
          <w:p>
            <w:pPr>
              <w:jc w:val="right"/>
            </w:pPr>
            <w:r>
              <w:rPr>
                <w:rFonts w:asciiTheme="minorEastAsia" w:eastAsiaTheme="minorEastAsia" w:hAnsiTheme="minorEastAsia"/>
                <w:color w:themeColor="text1" w:val="000000"/>
                <w:szCs w:val="21"/>
              </w:rPr>
              <w:t>1,293,807.27</w:t>
            </w:r>
          </w:p>
        </w:tc>
        <w:tc>
          <w:tcPr>
            <w:vAlign w:val="center"/>
          </w:tcPr>
          <w:p>
            <w:pPr>
              <w:jc w:val="right"/>
            </w:pPr>
            <w:r>
              <w:rPr>
                <w:rFonts w:asciiTheme="minorEastAsia" w:eastAsiaTheme="minorEastAsia" w:hAnsiTheme="minorEastAsia"/>
                <w:color w:themeColor="text1" w:val="000000"/>
                <w:szCs w:val="21"/>
              </w:rPr>
              <w:t>1.87</w:t>
            </w:r>
          </w:p>
        </w:tc>
      </w:tr>
      <w:tr>
        <w:tc>
          <w:tcPr>
            <w:vAlign w:val="center"/>
          </w:tcPr>
          <w:p>
            <w:pPr>
              <w:jc w:val="left"/>
            </w:pPr>
            <w:r>
              <w:rPr>
                <w:rFonts w:asciiTheme="minorEastAsia" w:eastAsiaTheme="minorEastAsia" w:hAnsiTheme="minorEastAsia"/>
                <w:color w:themeColor="text1" w:val="000000"/>
                <w:szCs w:val="21"/>
              </w:rPr>
              <w:t>金属与采矿</w:t>
            </w:r>
          </w:p>
        </w:tc>
        <w:tc>
          <w:tcPr>
            <w:vAlign w:val="center"/>
          </w:tcPr>
          <w:p>
            <w:pPr>
              <w:jc w:val="right"/>
            </w:pPr>
            <w:r>
              <w:rPr>
                <w:rFonts w:asciiTheme="minorEastAsia" w:eastAsiaTheme="minorEastAsia" w:hAnsiTheme="minorEastAsia"/>
                <w:color w:themeColor="text1" w:val="000000"/>
                <w:szCs w:val="21"/>
              </w:rPr>
              <w:t>956,781.87</w:t>
            </w:r>
          </w:p>
        </w:tc>
        <w:tc>
          <w:tcPr>
            <w:vAlign w:val="center"/>
          </w:tcPr>
          <w:p>
            <w:pPr>
              <w:jc w:val="right"/>
            </w:pPr>
            <w:r>
              <w:rPr>
                <w:rFonts w:asciiTheme="minorEastAsia" w:eastAsiaTheme="minorEastAsia" w:hAnsiTheme="minorEastAsia"/>
                <w:color w:themeColor="text1" w:val="000000"/>
                <w:szCs w:val="21"/>
              </w:rPr>
              <w:t>1.38</w:t>
            </w:r>
          </w:p>
        </w:tc>
      </w:tr>
      <w:tr>
        <w:tc>
          <w:tcPr>
            <w:vAlign w:val="center"/>
          </w:tcPr>
          <w:p>
            <w:pPr>
              <w:jc w:val="left"/>
            </w:pPr>
            <w:r>
              <w:rPr>
                <w:rFonts w:asciiTheme="minorEastAsia" w:eastAsiaTheme="minorEastAsia" w:hAnsiTheme="minorEastAsia"/>
                <w:color w:themeColor="text1" w:val="000000"/>
                <w:szCs w:val="21"/>
              </w:rPr>
              <w:t>航空公司</w:t>
            </w:r>
          </w:p>
        </w:tc>
        <w:tc>
          <w:tcPr>
            <w:vAlign w:val="center"/>
          </w:tcPr>
          <w:p>
            <w:pPr>
              <w:jc w:val="right"/>
            </w:pPr>
            <w:r>
              <w:rPr>
                <w:rFonts w:asciiTheme="minorEastAsia" w:eastAsiaTheme="minorEastAsia" w:hAnsiTheme="minorEastAsia"/>
                <w:color w:themeColor="text1" w:val="000000"/>
                <w:szCs w:val="21"/>
              </w:rPr>
              <w:t>860,006.38</w:t>
            </w:r>
          </w:p>
        </w:tc>
        <w:tc>
          <w:tcPr>
            <w:vAlign w:val="center"/>
          </w:tcPr>
          <w:p>
            <w:pPr>
              <w:jc w:val="right"/>
            </w:pPr>
            <w:r>
              <w:rPr>
                <w:rFonts w:asciiTheme="minorEastAsia" w:eastAsiaTheme="minorEastAsia" w:hAnsiTheme="minorEastAsia"/>
                <w:color w:themeColor="text1" w:val="000000"/>
                <w:szCs w:val="21"/>
              </w:rPr>
              <w:t>1.24</w:t>
            </w:r>
          </w:p>
        </w:tc>
      </w:tr>
      <w:tr>
        <w:tc>
          <w:tcPr>
            <w:vAlign w:val="center"/>
          </w:tcPr>
          <w:p>
            <w:pPr>
              <w:jc w:val="left"/>
            </w:pPr>
            <w:r>
              <w:rPr>
                <w:rFonts w:asciiTheme="minorEastAsia" w:eastAsiaTheme="minorEastAsia" w:hAnsiTheme="minorEastAsia"/>
                <w:color w:themeColor="text1" w:val="000000"/>
                <w:szCs w:val="21"/>
              </w:rPr>
              <w:t>无线电信业务</w:t>
            </w:r>
          </w:p>
        </w:tc>
        <w:tc>
          <w:tcPr>
            <w:vAlign w:val="center"/>
          </w:tcPr>
          <w:p>
            <w:pPr>
              <w:jc w:val="right"/>
            </w:pPr>
            <w:r>
              <w:rPr>
                <w:rFonts w:asciiTheme="minorEastAsia" w:eastAsiaTheme="minorEastAsia" w:hAnsiTheme="minorEastAsia"/>
                <w:color w:themeColor="text1" w:val="000000"/>
                <w:szCs w:val="21"/>
              </w:rPr>
              <w:t>823,465.12</w:t>
            </w:r>
          </w:p>
        </w:tc>
        <w:tc>
          <w:tcPr>
            <w:vAlign w:val="center"/>
          </w:tcPr>
          <w:p>
            <w:pPr>
              <w:jc w:val="right"/>
            </w:pPr>
            <w:r>
              <w:rPr>
                <w:rFonts w:asciiTheme="minorEastAsia" w:eastAsiaTheme="minorEastAsia" w:hAnsiTheme="minorEastAsia"/>
                <w:color w:themeColor="text1" w:val="000000"/>
                <w:szCs w:val="21"/>
              </w:rPr>
              <w:t>1.19</w:t>
            </w:r>
          </w:p>
        </w:tc>
      </w:tr>
      <w:tr>
        <w:tc>
          <w:tcPr>
            <w:vAlign w:val="center"/>
          </w:tcPr>
          <w:p>
            <w:pPr>
              <w:jc w:val="left"/>
            </w:pPr>
            <w:r>
              <w:rPr>
                <w:rFonts w:asciiTheme="minorEastAsia" w:eastAsiaTheme="minorEastAsia" w:hAnsiTheme="minorEastAsia"/>
                <w:color w:themeColor="text1" w:val="000000"/>
                <w:szCs w:val="21"/>
              </w:rPr>
              <w:t>综合电信业务</w:t>
            </w:r>
          </w:p>
        </w:tc>
        <w:tc>
          <w:tcPr>
            <w:vAlign w:val="center"/>
          </w:tcPr>
          <w:p>
            <w:pPr>
              <w:jc w:val="right"/>
            </w:pPr>
            <w:r>
              <w:rPr>
                <w:rFonts w:asciiTheme="minorEastAsia" w:eastAsiaTheme="minorEastAsia" w:hAnsiTheme="minorEastAsia"/>
                <w:color w:themeColor="text1" w:val="000000"/>
                <w:szCs w:val="21"/>
              </w:rPr>
              <w:t>724,702.39</w:t>
            </w:r>
          </w:p>
        </w:tc>
        <w:tc>
          <w:tcPr>
            <w:vAlign w:val="center"/>
          </w:tcPr>
          <w:p>
            <w:pPr>
              <w:jc w:val="right"/>
            </w:pPr>
            <w:r>
              <w:rPr>
                <w:rFonts w:asciiTheme="minorEastAsia" w:eastAsiaTheme="minorEastAsia" w:hAnsiTheme="minorEastAsia"/>
                <w:color w:themeColor="text1" w:val="000000"/>
                <w:szCs w:val="21"/>
              </w:rPr>
              <w:t>1.05</w:t>
            </w:r>
          </w:p>
        </w:tc>
      </w:tr>
      <w:tr w:rsidR="008277FF" w:rsidRPr="008277FF" w:rsidTr="00877D98">
        <w:tc>
          <w:tcPr>
            <w:tcW w:type="dxa" w:w="2787"/>
            <w:vAlign w:val="center"/>
          </w:tcPr>
          <w:p w:rsidP="00877D98" w:rsidR="00C37E98" w:rsidRDefault="00C37E98" w:rsidRPr="008277FF">
            <w:pPr>
              <w:autoSpaceDE w:val="0"/>
              <w:autoSpaceDN w:val="0"/>
              <w:adjustRightInd w:val="0"/>
              <w:spacing w:before="29" w:line="360" w:lineRule="auto"/>
              <w:ind w:left="15"/>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合计</w:t>
            </w:r>
          </w:p>
        </w:tc>
        <w:tc>
          <w:tcPr>
            <w:tcW w:type="dxa" w:w="2551"/>
            <w:vAlign w:val="center"/>
          </w:tcPr>
          <w:p w:rsidP="00C9504A" w:rsidR="00C37E98" w:rsidRDefault="00C37E9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eastAsiaTheme="minorEastAsia" w:hAnsiTheme="minorEastAsia"/>
                <w:color w:themeColor="text1" w:val="000000"/>
                <w:szCs w:val="21"/>
              </w:rPr>
              <w:t>64,016,703.31</w:t>
            </w:r>
          </w:p>
        </w:tc>
        <w:tc>
          <w:tcPr>
            <w:tcW w:type="dxa" w:w="3175"/>
            <w:vAlign w:val="center"/>
          </w:tcPr>
          <w:p w:rsidP="00C9504A" w:rsidR="00C37E98" w:rsidRDefault="00C37E9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eastAsiaTheme="minorEastAsia" w:hAnsiTheme="minorEastAsia"/>
                <w:color w:themeColor="text1" w:val="000000"/>
                <w:szCs w:val="21"/>
              </w:rPr>
              <w:t>92.40</w:t>
            </w:r>
          </w:p>
        </w:tc>
      </w:tr>
    </w:tbl>
    <w:p w:rsidP="008B6A4A" w:rsidR="005B6AC7" w:rsidRDefault="00363E15"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0A521D" w:rsidRPr="008277FF">
        <w:rPr>
          <w:rFonts w:asciiTheme="minorEastAsia" w:eastAsiaTheme="minorEastAsia" w:hAnsiTheme="minorEastAsia"/>
          <w:color w:themeColor="text1" w:val="000000"/>
          <w:szCs w:val="21"/>
        </w:rPr>
        <w:t>注：行业分类标准：MSCI</w:t>
      </w:r>
    </w:p>
    <w:p w:rsidP="008B6A4A" w:rsidR="000A521D" w:rsidRDefault="000A521D" w:rsidRPr="008277FF">
      <w:pPr>
        <w:autoSpaceDE w:val="0"/>
        <w:autoSpaceDN w:val="0"/>
        <w:adjustRightInd w:val="0"/>
        <w:spacing w:line="360" w:lineRule="auto"/>
        <w:jc w:val="left"/>
        <w:rPr>
          <w:rFonts w:asciiTheme="minorEastAsia" w:eastAsiaTheme="minorEastAsia" w:hAnsiTheme="minorEastAsia"/>
          <w:color w:themeColor="text1" w:val="00000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4</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报告期末按公允价值占基金资产净值比例大小排序的前十名股票及存托凭证投资明细</w:t>
      </w:r>
    </w:p>
    <w:tbl>
      <w:tblPr>
        <w:tblStyle w:val="af7"/>
        <w:tblW w:type="auto" w:w="0"/>
        <w:tblInd w:type="dxa" w:w="15"/>
        <w:tblLook w:val="04A0"/>
      </w:tblPr>
      <w:tblGrid>
        <w:gridCol w:w="781"/>
        <w:gridCol w:w="967"/>
        <w:gridCol w:w="989"/>
        <w:gridCol w:w="728"/>
        <w:gridCol w:w="780"/>
        <w:gridCol w:w="971"/>
        <w:gridCol w:w="1163"/>
        <w:gridCol w:w="971"/>
        <w:gridCol w:w="1163"/>
      </w:tblGrid>
      <w:tr w:rsidR="008277FF" w:rsidRPr="008277FF" w:rsidTr="001C7D5D">
        <w:tc>
          <w:tcPr>
            <w:tcW w:type="dxa" w:w="794"/>
            <w:vAlign w:val="center"/>
          </w:tcPr>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lastRenderedPageBreak/>
              <w:t>序号</w:t>
            </w:r>
          </w:p>
        </w:tc>
        <w:tc>
          <w:tcPr>
            <w:tcW w:type="dxa" w:w="974"/>
            <w:vAlign w:val="center"/>
          </w:tcPr>
          <w:p w:rsidP="001C7D5D" w:rsidR="001C7D5D" w:rsidRDefault="001C7D5D" w:rsidRPr="008277FF">
            <w:pPr>
              <w:adjustRightInd w:val="0"/>
              <w:snapToGrid w:val="0"/>
              <w:spacing w:line="400" w:lineRule="exact"/>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公司名称（英文）</w:t>
            </w:r>
          </w:p>
        </w:tc>
        <w:tc>
          <w:tcPr>
            <w:tcW w:type="dxa" w:w="1019"/>
            <w:vAlign w:val="center"/>
          </w:tcPr>
          <w:p w:rsidP="00797DD2" w:rsidR="001C7D5D" w:rsidRDefault="001C7D5D" w:rsidRPr="008277FF">
            <w:pPr>
              <w:adjustRightInd w:val="0"/>
              <w:snapToGrid w:val="0"/>
              <w:spacing w:line="400" w:lineRule="exact"/>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公司名称（中文）</w:t>
            </w:r>
          </w:p>
        </w:tc>
        <w:tc>
          <w:tcPr>
            <w:tcW w:type="dxa" w:w="703"/>
            <w:vAlign w:val="center"/>
          </w:tcPr>
          <w:p w:rsidP="00797DD2" w:rsidR="001C7D5D" w:rsidRDefault="001C7D5D" w:rsidRPr="008277FF">
            <w:pPr>
              <w:adjustRightInd w:val="0"/>
              <w:snapToGrid w:val="0"/>
              <w:spacing w:line="400" w:lineRule="exact"/>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证券代码</w:t>
            </w:r>
          </w:p>
        </w:tc>
        <w:tc>
          <w:tcPr>
            <w:tcW w:type="dxa" w:w="793"/>
            <w:vAlign w:val="center"/>
          </w:tcPr>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所在证</w:t>
            </w:r>
          </w:p>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券市场</w:t>
            </w:r>
          </w:p>
        </w:tc>
        <w:tc>
          <w:tcPr>
            <w:tcW w:type="dxa" w:w="969"/>
            <w:vAlign w:val="center"/>
          </w:tcPr>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所属国家</w:t>
            </w:r>
          </w:p>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（地区</w:t>
            </w:r>
            <w:r w:rsidRPr="008277FF">
              <w:rPr>
                <w:rFonts w:asciiTheme="minorEastAsia" w:cs="Arial" w:eastAsiaTheme="minorEastAsia" w:hAnsiTheme="minorEastAsia"/>
                <w:color w:themeColor="text1" w:val="000000"/>
                <w:kern w:val="0"/>
                <w:szCs w:val="21"/>
              </w:rPr>
              <w:t>)</w:t>
            </w:r>
          </w:p>
        </w:tc>
        <w:tc>
          <w:tcPr>
            <w:tcW w:type="dxa" w:w="1146"/>
            <w:vAlign w:val="center"/>
          </w:tcPr>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数量</w:t>
            </w:r>
          </w:p>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（股）</w:t>
            </w:r>
          </w:p>
        </w:tc>
        <w:tc>
          <w:tcPr>
            <w:tcW w:type="dxa" w:w="969"/>
            <w:vAlign w:val="center"/>
          </w:tcPr>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公允价值（人民币元）</w:t>
            </w:r>
          </w:p>
        </w:tc>
        <w:tc>
          <w:tcPr>
            <w:tcW w:type="dxa" w:w="1146"/>
            <w:vAlign w:val="center"/>
          </w:tcPr>
          <w:p w:rsidP="00797DD2" w:rsidR="001C7D5D" w:rsidRDefault="001C7D5D" w:rsidRPr="008277FF">
            <w:pPr>
              <w:autoSpaceDE w:val="0"/>
              <w:autoSpaceDN w:val="0"/>
              <w:adjustRightInd w:val="0"/>
              <w:spacing w:before="29" w:line="360" w:lineRule="auto"/>
              <w:ind w:left="15"/>
              <w:jc w:val="center"/>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占基金资产净值比例（％）</w:t>
            </w:r>
          </w:p>
        </w:tc>
      </w:tr>
      <w:tr>
        <w:tc>
          <w:tcPr>
            <w:vAlign w:val="center"/>
          </w:tcPr>
          <w:p>
            <w:pPr>
              <w:jc w:val="center"/>
            </w:pPr>
            <w:r>
              <w:rPr>
                <w:rFonts w:asciiTheme="minorEastAsia" w:eastAsiaTheme="minorEastAsia" w:hAnsiTheme="minorEastAsia"/>
                <w:color w:themeColor="text1" w:val="000000"/>
                <w:szCs w:val="21"/>
              </w:rPr>
              <w:t>1</w:t>
            </w:r>
          </w:p>
        </w:tc>
        <w:tc>
          <w:tcPr>
            <w:vAlign w:val="center"/>
          </w:tcPr>
          <w:p>
            <w:pPr>
              <w:jc w:val="center"/>
            </w:pPr>
            <w:r>
              <w:rPr>
                <w:rFonts w:asciiTheme="minorEastAsia" w:eastAsiaTheme="minorEastAsia" w:hAnsiTheme="minorEastAsia"/>
                <w:color w:themeColor="text1" w:val="000000"/>
                <w:szCs w:val="21"/>
              </w:rPr>
              <w:t>Tencent Holdings Ltd</w:t>
            </w:r>
          </w:p>
        </w:tc>
        <w:tc>
          <w:tcPr>
            <w:vAlign w:val="center"/>
          </w:tcPr>
          <w:p>
            <w:pPr>
              <w:jc w:val="center"/>
            </w:pPr>
            <w:r>
              <w:rPr>
                <w:rFonts w:asciiTheme="minorEastAsia" w:eastAsiaTheme="minorEastAsia" w:hAnsiTheme="minorEastAsia"/>
                <w:color w:themeColor="text1" w:val="000000"/>
                <w:szCs w:val="21"/>
              </w:rPr>
              <w:t>腾讯控股</w:t>
            </w:r>
          </w:p>
        </w:tc>
        <w:tc>
          <w:tcPr>
            <w:vAlign w:val="center"/>
          </w:tcPr>
          <w:p>
            <w:pPr>
              <w:jc w:val="center"/>
            </w:pPr>
            <w:r>
              <w:rPr>
                <w:rFonts w:asciiTheme="minorEastAsia" w:eastAsiaTheme="minorEastAsia" w:hAnsiTheme="minorEastAsia"/>
                <w:color w:themeColor="text1" w:val="000000"/>
                <w:szCs w:val="21"/>
              </w:rPr>
              <w:t>700 HK</w:t>
            </w:r>
          </w:p>
        </w:tc>
        <w:tc>
          <w:tcPr>
            <w:vAlign w:val="center"/>
          </w:tcPr>
          <w:p>
            <w:pPr>
              <w:jc w:val="center"/>
            </w:pPr>
            <w:r>
              <w:rPr>
                <w:rFonts w:asciiTheme="minorEastAsia" w:eastAsiaTheme="minorEastAsia" w:hAnsiTheme="minorEastAsia"/>
                <w:color w:themeColor="text1" w:val="000000"/>
                <w:szCs w:val="21"/>
              </w:rPr>
              <w:t>香港交易所</w:t>
            </w:r>
          </w:p>
        </w:tc>
        <w:tc>
          <w:tcPr>
            <w:vAlign w:val="center"/>
          </w:tcPr>
          <w:p>
            <w:pPr>
              <w:jc w:val="center"/>
            </w:pPr>
            <w:r>
              <w:rPr>
                <w:rFonts w:asciiTheme="minorEastAsia" w:eastAsiaTheme="minorEastAsia" w:hAnsiTheme="minorEastAsia"/>
                <w:color w:themeColor="text1" w:val="000000"/>
                <w:szCs w:val="21"/>
              </w:rPr>
              <w:t>中国香港</w:t>
            </w:r>
          </w:p>
        </w:tc>
        <w:tc>
          <w:tcPr>
            <w:vAlign w:val="center"/>
          </w:tcPr>
          <w:p>
            <w:pPr>
              <w:jc w:val="right"/>
            </w:pPr>
            <w:r>
              <w:rPr>
                <w:rFonts w:asciiTheme="minorEastAsia" w:eastAsiaTheme="minorEastAsia" w:hAnsiTheme="minorEastAsia"/>
                <w:color w:themeColor="text1" w:val="000000"/>
                <w:szCs w:val="21"/>
              </w:rPr>
              <w:t>19,000.00</w:t>
            </w:r>
          </w:p>
        </w:tc>
        <w:tc>
          <w:tcPr>
            <w:vAlign w:val="center"/>
          </w:tcPr>
          <w:p>
            <w:pPr>
              <w:jc w:val="right"/>
            </w:pPr>
            <w:r>
              <w:rPr>
                <w:rFonts w:asciiTheme="minorEastAsia" w:eastAsiaTheme="minorEastAsia" w:hAnsiTheme="minorEastAsia"/>
                <w:color w:themeColor="text1" w:val="000000"/>
                <w:szCs w:val="21"/>
              </w:rPr>
              <w:t>5,883,486.71</w:t>
            </w:r>
          </w:p>
        </w:tc>
        <w:tc>
          <w:tcPr>
            <w:vAlign w:val="center"/>
          </w:tcPr>
          <w:p>
            <w:pPr>
              <w:jc w:val="right"/>
            </w:pPr>
            <w:r>
              <w:rPr>
                <w:rFonts w:asciiTheme="minorEastAsia" w:eastAsiaTheme="minorEastAsia" w:hAnsiTheme="minorEastAsia"/>
                <w:color w:themeColor="text1" w:val="000000"/>
                <w:szCs w:val="21"/>
              </w:rPr>
              <w:t>8.49</w:t>
            </w:r>
          </w:p>
        </w:tc>
      </w:tr>
      <w:tr>
        <w:tc>
          <w:tcPr>
            <w:vAlign w:val="center"/>
          </w:tcPr>
          <w:p>
            <w:pPr>
              <w:jc w:val="center"/>
            </w:pPr>
            <w:r>
              <w:rPr>
                <w:rFonts w:asciiTheme="minorEastAsia" w:eastAsiaTheme="minorEastAsia" w:hAnsiTheme="minorEastAsia"/>
                <w:color w:themeColor="text1" w:val="000000"/>
                <w:szCs w:val="21"/>
              </w:rPr>
              <w:t>2</w:t>
            </w:r>
          </w:p>
        </w:tc>
        <w:tc>
          <w:tcPr>
            <w:vAlign w:val="center"/>
          </w:tcPr>
          <w:p>
            <w:pPr>
              <w:jc w:val="center"/>
            </w:pPr>
            <w:r>
              <w:rPr>
                <w:rFonts w:asciiTheme="minorEastAsia" w:eastAsiaTheme="minorEastAsia" w:hAnsiTheme="minorEastAsia"/>
                <w:color w:themeColor="text1" w:val="000000"/>
                <w:szCs w:val="21"/>
              </w:rPr>
              <w:t>Samsung Electronics Co Ltd</w:t>
            </w:r>
          </w:p>
        </w:tc>
        <w:tc>
          <w:tcPr>
            <w:vAlign w:val="center"/>
          </w:tcPr>
          <w:p>
            <w:pPr>
              <w:jc w:val="center"/>
            </w:pPr>
            <w:r>
              <w:rPr>
                <w:rFonts w:asciiTheme="minorEastAsia" w:eastAsiaTheme="minorEastAsia" w:hAnsiTheme="minorEastAsia"/>
                <w:color w:themeColor="text1" w:val="000000"/>
                <w:szCs w:val="21"/>
              </w:rPr>
              <w:t>三星电子</w:t>
            </w:r>
          </w:p>
        </w:tc>
        <w:tc>
          <w:tcPr>
            <w:vAlign w:val="center"/>
          </w:tcPr>
          <w:p>
            <w:pPr>
              <w:jc w:val="center"/>
            </w:pPr>
            <w:r>
              <w:rPr>
                <w:rFonts w:asciiTheme="minorEastAsia" w:eastAsiaTheme="minorEastAsia" w:hAnsiTheme="minorEastAsia"/>
                <w:color w:themeColor="text1" w:val="000000"/>
                <w:szCs w:val="21"/>
              </w:rPr>
              <w:t>005930 KS</w:t>
            </w:r>
          </w:p>
        </w:tc>
        <w:tc>
          <w:tcPr>
            <w:vAlign w:val="center"/>
          </w:tcPr>
          <w:p>
            <w:pPr>
              <w:jc w:val="center"/>
            </w:pPr>
            <w:r>
              <w:rPr>
                <w:rFonts w:asciiTheme="minorEastAsia" w:eastAsiaTheme="minorEastAsia" w:hAnsiTheme="minorEastAsia"/>
                <w:color w:themeColor="text1" w:val="000000"/>
                <w:szCs w:val="21"/>
              </w:rPr>
              <w:t>韩国证券交易所</w:t>
            </w:r>
          </w:p>
        </w:tc>
        <w:tc>
          <w:tcPr>
            <w:vAlign w:val="center"/>
          </w:tcPr>
          <w:p>
            <w:pPr>
              <w:jc w:val="center"/>
            </w:pPr>
            <w:r>
              <w:rPr>
                <w:rFonts w:asciiTheme="minorEastAsia" w:eastAsiaTheme="minorEastAsia" w:hAnsiTheme="minorEastAsia"/>
                <w:color w:themeColor="text1" w:val="000000"/>
                <w:szCs w:val="21"/>
              </w:rPr>
              <w:t>韩国</w:t>
            </w:r>
          </w:p>
        </w:tc>
        <w:tc>
          <w:tcPr>
            <w:vAlign w:val="center"/>
          </w:tcPr>
          <w:p>
            <w:pPr>
              <w:jc w:val="right"/>
            </w:pPr>
            <w:r>
              <w:rPr>
                <w:rFonts w:asciiTheme="minorEastAsia" w:eastAsiaTheme="minorEastAsia" w:hAnsiTheme="minorEastAsia"/>
                <w:color w:themeColor="text1" w:val="000000"/>
                <w:szCs w:val="21"/>
              </w:rPr>
              <w:t>15,788.00</w:t>
            </w:r>
          </w:p>
        </w:tc>
        <w:tc>
          <w:tcPr>
            <w:vAlign w:val="center"/>
          </w:tcPr>
          <w:p>
            <w:pPr>
              <w:jc w:val="right"/>
            </w:pPr>
            <w:r>
              <w:rPr>
                <w:rFonts w:asciiTheme="minorEastAsia" w:eastAsiaTheme="minorEastAsia" w:hAnsiTheme="minorEastAsia"/>
                <w:color w:themeColor="text1" w:val="000000"/>
                <w:szCs w:val="21"/>
              </w:rPr>
              <w:t>4,181,723.58</w:t>
            </w:r>
          </w:p>
        </w:tc>
        <w:tc>
          <w:tcPr>
            <w:vAlign w:val="center"/>
          </w:tcPr>
          <w:p>
            <w:pPr>
              <w:jc w:val="right"/>
            </w:pPr>
            <w:r>
              <w:rPr>
                <w:rFonts w:asciiTheme="minorEastAsia" w:eastAsiaTheme="minorEastAsia" w:hAnsiTheme="minorEastAsia"/>
                <w:color w:themeColor="text1" w:val="000000"/>
                <w:szCs w:val="21"/>
              </w:rPr>
              <w:t>6.04</w:t>
            </w:r>
          </w:p>
        </w:tc>
      </w:tr>
      <w:tr>
        <w:tc>
          <w:tcPr>
            <w:vAlign w:val="center"/>
          </w:tcPr>
          <w:p>
            <w:pPr>
              <w:jc w:val="center"/>
            </w:pPr>
            <w:r>
              <w:rPr>
                <w:rFonts w:asciiTheme="minorEastAsia" w:eastAsiaTheme="minorEastAsia" w:hAnsiTheme="minorEastAsia"/>
                <w:color w:themeColor="text1" w:val="000000"/>
                <w:szCs w:val="21"/>
              </w:rPr>
              <w:t>3</w:t>
            </w:r>
          </w:p>
        </w:tc>
        <w:tc>
          <w:tcPr>
            <w:vAlign w:val="center"/>
          </w:tcPr>
          <w:p>
            <w:pPr>
              <w:jc w:val="center"/>
            </w:pPr>
            <w:r>
              <w:rPr>
                <w:rFonts w:asciiTheme="minorEastAsia" w:eastAsiaTheme="minorEastAsia" w:hAnsiTheme="minorEastAsia"/>
                <w:color w:themeColor="text1" w:val="000000"/>
                <w:szCs w:val="21"/>
              </w:rPr>
              <w:t>Alibaba Group Holding Ltd</w:t>
            </w:r>
          </w:p>
        </w:tc>
        <w:tc>
          <w:tcPr>
            <w:vAlign w:val="center"/>
          </w:tcPr>
          <w:p>
            <w:pPr>
              <w:jc w:val="center"/>
            </w:pPr>
            <w:r>
              <w:rPr>
                <w:rFonts w:asciiTheme="minorEastAsia" w:eastAsiaTheme="minorEastAsia" w:hAnsiTheme="minorEastAsia"/>
                <w:color w:themeColor="text1" w:val="000000"/>
                <w:szCs w:val="21"/>
              </w:rPr>
              <w:t>阿里巴巴</w:t>
            </w:r>
          </w:p>
        </w:tc>
        <w:tc>
          <w:tcPr>
            <w:vAlign w:val="center"/>
          </w:tcPr>
          <w:p>
            <w:pPr>
              <w:jc w:val="center"/>
            </w:pPr>
            <w:r>
              <w:rPr>
                <w:rFonts w:asciiTheme="minorEastAsia" w:eastAsiaTheme="minorEastAsia" w:hAnsiTheme="minorEastAsia"/>
                <w:color w:themeColor="text1" w:val="000000"/>
                <w:szCs w:val="21"/>
              </w:rPr>
              <w:t>BABA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3,330.00</w:t>
            </w:r>
          </w:p>
        </w:tc>
        <w:tc>
          <w:tcPr>
            <w:vAlign w:val="center"/>
          </w:tcPr>
          <w:p>
            <w:pPr>
              <w:jc w:val="right"/>
            </w:pPr>
            <w:r>
              <w:rPr>
                <w:rFonts w:asciiTheme="minorEastAsia" w:eastAsiaTheme="minorEastAsia" w:hAnsiTheme="minorEastAsia"/>
                <w:color w:themeColor="text1" w:val="000000"/>
                <w:szCs w:val="21"/>
              </w:rPr>
              <w:t>4,090,995.16</w:t>
            </w:r>
          </w:p>
        </w:tc>
        <w:tc>
          <w:tcPr>
            <w:vAlign w:val="center"/>
          </w:tcPr>
          <w:p>
            <w:pPr>
              <w:jc w:val="right"/>
            </w:pPr>
            <w:r>
              <w:rPr>
                <w:rFonts w:asciiTheme="minorEastAsia" w:eastAsiaTheme="minorEastAsia" w:hAnsiTheme="minorEastAsia"/>
                <w:color w:themeColor="text1" w:val="000000"/>
                <w:szCs w:val="21"/>
              </w:rPr>
              <w:t>5.91</w:t>
            </w:r>
          </w:p>
        </w:tc>
      </w:tr>
      <w:tr>
        <w:tc>
          <w:tcPr>
            <w:vAlign w:val="center"/>
          </w:tcPr>
          <w:p>
            <w:pPr>
              <w:jc w:val="center"/>
            </w:pPr>
            <w:r>
              <w:rPr>
                <w:rFonts w:asciiTheme="minorEastAsia" w:eastAsiaTheme="minorEastAsia" w:hAnsiTheme="minorEastAsia"/>
                <w:color w:themeColor="text1" w:val="000000"/>
                <w:szCs w:val="21"/>
              </w:rPr>
              <w:t>4</w:t>
            </w:r>
          </w:p>
        </w:tc>
        <w:tc>
          <w:tcPr>
            <w:vAlign w:val="center"/>
          </w:tcPr>
          <w:p>
            <w:pPr>
              <w:jc w:val="center"/>
            </w:pPr>
            <w:r>
              <w:rPr>
                <w:rFonts w:asciiTheme="minorEastAsia" w:eastAsiaTheme="minorEastAsia" w:hAnsiTheme="minorEastAsia"/>
                <w:color w:themeColor="text1" w:val="000000"/>
                <w:szCs w:val="21"/>
              </w:rPr>
              <w:t>Taiwan Semiconductor Manufacturing Co., Ltd</w:t>
            </w:r>
          </w:p>
        </w:tc>
        <w:tc>
          <w:tcPr>
            <w:vAlign w:val="center"/>
          </w:tcPr>
          <w:p>
            <w:pPr>
              <w:jc w:val="center"/>
            </w:pPr>
            <w:r>
              <w:rPr>
                <w:rFonts w:asciiTheme="minorEastAsia" w:eastAsiaTheme="minorEastAsia" w:hAnsiTheme="minorEastAsia"/>
                <w:color w:themeColor="text1" w:val="000000"/>
                <w:szCs w:val="21"/>
              </w:rPr>
              <w:t>台积电</w:t>
            </w:r>
          </w:p>
        </w:tc>
        <w:tc>
          <w:tcPr>
            <w:vAlign w:val="center"/>
          </w:tcPr>
          <w:p>
            <w:pPr>
              <w:jc w:val="center"/>
            </w:pPr>
            <w:r>
              <w:rPr>
                <w:rFonts w:asciiTheme="minorEastAsia" w:eastAsiaTheme="minorEastAsia" w:hAnsiTheme="minorEastAsia"/>
                <w:color w:themeColor="text1" w:val="000000"/>
                <w:szCs w:val="21"/>
              </w:rPr>
              <w:t>TSM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14,600.00</w:t>
            </w:r>
          </w:p>
        </w:tc>
        <w:tc>
          <w:tcPr>
            <w:vAlign w:val="center"/>
          </w:tcPr>
          <w:p>
            <w:pPr>
              <w:jc w:val="right"/>
            </w:pPr>
            <w:r>
              <w:rPr>
                <w:rFonts w:asciiTheme="minorEastAsia" w:eastAsiaTheme="minorEastAsia" w:hAnsiTheme="minorEastAsia"/>
                <w:color w:themeColor="text1" w:val="000000"/>
                <w:szCs w:val="21"/>
              </w:rPr>
              <w:t>4,026,740.74</w:t>
            </w:r>
          </w:p>
        </w:tc>
        <w:tc>
          <w:tcPr>
            <w:vAlign w:val="center"/>
          </w:tcPr>
          <w:p>
            <w:pPr>
              <w:jc w:val="right"/>
            </w:pPr>
            <w:r>
              <w:rPr>
                <w:rFonts w:asciiTheme="minorEastAsia" w:eastAsiaTheme="minorEastAsia" w:hAnsiTheme="minorEastAsia"/>
                <w:color w:themeColor="text1" w:val="000000"/>
                <w:szCs w:val="21"/>
              </w:rPr>
              <w:t>5.81</w:t>
            </w:r>
          </w:p>
        </w:tc>
      </w:tr>
      <w:tr>
        <w:tc>
          <w:tcPr>
            <w:vAlign w:val="center"/>
          </w:tcPr>
          <w:p>
            <w:pPr>
              <w:jc w:val="center"/>
            </w:pPr>
            <w:r>
              <w:rPr>
                <w:rFonts w:asciiTheme="minorEastAsia" w:eastAsiaTheme="minorEastAsia" w:hAnsiTheme="minorEastAsia"/>
                <w:color w:themeColor="text1" w:val="000000"/>
                <w:szCs w:val="21"/>
              </w:rPr>
              <w:t>5</w:t>
            </w:r>
          </w:p>
        </w:tc>
        <w:tc>
          <w:tcPr>
            <w:vAlign w:val="center"/>
          </w:tcPr>
          <w:p>
            <w:pPr>
              <w:jc w:val="center"/>
            </w:pPr>
            <w:r>
              <w:rPr>
                <w:rFonts w:asciiTheme="minorEastAsia" w:eastAsiaTheme="minorEastAsia" w:hAnsiTheme="minorEastAsia"/>
                <w:color w:themeColor="text1" w:val="000000"/>
                <w:szCs w:val="21"/>
              </w:rPr>
              <w:t>Ping An Insurance Group Co of China Ltd</w:t>
            </w:r>
          </w:p>
        </w:tc>
        <w:tc>
          <w:tcPr>
            <w:vAlign w:val="center"/>
          </w:tcPr>
          <w:p>
            <w:pPr>
              <w:jc w:val="center"/>
            </w:pPr>
            <w:r>
              <w:rPr>
                <w:rFonts w:asciiTheme="minorEastAsia" w:eastAsiaTheme="minorEastAsia" w:hAnsiTheme="minorEastAsia"/>
                <w:color w:themeColor="text1" w:val="000000"/>
                <w:szCs w:val="21"/>
              </w:rPr>
              <w:t>中国平安</w:t>
            </w:r>
          </w:p>
        </w:tc>
        <w:tc>
          <w:tcPr>
            <w:vAlign w:val="center"/>
          </w:tcPr>
          <w:p>
            <w:pPr>
              <w:jc w:val="center"/>
            </w:pPr>
            <w:r>
              <w:rPr>
                <w:rFonts w:asciiTheme="minorEastAsia" w:eastAsiaTheme="minorEastAsia" w:hAnsiTheme="minorEastAsia"/>
                <w:color w:themeColor="text1" w:val="000000"/>
                <w:szCs w:val="21"/>
              </w:rPr>
              <w:t>2318 HK</w:t>
            </w:r>
          </w:p>
        </w:tc>
        <w:tc>
          <w:tcPr>
            <w:vAlign w:val="center"/>
          </w:tcPr>
          <w:p>
            <w:pPr>
              <w:jc w:val="center"/>
            </w:pPr>
            <w:r>
              <w:rPr>
                <w:rFonts w:asciiTheme="minorEastAsia" w:eastAsiaTheme="minorEastAsia" w:hAnsiTheme="minorEastAsia"/>
                <w:color w:themeColor="text1" w:val="000000"/>
                <w:szCs w:val="21"/>
              </w:rPr>
              <w:t>香港交易所</w:t>
            </w:r>
          </w:p>
        </w:tc>
        <w:tc>
          <w:tcPr>
            <w:vAlign w:val="center"/>
          </w:tcPr>
          <w:p>
            <w:pPr>
              <w:jc w:val="center"/>
            </w:pPr>
            <w:r>
              <w:rPr>
                <w:rFonts w:asciiTheme="minorEastAsia" w:eastAsiaTheme="minorEastAsia" w:hAnsiTheme="minorEastAsia"/>
                <w:color w:themeColor="text1" w:val="000000"/>
                <w:szCs w:val="21"/>
              </w:rPr>
              <w:t>中国香港</w:t>
            </w:r>
          </w:p>
        </w:tc>
        <w:tc>
          <w:tcPr>
            <w:vAlign w:val="center"/>
          </w:tcPr>
          <w:p>
            <w:pPr>
              <w:jc w:val="right"/>
            </w:pPr>
            <w:r>
              <w:rPr>
                <w:rFonts w:asciiTheme="minorEastAsia" w:eastAsiaTheme="minorEastAsia" w:hAnsiTheme="minorEastAsia"/>
                <w:color w:themeColor="text1" w:val="000000"/>
                <w:szCs w:val="21"/>
              </w:rPr>
              <w:t>43,000.00</w:t>
            </w:r>
          </w:p>
        </w:tc>
        <w:tc>
          <w:tcPr>
            <w:vAlign w:val="center"/>
          </w:tcPr>
          <w:p>
            <w:pPr>
              <w:jc w:val="right"/>
            </w:pPr>
            <w:r>
              <w:rPr>
                <w:rFonts w:asciiTheme="minorEastAsia" w:eastAsiaTheme="minorEastAsia" w:hAnsiTheme="minorEastAsia"/>
                <w:color w:themeColor="text1" w:val="000000"/>
                <w:szCs w:val="21"/>
              </w:rPr>
              <w:t>3,242,136.57</w:t>
            </w:r>
          </w:p>
        </w:tc>
        <w:tc>
          <w:tcPr>
            <w:vAlign w:val="center"/>
          </w:tcPr>
          <w:p>
            <w:pPr>
              <w:jc w:val="right"/>
            </w:pPr>
            <w:r>
              <w:rPr>
                <w:rFonts w:asciiTheme="minorEastAsia" w:eastAsiaTheme="minorEastAsia" w:hAnsiTheme="minorEastAsia"/>
                <w:color w:themeColor="text1" w:val="000000"/>
                <w:szCs w:val="21"/>
              </w:rPr>
              <w:t>4.68</w:t>
            </w:r>
          </w:p>
        </w:tc>
      </w:tr>
      <w:tr>
        <w:tc>
          <w:tcPr>
            <w:vAlign w:val="center"/>
          </w:tcPr>
          <w:p>
            <w:pPr>
              <w:jc w:val="center"/>
            </w:pPr>
            <w:r>
              <w:rPr>
                <w:rFonts w:asciiTheme="minorEastAsia" w:eastAsiaTheme="minorEastAsia" w:hAnsiTheme="minorEastAsia"/>
                <w:color w:themeColor="text1" w:val="000000"/>
                <w:szCs w:val="21"/>
              </w:rPr>
              <w:t>6</w:t>
            </w:r>
          </w:p>
        </w:tc>
        <w:tc>
          <w:tcPr>
            <w:vAlign w:val="center"/>
          </w:tcPr>
          <w:p>
            <w:pPr>
              <w:jc w:val="center"/>
            </w:pPr>
            <w:r>
              <w:rPr>
                <w:rFonts w:asciiTheme="minorEastAsia" w:eastAsiaTheme="minorEastAsia" w:hAnsiTheme="minorEastAsia"/>
                <w:color w:themeColor="text1" w:val="000000"/>
                <w:szCs w:val="21"/>
              </w:rPr>
              <w:t>HDFC BANK Limited</w:t>
            </w:r>
          </w:p>
        </w:tc>
        <w:tc>
          <w:tcPr>
            <w:vAlign w:val="center"/>
          </w:tcPr>
          <w:p>
            <w:pPr>
              <w:jc w:val="center"/>
            </w:pPr>
            <w:r>
              <w:rPr>
                <w:rFonts w:asciiTheme="minorEastAsia" w:eastAsiaTheme="minorEastAsia" w:hAnsiTheme="minorEastAsia"/>
                <w:color w:themeColor="text1" w:val="000000"/>
                <w:szCs w:val="21"/>
              </w:rPr>
              <w:t>HDFC银行有限公司</w:t>
            </w:r>
          </w:p>
        </w:tc>
        <w:tc>
          <w:tcPr>
            <w:vAlign w:val="center"/>
          </w:tcPr>
          <w:p>
            <w:pPr>
              <w:jc w:val="center"/>
            </w:pPr>
            <w:r>
              <w:rPr>
                <w:rFonts w:asciiTheme="minorEastAsia" w:eastAsiaTheme="minorEastAsia" w:hAnsiTheme="minorEastAsia"/>
                <w:color w:themeColor="text1" w:val="000000"/>
                <w:szCs w:val="21"/>
              </w:rPr>
              <w:t>HDB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3,186.00</w:t>
            </w:r>
          </w:p>
        </w:tc>
        <w:tc>
          <w:tcPr>
            <w:vAlign w:val="center"/>
          </w:tcPr>
          <w:p>
            <w:pPr>
              <w:jc w:val="right"/>
            </w:pPr>
            <w:r>
              <w:rPr>
                <w:rFonts w:asciiTheme="minorEastAsia" w:eastAsiaTheme="minorEastAsia" w:hAnsiTheme="minorEastAsia"/>
                <w:color w:themeColor="text1" w:val="000000"/>
                <w:szCs w:val="21"/>
              </w:rPr>
              <w:t>2,486,609.23</w:t>
            </w:r>
          </w:p>
        </w:tc>
        <w:tc>
          <w:tcPr>
            <w:vAlign w:val="center"/>
          </w:tcPr>
          <w:p>
            <w:pPr>
              <w:jc w:val="right"/>
            </w:pPr>
            <w:r>
              <w:rPr>
                <w:rFonts w:asciiTheme="minorEastAsia" w:eastAsiaTheme="minorEastAsia" w:hAnsiTheme="minorEastAsia"/>
                <w:color w:themeColor="text1" w:val="000000"/>
                <w:szCs w:val="21"/>
              </w:rPr>
              <w:t>3.59</w:t>
            </w:r>
          </w:p>
        </w:tc>
      </w:tr>
      <w:tr>
        <w:tc>
          <w:tcPr>
            <w:vAlign w:val="center"/>
          </w:tcPr>
          <w:p>
            <w:pPr>
              <w:jc w:val="center"/>
            </w:pPr>
            <w:r>
              <w:rPr>
                <w:rFonts w:asciiTheme="minorEastAsia" w:eastAsiaTheme="minorEastAsia" w:hAnsiTheme="minorEastAsia"/>
                <w:color w:themeColor="text1" w:val="000000"/>
                <w:szCs w:val="21"/>
              </w:rPr>
              <w:t>7</w:t>
            </w:r>
          </w:p>
        </w:tc>
        <w:tc>
          <w:tcPr>
            <w:vAlign w:val="center"/>
          </w:tcPr>
          <w:p>
            <w:pPr>
              <w:jc w:val="center"/>
            </w:pPr>
            <w:r>
              <w:rPr>
                <w:rFonts w:asciiTheme="minorEastAsia" w:eastAsiaTheme="minorEastAsia" w:hAnsiTheme="minorEastAsia"/>
                <w:color w:themeColor="text1" w:val="000000"/>
                <w:szCs w:val="21"/>
              </w:rPr>
              <w:t>Infosys Ltd</w:t>
            </w:r>
          </w:p>
        </w:tc>
        <w:tc>
          <w:tcPr>
            <w:vAlign w:val="center"/>
          </w:tcPr>
          <w:p>
            <w:pPr>
              <w:jc w:val="center"/>
            </w:pPr>
            <w:r>
              <w:rPr>
                <w:rFonts w:asciiTheme="minorEastAsia" w:eastAsiaTheme="minorEastAsia" w:hAnsiTheme="minorEastAsia"/>
                <w:color w:themeColor="text1" w:val="000000"/>
                <w:szCs w:val="21"/>
              </w:rPr>
              <w:t>Infosys科技有限公司</w:t>
            </w:r>
          </w:p>
        </w:tc>
        <w:tc>
          <w:tcPr>
            <w:vAlign w:val="center"/>
          </w:tcPr>
          <w:p>
            <w:pPr>
              <w:jc w:val="center"/>
            </w:pPr>
            <w:r>
              <w:rPr>
                <w:rFonts w:asciiTheme="minorEastAsia" w:eastAsiaTheme="minorEastAsia" w:hAnsiTheme="minorEastAsia"/>
                <w:color w:themeColor="text1" w:val="000000"/>
                <w:szCs w:val="21"/>
              </w:rPr>
              <w:t>INFY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32,680.00</w:t>
            </w:r>
          </w:p>
        </w:tc>
        <w:tc>
          <w:tcPr>
            <w:vAlign w:val="center"/>
          </w:tcPr>
          <w:p>
            <w:pPr>
              <w:jc w:val="right"/>
            </w:pPr>
            <w:r>
              <w:rPr>
                <w:rFonts w:asciiTheme="minorEastAsia" w:eastAsiaTheme="minorEastAsia" w:hAnsiTheme="minorEastAsia"/>
                <w:color w:themeColor="text1" w:val="000000"/>
                <w:szCs w:val="21"/>
              </w:rPr>
              <w:t>2,405,155.03</w:t>
            </w:r>
          </w:p>
        </w:tc>
        <w:tc>
          <w:tcPr>
            <w:vAlign w:val="center"/>
          </w:tcPr>
          <w:p>
            <w:pPr>
              <w:jc w:val="right"/>
            </w:pPr>
            <w:r>
              <w:rPr>
                <w:rFonts w:asciiTheme="minorEastAsia" w:eastAsiaTheme="minorEastAsia" w:hAnsiTheme="minorEastAsia"/>
                <w:color w:themeColor="text1" w:val="000000"/>
                <w:szCs w:val="21"/>
              </w:rPr>
              <w:t>3.47</w:t>
            </w:r>
          </w:p>
        </w:tc>
      </w:tr>
      <w:tr>
        <w:tc>
          <w:tcPr>
            <w:vAlign w:val="center"/>
          </w:tcPr>
          <w:p>
            <w:pPr>
              <w:jc w:val="center"/>
            </w:pPr>
            <w:r>
              <w:rPr>
                <w:rFonts w:asciiTheme="minorEastAsia" w:eastAsiaTheme="minorEastAsia" w:hAnsiTheme="minorEastAsia"/>
                <w:color w:themeColor="text1" w:val="000000"/>
                <w:szCs w:val="21"/>
              </w:rPr>
              <w:t>8</w:t>
            </w:r>
          </w:p>
        </w:tc>
        <w:tc>
          <w:tcPr>
            <w:vAlign w:val="center"/>
          </w:tcPr>
          <w:p>
            <w:pPr>
              <w:jc w:val="center"/>
            </w:pPr>
            <w:r>
              <w:rPr>
                <w:rFonts w:asciiTheme="minorEastAsia" w:eastAsiaTheme="minorEastAsia" w:hAnsiTheme="minorEastAsia"/>
                <w:color w:themeColor="text1" w:val="000000"/>
                <w:szCs w:val="21"/>
              </w:rPr>
              <w:t>China Merchants Bank Co Ltd</w:t>
            </w:r>
          </w:p>
        </w:tc>
        <w:tc>
          <w:tcPr>
            <w:vAlign w:val="center"/>
          </w:tcPr>
          <w:p>
            <w:pPr>
              <w:jc w:val="center"/>
            </w:pPr>
            <w:r>
              <w:rPr>
                <w:rFonts w:asciiTheme="minorEastAsia" w:eastAsiaTheme="minorEastAsia" w:hAnsiTheme="minorEastAsia"/>
                <w:color w:themeColor="text1" w:val="000000"/>
                <w:szCs w:val="21"/>
              </w:rPr>
              <w:t>招商银行</w:t>
            </w:r>
          </w:p>
        </w:tc>
        <w:tc>
          <w:tcPr>
            <w:vAlign w:val="center"/>
          </w:tcPr>
          <w:p>
            <w:pPr>
              <w:jc w:val="center"/>
            </w:pPr>
            <w:r>
              <w:rPr>
                <w:rFonts w:asciiTheme="minorEastAsia" w:eastAsiaTheme="minorEastAsia" w:hAnsiTheme="minorEastAsia"/>
                <w:color w:themeColor="text1" w:val="000000"/>
                <w:szCs w:val="21"/>
              </w:rPr>
              <w:t>3968HK</w:t>
            </w:r>
          </w:p>
        </w:tc>
        <w:tc>
          <w:tcPr>
            <w:vAlign w:val="center"/>
          </w:tcPr>
          <w:p>
            <w:pPr>
              <w:jc w:val="center"/>
            </w:pPr>
            <w:r>
              <w:rPr>
                <w:rFonts w:asciiTheme="minorEastAsia" w:eastAsiaTheme="minorEastAsia" w:hAnsiTheme="minorEastAsia"/>
                <w:color w:themeColor="text1" w:val="000000"/>
                <w:szCs w:val="21"/>
              </w:rPr>
              <w:t>香港交易所</w:t>
            </w:r>
          </w:p>
        </w:tc>
        <w:tc>
          <w:tcPr>
            <w:vAlign w:val="center"/>
          </w:tcPr>
          <w:p>
            <w:pPr>
              <w:jc w:val="center"/>
            </w:pPr>
            <w:r>
              <w:rPr>
                <w:rFonts w:asciiTheme="minorEastAsia" w:eastAsiaTheme="minorEastAsia" w:hAnsiTheme="minorEastAsia"/>
                <w:color w:themeColor="text1" w:val="000000"/>
                <w:szCs w:val="21"/>
              </w:rPr>
              <w:t>中国香港</w:t>
            </w:r>
          </w:p>
        </w:tc>
        <w:tc>
          <w:tcPr>
            <w:vAlign w:val="center"/>
          </w:tcPr>
          <w:p>
            <w:pPr>
              <w:jc w:val="right"/>
            </w:pPr>
            <w:r>
              <w:rPr>
                <w:rFonts w:asciiTheme="minorEastAsia" w:eastAsiaTheme="minorEastAsia" w:hAnsiTheme="minorEastAsia"/>
                <w:color w:themeColor="text1" w:val="000000"/>
                <w:szCs w:val="21"/>
              </w:rPr>
              <w:t>68,000.00</w:t>
            </w:r>
          </w:p>
        </w:tc>
        <w:tc>
          <w:tcPr>
            <w:vAlign w:val="center"/>
          </w:tcPr>
          <w:p>
            <w:pPr>
              <w:jc w:val="right"/>
            </w:pPr>
            <w:r>
              <w:rPr>
                <w:rFonts w:asciiTheme="minorEastAsia" w:eastAsiaTheme="minorEastAsia" w:hAnsiTheme="minorEastAsia"/>
                <w:color w:themeColor="text1" w:val="000000"/>
                <w:szCs w:val="21"/>
              </w:rPr>
              <w:t>2,225,242.92</w:t>
            </w:r>
          </w:p>
        </w:tc>
        <w:tc>
          <w:tcPr>
            <w:vAlign w:val="center"/>
          </w:tcPr>
          <w:p>
            <w:pPr>
              <w:jc w:val="right"/>
            </w:pPr>
            <w:r>
              <w:rPr>
                <w:rFonts w:asciiTheme="minorEastAsia" w:eastAsiaTheme="minorEastAsia" w:hAnsiTheme="minorEastAsia"/>
                <w:color w:themeColor="text1" w:val="000000"/>
                <w:szCs w:val="21"/>
              </w:rPr>
              <w:t>3.21</w:t>
            </w:r>
          </w:p>
        </w:tc>
      </w:tr>
      <w:tr>
        <w:tc>
          <w:tcPr>
            <w:vAlign w:val="center"/>
          </w:tcPr>
          <w:p>
            <w:pPr>
              <w:jc w:val="center"/>
            </w:pPr>
            <w:r>
              <w:rPr>
                <w:rFonts w:asciiTheme="minorEastAsia" w:eastAsiaTheme="minorEastAsia" w:hAnsiTheme="minorEastAsia"/>
                <w:color w:themeColor="text1" w:val="000000"/>
                <w:szCs w:val="21"/>
              </w:rPr>
              <w:t>9</w:t>
            </w:r>
          </w:p>
        </w:tc>
        <w:tc>
          <w:tcPr>
            <w:vAlign w:val="center"/>
          </w:tcPr>
          <w:p>
            <w:pPr>
              <w:jc w:val="center"/>
            </w:pPr>
            <w:r>
              <w:rPr>
                <w:rFonts w:asciiTheme="minorEastAsia" w:eastAsiaTheme="minorEastAsia" w:hAnsiTheme="minorEastAsia"/>
                <w:color w:themeColor="text1" w:val="000000"/>
                <w:szCs w:val="21"/>
              </w:rPr>
              <w:t>Industrial Credit and Investment Corporation of India</w:t>
            </w:r>
          </w:p>
        </w:tc>
        <w:tc>
          <w:tcPr>
            <w:vAlign w:val="center"/>
          </w:tcPr>
          <w:p>
            <w:pPr>
              <w:jc w:val="center"/>
            </w:pPr>
            <w:r>
              <w:rPr>
                <w:rFonts w:asciiTheme="minorEastAsia" w:eastAsiaTheme="minorEastAsia" w:hAnsiTheme="minorEastAsia"/>
                <w:color w:themeColor="text1" w:val="000000"/>
                <w:szCs w:val="21"/>
              </w:rPr>
              <w:t>印度工业信贷投资银行</w:t>
            </w:r>
          </w:p>
        </w:tc>
        <w:tc>
          <w:tcPr>
            <w:vAlign w:val="center"/>
          </w:tcPr>
          <w:p>
            <w:pPr>
              <w:jc w:val="center"/>
            </w:pPr>
            <w:r>
              <w:rPr>
                <w:rFonts w:asciiTheme="minorEastAsia" w:eastAsiaTheme="minorEastAsia" w:hAnsiTheme="minorEastAsia"/>
                <w:color w:themeColor="text1" w:val="000000"/>
                <w:szCs w:val="21"/>
              </w:rPr>
              <w:t>IBN US</w:t>
            </w:r>
          </w:p>
        </w:tc>
        <w:tc>
          <w:tcPr>
            <w:vAlign w:val="center"/>
          </w:tcPr>
          <w:p>
            <w:pPr>
              <w:jc w:val="center"/>
            </w:pPr>
            <w:r>
              <w:rPr>
                <w:rFonts w:asciiTheme="minorEastAsia" w:eastAsiaTheme="minorEastAsia" w:hAnsiTheme="minorEastAsia"/>
                <w:color w:themeColor="text1" w:val="000000"/>
                <w:szCs w:val="21"/>
              </w:rPr>
              <w:t>纽约证券交易所</w:t>
            </w:r>
          </w:p>
        </w:tc>
        <w:tc>
          <w:tcPr>
            <w:vAlign w:val="center"/>
          </w:tcPr>
          <w:p>
            <w:pPr>
              <w:jc w:val="center"/>
            </w:pPr>
            <w:r>
              <w:rPr>
                <w:rFonts w:asciiTheme="minorEastAsia" w:eastAsiaTheme="minorEastAsia" w:hAnsiTheme="minorEastAsia"/>
                <w:color w:themeColor="text1" w:val="000000"/>
                <w:szCs w:val="21"/>
              </w:rPr>
              <w:t>美国</w:t>
            </w:r>
          </w:p>
        </w:tc>
        <w:tc>
          <w:tcPr>
            <w:vAlign w:val="center"/>
          </w:tcPr>
          <w:p>
            <w:pPr>
              <w:jc w:val="right"/>
            </w:pPr>
            <w:r>
              <w:rPr>
                <w:rFonts w:asciiTheme="minorEastAsia" w:eastAsiaTheme="minorEastAsia" w:hAnsiTheme="minorEastAsia"/>
                <w:color w:themeColor="text1" w:val="000000"/>
                <w:szCs w:val="21"/>
              </w:rPr>
              <w:t>25,898.00</w:t>
            </w:r>
          </w:p>
        </w:tc>
        <w:tc>
          <w:tcPr>
            <w:vAlign w:val="center"/>
          </w:tcPr>
          <w:p>
            <w:pPr>
              <w:jc w:val="right"/>
            </w:pPr>
            <w:r>
              <w:rPr>
                <w:rFonts w:asciiTheme="minorEastAsia" w:eastAsiaTheme="minorEastAsia" w:hAnsiTheme="minorEastAsia"/>
                <w:color w:themeColor="text1" w:val="000000"/>
                <w:szCs w:val="21"/>
              </w:rPr>
              <w:t>1,998,442.74</w:t>
            </w:r>
          </w:p>
        </w:tc>
        <w:tc>
          <w:tcPr>
            <w:vAlign w:val="center"/>
          </w:tcPr>
          <w:p>
            <w:pPr>
              <w:jc w:val="right"/>
            </w:pPr>
            <w:r>
              <w:rPr>
                <w:rFonts w:asciiTheme="minorEastAsia" w:eastAsiaTheme="minorEastAsia" w:hAnsiTheme="minorEastAsia"/>
                <w:color w:themeColor="text1" w:val="000000"/>
                <w:szCs w:val="21"/>
              </w:rPr>
              <w:t>2.88</w:t>
            </w:r>
          </w:p>
        </w:tc>
      </w:tr>
      <w:tr>
        <w:tc>
          <w:tcPr>
            <w:vAlign w:val="center"/>
          </w:tcPr>
          <w:p>
            <w:pPr>
              <w:jc w:val="center"/>
            </w:pPr>
            <w:r>
              <w:rPr>
                <w:rFonts w:asciiTheme="minorEastAsia" w:eastAsiaTheme="minorEastAsia" w:hAnsiTheme="minorEastAsia"/>
                <w:color w:themeColor="text1" w:val="000000"/>
                <w:szCs w:val="21"/>
              </w:rPr>
              <w:t>10</w:t>
            </w:r>
          </w:p>
        </w:tc>
        <w:tc>
          <w:tcPr>
            <w:vAlign w:val="center"/>
          </w:tcPr>
          <w:p>
            <w:pPr>
              <w:jc w:val="center"/>
            </w:pPr>
            <w:r>
              <w:rPr>
                <w:rFonts w:asciiTheme="minorEastAsia" w:eastAsiaTheme="minorEastAsia" w:hAnsiTheme="minorEastAsia"/>
                <w:color w:themeColor="text1" w:val="000000"/>
                <w:szCs w:val="21"/>
              </w:rPr>
              <w:t>Bank Rakyat Indonesia TBK</w:t>
            </w:r>
          </w:p>
        </w:tc>
        <w:tc>
          <w:tcPr>
            <w:vAlign w:val="center"/>
          </w:tcPr>
          <w:p>
            <w:pPr>
              <w:jc w:val="center"/>
            </w:pPr>
            <w:r>
              <w:rPr>
                <w:rFonts w:asciiTheme="minorEastAsia" w:eastAsiaTheme="minorEastAsia" w:hAnsiTheme="minorEastAsia"/>
                <w:color w:themeColor="text1" w:val="000000"/>
                <w:szCs w:val="21"/>
              </w:rPr>
              <w:t>印尼人民银行股份有限公司</w:t>
            </w:r>
          </w:p>
        </w:tc>
        <w:tc>
          <w:tcPr>
            <w:vAlign w:val="center"/>
          </w:tcPr>
          <w:p>
            <w:pPr>
              <w:jc w:val="center"/>
            </w:pPr>
            <w:r>
              <w:rPr>
                <w:rFonts w:asciiTheme="minorEastAsia" w:eastAsiaTheme="minorEastAsia" w:hAnsiTheme="minorEastAsia"/>
                <w:color w:themeColor="text1" w:val="000000"/>
                <w:szCs w:val="21"/>
              </w:rPr>
              <w:t>BBRI IJ</w:t>
            </w:r>
          </w:p>
        </w:tc>
        <w:tc>
          <w:tcPr>
            <w:vAlign w:val="center"/>
          </w:tcPr>
          <w:p>
            <w:pPr>
              <w:jc w:val="center"/>
            </w:pPr>
            <w:r>
              <w:rPr>
                <w:rFonts w:asciiTheme="minorEastAsia" w:eastAsiaTheme="minorEastAsia" w:hAnsiTheme="minorEastAsia"/>
                <w:color w:themeColor="text1" w:val="000000"/>
                <w:szCs w:val="21"/>
              </w:rPr>
              <w:t>雅加达证券交易所</w:t>
            </w:r>
          </w:p>
        </w:tc>
        <w:tc>
          <w:tcPr>
            <w:vAlign w:val="center"/>
          </w:tcPr>
          <w:p>
            <w:pPr>
              <w:jc w:val="center"/>
            </w:pPr>
            <w:r>
              <w:rPr>
                <w:rFonts w:asciiTheme="minorEastAsia" w:eastAsiaTheme="minorEastAsia" w:hAnsiTheme="minorEastAsia"/>
                <w:color w:themeColor="text1" w:val="000000"/>
                <w:szCs w:val="21"/>
              </w:rPr>
              <w:t>印尼</w:t>
            </w:r>
          </w:p>
        </w:tc>
        <w:tc>
          <w:tcPr>
            <w:vAlign w:val="center"/>
          </w:tcPr>
          <w:p>
            <w:pPr>
              <w:jc w:val="right"/>
            </w:pPr>
            <w:r>
              <w:rPr>
                <w:rFonts w:asciiTheme="minorEastAsia" w:eastAsiaTheme="minorEastAsia" w:hAnsiTheme="minorEastAsia"/>
                <w:color w:themeColor="text1" w:val="000000"/>
                <w:szCs w:val="21"/>
              </w:rPr>
              <w:t>1,000,000.00</w:t>
            </w:r>
          </w:p>
        </w:tc>
        <w:tc>
          <w:tcPr>
            <w:vAlign w:val="center"/>
          </w:tcPr>
          <w:p>
            <w:pPr>
              <w:jc w:val="right"/>
            </w:pPr>
            <w:r>
              <w:rPr>
                <w:rFonts w:asciiTheme="minorEastAsia" w:eastAsiaTheme="minorEastAsia" w:hAnsiTheme="minorEastAsia"/>
                <w:color w:themeColor="text1" w:val="000000"/>
                <w:szCs w:val="21"/>
              </w:rPr>
              <w:t>1,948,175.56</w:t>
            </w:r>
          </w:p>
        </w:tc>
        <w:tc>
          <w:tcPr>
            <w:vAlign w:val="center"/>
          </w:tcPr>
          <w:p>
            <w:pPr>
              <w:jc w:val="right"/>
            </w:pPr>
            <w:r>
              <w:rPr>
                <w:rFonts w:asciiTheme="minorEastAsia" w:eastAsiaTheme="minorEastAsia" w:hAnsiTheme="minorEastAsia"/>
                <w:color w:themeColor="text1" w:val="000000"/>
                <w:szCs w:val="21"/>
              </w:rPr>
              <w:t>2.81</w:t>
            </w:r>
          </w:p>
        </w:tc>
      </w:tr>
    </w:tbl>
    <w:p w:rsidP="00890172" w:rsidR="00521EDE" w:rsidRDefault="00521EDE" w:rsidRPr="008277FF">
      <w:pPr>
        <w:autoSpaceDE w:val="0"/>
        <w:autoSpaceDN w:val="0"/>
        <w:adjustRightInd w:val="0"/>
        <w:spacing w:before="29" w:line="360" w:lineRule="auto"/>
        <w:ind w:left="15"/>
        <w:jc w:val="left"/>
        <w:rPr>
          <w:rFonts w:asciiTheme="minorEastAsia" w:cs="宋体" w:eastAsiaTheme="minorEastAsia" w:hAnsiTheme="minorEastAsia"/>
          <w:color w:themeColor="text1" w:val="00000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5</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报告期末按债券信用等级分类的债券投资组合</w:t>
      </w:r>
    </w:p>
    <w:p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本基金本报告期末未持有债券。</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6</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报告期末按公允价值占基金资产净值比例大小排名的前五名债券投资明细</w:t>
      </w:r>
    </w:p>
    <w:p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lastRenderedPageBreak/>
        <w:t/>
      </w:r>
      <w:r w:rsidRPr="008277FF">
        <w:rPr>
          <w:rFonts w:asciiTheme="minorEastAsia" w:eastAsiaTheme="minorEastAsia" w:hAnsiTheme="minorEastAsia"/>
          <w:color w:themeColor="text1" w:val="000000"/>
          <w:szCs w:val="21"/>
        </w:rPr>
        <w:t>本基金本报告期末未持有债券。</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w:t>
      </w:r>
      <w:r w:rsidR="002A0FA2" w:rsidRPr="008277FF">
        <w:rPr>
          <w:rFonts w:asciiTheme="minorEastAsia" w:cs="Arial" w:eastAsiaTheme="minorEastAsia" w:hAnsiTheme="minorEastAsia" w:hint="eastAsia"/>
          <w:b/>
          <w:color w:themeColor="text1" w:val="000000"/>
          <w:kern w:val="0"/>
          <w:sz w:val="24"/>
        </w:rPr>
        <w:t>7</w:t>
      </w:r>
      <w:r w:rsidRPr="008277FF">
        <w:rPr>
          <w:rFonts w:asciiTheme="minorEastAsia" w:cs="Arial" w:eastAsiaTheme="minorEastAsia" w:hAnsiTheme="minorEastAsia" w:hint="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报告期末按公允价值占基金资产净值比例大小排名的前十名资产支持证券投资明细</w:t>
      </w:r>
    </w:p>
    <w:p w:rsidP="002236BC"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本基金本报告期末未持有资产支持证券。</w:t>
      </w:r>
    </w:p>
    <w:p w:rsidP="00521EDE" w:rsidR="005B6AC7" w:rsidRDefault="005B6AC7" w:rsidRPr="008277FF">
      <w:pPr>
        <w:autoSpaceDE w:val="0"/>
        <w:autoSpaceDN w:val="0"/>
        <w:adjustRightInd w:val="0"/>
        <w:spacing w:before="29" w:line="360" w:lineRule="auto"/>
        <w:ind w:left="15"/>
        <w:jc w:val="left"/>
        <w:rPr>
          <w:rFonts w:asciiTheme="minorEastAsia" w:cs="Arial" w:eastAsiaTheme="minorEastAsia" w:hAnsiTheme="minorEastAsia"/>
          <w:b/>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5</w:t>
      </w:r>
      <w:r w:rsidRPr="008277FF">
        <w:rPr>
          <w:rFonts w:asciiTheme="minorEastAsia" w:cs="Arial" w:eastAsiaTheme="minorEastAsia" w:hAnsiTheme="minorEastAsia"/>
          <w:b/>
          <w:color w:themeColor="text1" w:val="000000"/>
          <w:kern w:val="0"/>
          <w:sz w:val="24"/>
        </w:rPr>
        <w:t>.</w:t>
      </w:r>
      <w:r w:rsidR="002A0FA2" w:rsidRPr="008277FF">
        <w:rPr>
          <w:rFonts w:asciiTheme="minorEastAsia" w:cs="Arial" w:eastAsiaTheme="minorEastAsia" w:hAnsiTheme="minorEastAsia" w:hint="eastAsia"/>
          <w:b/>
          <w:color w:themeColor="text1" w:val="000000"/>
          <w:kern w:val="0"/>
          <w:sz w:val="24"/>
        </w:rPr>
        <w:t/>
      </w:r>
      <w:r w:rsidRPr="008277FF">
        <w:rPr>
          <w:rFonts w:asciiTheme="minorEastAsia" w:cs="Arial" w:eastAsiaTheme="minorEastAsia" w:hAnsiTheme="minorEastAsia" w:hint="eastAsia"/>
          <w:b/>
          <w:color w:themeColor="text1" w:val="000000"/>
          <w:kern w:val="0"/>
          <w:sz w:val="24"/>
        </w:rPr>
        <w:t>8</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报告期末按公允价值占基金资产净值比例大小排名的前五名金融衍生品投资明细</w:t>
      </w:r>
    </w:p>
    <w:p w:rsidP="00521EDE"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本基金本报告期末未持有金融衍生品。</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lastRenderedPageBreak/>
        <w:t/>
      </w:r>
      <w:r w:rsidR="00B22A61" w:rsidRPr="008277FF">
        <w:rPr>
          <w:rFonts w:asciiTheme="minorEastAsia" w:cs="Arial" w:eastAsiaTheme="minorEastAsia" w:hAnsiTheme="minorEastAsia" w:hint="eastAsia"/>
          <w:b/>
          <w:color w:themeColor="text1" w:val="000000"/>
          <w:kern w:val="0"/>
          <w:sz w:val="24"/>
        </w:rPr>
        <w:t>5</w:t>
      </w:r>
      <w:r w:rsidR="00B22A61" w:rsidRPr="008277FF">
        <w:rPr>
          <w:rFonts w:asciiTheme="minorEastAsia" w:cs="Arial" w:eastAsiaTheme="minorEastAsia" w:hAnsiTheme="minorEastAsia"/>
          <w:b/>
          <w:color w:themeColor="text1" w:val="000000"/>
          <w:kern w:val="0"/>
          <w:sz w:val="24"/>
        </w:rPr>
        <w:t>.</w:t>
      </w:r>
      <w:r w:rsidRPr="008277FF">
        <w:rPr>
          <w:rFonts w:asciiTheme="minorEastAsia" w:cs="Arial" w:eastAsiaTheme="minorEastAsia" w:hAnsiTheme="minorEastAsia" w:hint="eastAsia"/>
          <w:b/>
          <w:color w:themeColor="text1" w:val="000000"/>
          <w:kern w:val="0"/>
          <w:sz w:val="24"/>
        </w:rPr>
        <w:t/>
      </w:r>
      <w:r w:rsidR="00B22A61" w:rsidRPr="008277FF">
        <w:rPr>
          <w:rFonts w:asciiTheme="minorEastAsia" w:cs="Arial" w:eastAsiaTheme="minorEastAsia" w:hAnsiTheme="minorEastAsia" w:hint="eastAsia"/>
          <w:b/>
          <w:color w:themeColor="text1" w:val="000000"/>
          <w:kern w:val="0"/>
          <w:sz w:val="24"/>
        </w:rPr>
        <w:t>9</w:t>
      </w:r>
      <w:r w:rsidR="0076518F" w:rsidRPr="008277FF">
        <w:rPr>
          <w:rFonts w:asciiTheme="minorEastAsia" w:cs="Arial" w:eastAsiaTheme="minorEastAsia" w:hAnsiTheme="minorEastAsia" w:hint="eastAsia"/>
          <w:b/>
          <w:color w:themeColor="text1" w:val="000000"/>
          <w:kern w:val="0"/>
          <w:sz w:val="24"/>
        </w:rPr>
        <w:t>报告期末按公允价值占基金资产净值比例大小排序的</w:t>
      </w:r>
      <w:r w:rsidR="0076518F" w:rsidRPr="008277FF">
        <w:rPr>
          <w:rFonts w:asciiTheme="minorEastAsia" w:cs="Arial" w:eastAsiaTheme="minorEastAsia" w:hAnsiTheme="minorEastAsia"/>
          <w:b/>
          <w:color w:themeColor="text1" w:val="000000"/>
          <w:kern w:val="0"/>
          <w:sz w:val="24"/>
        </w:rPr>
        <w:t>前</w:t>
      </w:r>
      <w:r w:rsidR="0076518F" w:rsidRPr="008277FF">
        <w:rPr>
          <w:rFonts w:asciiTheme="minorEastAsia" w:cs="Arial" w:eastAsiaTheme="minorEastAsia" w:hAnsiTheme="minorEastAsia" w:hint="eastAsia"/>
          <w:b/>
          <w:color w:themeColor="text1" w:val="000000"/>
          <w:kern w:val="0"/>
          <w:sz w:val="24"/>
        </w:rPr>
        <w:t>十名基金投资明细</w:t>
      </w:r>
    </w:p>
    <w:p w:rsidP="002236BC" w:rsidR="00521EDE" w:rsidRDefault="00521EDE"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本基金本报告期末未持有基金。</w:t>
      </w:r>
    </w:p>
    <w:p w:rsidP="008B6A4A" w:rsidR="0076518F" w:rsidRDefault="0076518F" w:rsidRPr="008277FF">
      <w:pPr>
        <w:autoSpaceDE w:val="0"/>
        <w:autoSpaceDN w:val="0"/>
        <w:adjustRightInd w:val="0"/>
        <w:spacing w:line="360" w:lineRule="auto"/>
        <w:jc w:val="left"/>
        <w:rPr>
          <w:rFonts w:asciiTheme="minorEastAsia" w:cs="Arial" w:eastAsiaTheme="minorEastAsia" w:hAnsiTheme="minorEastAsia"/>
          <w:color w:themeColor="text1" w:val="000000"/>
          <w:kern w:val="0"/>
          <w:sz w:val="24"/>
        </w:rPr>
      </w:pPr>
    </w:p>
    <w:p w:rsidP="0049659A" w:rsidR="0076518F" w:rsidRDefault="00B22A61"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B55EA7" w:rsidRPr="008277FF">
        <w:rPr>
          <w:rFonts w:asciiTheme="minorEastAsia" w:cs="Arial" w:eastAsiaTheme="minorEastAsia" w:hAnsiTheme="minorEastAsia" w:hint="eastAsia"/>
          <w:b/>
          <w:color w:themeColor="text1" w:val="000000"/>
          <w:kern w:val="0"/>
          <w:sz w:val="24"/>
        </w:rPr>
        <w:t>5</w:t>
      </w:r>
      <w:r w:rsidR="0076518F" w:rsidRPr="008277FF">
        <w:rPr>
          <w:rFonts w:asciiTheme="minorEastAsia" w:cs="Arial" w:eastAsiaTheme="minorEastAsia" w:hAnsiTheme="minorEastAsia"/>
          <w:b/>
          <w:color w:themeColor="text1" w:val="000000"/>
          <w:kern w:val="0"/>
          <w:sz w:val="24"/>
        </w:rPr>
        <w:t>.</w:t>
      </w:r>
      <w:r w:rsidRPr="008277FF">
        <w:rPr>
          <w:rFonts w:asciiTheme="minorEastAsia" w:cs="Arial" w:eastAsiaTheme="minorEastAsia" w:hAnsiTheme="minorEastAsia" w:hint="eastAsia"/>
          <w:b/>
          <w:color w:themeColor="text1" w:val="000000"/>
          <w:kern w:val="0"/>
          <w:sz w:val="24"/>
        </w:rPr>
        <w:t/>
      </w:r>
      <w:r w:rsidR="00B55EA7" w:rsidRPr="008277FF">
        <w:rPr>
          <w:rFonts w:asciiTheme="minorEastAsia" w:cs="Arial" w:eastAsiaTheme="minorEastAsia" w:hAnsiTheme="minorEastAsia" w:hint="eastAsia"/>
          <w:b/>
          <w:color w:themeColor="text1" w:val="000000"/>
          <w:kern w:val="0"/>
          <w:sz w:val="24"/>
        </w:rPr>
        <w:t>10</w:t>
      </w:r>
      <w:r w:rsidR="0076518F" w:rsidRPr="008277FF">
        <w:rPr>
          <w:rFonts w:asciiTheme="minorEastAsia" w:cs="Arial" w:eastAsiaTheme="minorEastAsia" w:hAnsiTheme="minorEastAsia"/>
          <w:b/>
          <w:color w:themeColor="text1" w:val="000000"/>
          <w:kern w:val="0"/>
          <w:sz w:val="24"/>
        </w:rPr>
        <w:t xml:space="preserve"> </w:t>
      </w:r>
      <w:r w:rsidR="0076518F" w:rsidRPr="008277FF">
        <w:rPr>
          <w:rFonts w:asciiTheme="minorEastAsia" w:cs="Arial" w:eastAsiaTheme="minorEastAsia" w:hAnsiTheme="minorEastAsia" w:hint="eastAsia"/>
          <w:b/>
          <w:color w:themeColor="text1" w:val="000000"/>
          <w:kern w:val="0"/>
          <w:sz w:val="24"/>
        </w:rPr>
        <w:t>投资组合报告附注</w:t>
      </w:r>
    </w:p>
    <w:p w:rsidP="000E3F11" w:rsidR="00B55EA7" w:rsidRDefault="00B55EA7" w:rsidRPr="008277FF">
      <w:pPr>
        <w:widowControl/>
        <w:spacing w:line="360" w:lineRule="auto"/>
        <w:ind w:hanging="120" w:hangingChars="50" w:left="120"/>
        <w:rPr>
          <w:rFonts w:asciiTheme="minorEastAsia" w:eastAsiaTheme="minorEastAsia" w:hAnsiTheme="minorEastAsia"/>
          <w:color w:themeColor="text1" w:val="000000"/>
          <w:sz w:val="24"/>
        </w:rPr>
      </w:pPr>
      <w:r w:rsidRPr="008277FF">
        <w:rPr>
          <w:rFonts w:asciiTheme="minorEastAsia" w:eastAsiaTheme="minorEastAsia" w:hAnsiTheme="minorEastAsia"/>
          <w:color w:themeColor="text1" w:val="000000"/>
          <w:sz w:val="24"/>
        </w:rPr>
        <w:t>5.10.1报告期内本基金投资的前十名证券的发行主体本期没有出现被监管部门立案调查，或在报告编制日前一年内受到公开谴责、处罚的情形。</w:t>
      </w:r>
    </w:p>
    <w:p w:rsidP="00B55EA7" w:rsidR="00B55EA7" w:rsidRDefault="00B55EA7" w:rsidRPr="008277FF">
      <w:pPr>
        <w:widowControl/>
        <w:spacing w:line="360" w:lineRule="auto"/>
        <w:rPr>
          <w:rFonts w:asciiTheme="minorEastAsia" w:eastAsiaTheme="minorEastAsia" w:hAnsiTheme="minorEastAsia"/>
          <w:color w:themeColor="text1" w:val="000000"/>
          <w:sz w:val="24"/>
        </w:rPr>
      </w:pPr>
      <w:r w:rsidRPr="008277FF">
        <w:rPr>
          <w:rFonts w:asciiTheme="minorEastAsia" w:eastAsiaTheme="minorEastAsia" w:hAnsiTheme="minorEastAsia"/>
          <w:color w:themeColor="text1" w:val="000000"/>
          <w:sz w:val="24"/>
        </w:rPr>
        <w:t>5.10.2报告期内本基金投资的前十名股票中没有在基金合同规定备选股票库之外的股票。</w:t>
      </w:r>
    </w:p>
    <w:p w:rsidP="0049659A"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.3</w:t>
      </w:r>
      <w:r w:rsidR="0076518F" w:rsidRPr="008277FF">
        <w:rPr>
          <w:rFonts w:asciiTheme="minorEastAsia" w:cs="Arial" w:eastAsiaTheme="minorEastAsia" w:hAnsiTheme="minorEastAsia" w:hint="eastAsia"/>
          <w:b/>
          <w:color w:themeColor="text1" w:val="000000"/>
          <w:kern w:val="0"/>
          <w:sz w:val="24"/>
        </w:rPr>
        <w:t>其他资产构成</w:t>
      </w:r>
    </w:p>
    <w:tbl>
      <w:tblPr>
        <w:tblStyle w:val="af7"/>
        <w:tblW w:type="auto" w:w="0"/>
        <w:tblInd w:type="dxa" w:w="15"/>
        <w:tblLayout w:type="fixed"/>
        <w:tblLook w:val="04A0"/>
      </w:tblPr>
      <w:tblGrid>
        <w:gridCol w:w="802"/>
        <w:gridCol w:w="2903"/>
        <w:gridCol w:w="4808"/>
      </w:tblGrid>
      <w:tr w:rsidR="008277FF" w:rsidRPr="008277FF" w:rsidTr="004C05F3">
        <w:tc>
          <w:tcPr>
            <w:tcW w:type="dxa" w:w="802"/>
            <w:vAlign w:val="center"/>
          </w:tcPr>
          <w:p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序号</w:t>
            </w:r>
          </w:p>
        </w:tc>
        <w:tc>
          <w:tcPr>
            <w:tcW w:type="dxa" w:w="2903"/>
            <w:vAlign w:val="center"/>
          </w:tcPr>
          <w:p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名称</w:t>
            </w:r>
          </w:p>
        </w:tc>
        <w:tc>
          <w:tcPr>
            <w:tcW w:type="dxa" w:w="4808"/>
            <w:vAlign w:val="center"/>
          </w:tcPr>
          <w:p w:rsidP="00797DD2" w:rsidR="002C2678" w:rsidRDefault="002C2678" w:rsidRPr="008277FF">
            <w:pPr>
              <w:autoSpaceDE w:val="0"/>
              <w:autoSpaceDN w:val="0"/>
              <w:adjustRightInd w:val="0"/>
              <w:spacing w:before="29" w:line="360" w:lineRule="auto"/>
              <w:ind w:left="17"/>
              <w:jc w:val="center"/>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金额(</w:t>
            </w:r>
            <w:r w:rsidR="00C42431" w:rsidRPr="008277FF">
              <w:rPr>
                <w:rFonts w:asciiTheme="minorEastAsia" w:cs="宋体" w:eastAsiaTheme="minorEastAsia" w:hAnsiTheme="minorEastAsia" w:hint="eastAsia"/>
                <w:color w:themeColor="text1" w:val="000000"/>
                <w:kern w:val="0"/>
                <w:szCs w:val="21"/>
              </w:rPr>
              <w:t>人民币</w:t>
            </w:r>
            <w:r w:rsidRPr="008277FF">
              <w:rPr>
                <w:rFonts w:asciiTheme="minorEastAsia" w:cs="宋体" w:eastAsiaTheme="minorEastAsia" w:hAnsiTheme="minorEastAsia" w:hint="eastAsia"/>
                <w:color w:themeColor="text1" w:val="000000"/>
                <w:kern w:val="0"/>
                <w:szCs w:val="21"/>
              </w:rPr>
              <w:t>元)</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szCs w:val="21"/>
              </w:rPr>
              <w:t>1</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存出保证金</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2</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应收证券清算款</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1,951,223.86</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3</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应收股利</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128,141.85</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4</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应收利息</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981.60</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5</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应收申购款</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43,213.62</w:t>
            </w:r>
          </w:p>
        </w:tc>
      </w:tr>
      <w:tr w:rsidR="008277FF" w:rsidRPr="008277FF" w:rsidTr="009E3391">
        <w:tc>
          <w:tcPr>
            <w:tcW w:type="dxa" w:w="802"/>
            <w:vAlign w:val="center"/>
          </w:tcPr>
          <w:p w:rsidP="00797DD2" w:rsidR="002C2678" w:rsidRDefault="002C2678"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6</w:t>
            </w:r>
          </w:p>
        </w:tc>
        <w:tc>
          <w:tcPr>
            <w:tcW w:type="dxa" w:w="2903"/>
            <w:vAlign w:val="center"/>
          </w:tcPr>
          <w:p w:rsidP="009E3391" w:rsidR="002C2678" w:rsidRDefault="002C2678"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其他应收款</w:t>
            </w:r>
          </w:p>
        </w:tc>
        <w:tc>
          <w:tcPr>
            <w:tcW w:type="dxa" w:w="4808"/>
            <w:vAlign w:val="center"/>
          </w:tcPr>
          <w:p w:rsidP="00797DD2" w:rsidR="002C2678" w:rsidRDefault="002C2678"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1,194,093.93</w:t>
            </w:r>
          </w:p>
        </w:tc>
      </w:tr>
      <w:tr w:rsidR="008277FF" w:rsidRPr="008277FF" w:rsidTr="009E3391">
        <w:tc>
          <w:tcPr>
            <w:tcW w:type="dxa" w:w="802"/>
            <w:vAlign w:val="center"/>
          </w:tcPr>
          <w:p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7</w:t>
            </w:r>
          </w:p>
        </w:tc>
        <w:tc>
          <w:tcPr>
            <w:tcW w:type="dxa" w:w="2903"/>
            <w:vAlign w:val="center"/>
          </w:tcPr>
          <w:p w:rsidP="009E3391" w:rsidR="00F951CF" w:rsidRDefault="00F951CF" w:rsidRPr="008277FF">
            <w:pPr>
              <w:autoSpaceDE w:val="0"/>
              <w:autoSpaceDN w:val="0"/>
              <w:adjustRightInd w:val="0"/>
              <w:spacing w:before="29" w:line="360" w:lineRule="auto"/>
              <w:ind w:left="15"/>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待摊费用</w:t>
            </w:r>
          </w:p>
        </w:tc>
        <w:tc>
          <w:tcPr>
            <w:tcW w:type="dxa" w:w="4808"/>
            <w:vAlign w:val="center"/>
          </w:tcPr>
          <w:p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w:t>
            </w:r>
          </w:p>
        </w:tc>
      </w:tr>
      <w:tr w:rsidR="008277FF" w:rsidRPr="008277FF" w:rsidTr="009E3391">
        <w:tc>
          <w:tcPr>
            <w:tcW w:type="dxa" w:w="802"/>
            <w:vAlign w:val="center"/>
          </w:tcPr>
          <w:p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8</w:t>
            </w:r>
          </w:p>
        </w:tc>
        <w:tc>
          <w:tcPr>
            <w:tcW w:type="dxa" w:w="2903"/>
            <w:vAlign w:val="center"/>
          </w:tcPr>
          <w:p w:rsidP="009E3391" w:rsidR="00F951CF" w:rsidRDefault="00F951CF"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其他</w:t>
            </w:r>
          </w:p>
        </w:tc>
        <w:tc>
          <w:tcPr>
            <w:tcW w:type="dxa" w:w="4808"/>
            <w:vAlign w:val="center"/>
          </w:tcPr>
          <w:p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w:t>
            </w:r>
          </w:p>
        </w:tc>
      </w:tr>
      <w:tr w:rsidR="008277FF" w:rsidRPr="008277FF" w:rsidTr="009E3391">
        <w:tc>
          <w:tcPr>
            <w:tcW w:type="dxa" w:w="802"/>
            <w:vAlign w:val="center"/>
          </w:tcPr>
          <w:p w:rsidP="00797DD2" w:rsidR="00F951CF" w:rsidRDefault="00F951CF" w:rsidRPr="008277FF">
            <w:pPr>
              <w:autoSpaceDE w:val="0"/>
              <w:autoSpaceDN w:val="0"/>
              <w:adjustRightInd w:val="0"/>
              <w:spacing w:before="29" w:line="360" w:lineRule="auto"/>
              <w:ind w:left="15"/>
              <w:jc w:val="center"/>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9</w:t>
            </w:r>
          </w:p>
        </w:tc>
        <w:tc>
          <w:tcPr>
            <w:tcW w:type="dxa" w:w="2903"/>
            <w:vAlign w:val="center"/>
          </w:tcPr>
          <w:p w:rsidP="009E3391" w:rsidR="00F951CF" w:rsidRDefault="00F951CF" w:rsidRPr="008277FF">
            <w:pPr>
              <w:autoSpaceDE w:val="0"/>
              <w:autoSpaceDN w:val="0"/>
              <w:adjustRightInd w:val="0"/>
              <w:spacing w:before="29" w:line="360" w:lineRule="auto"/>
              <w:ind w:left="15"/>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合计</w:t>
            </w:r>
          </w:p>
        </w:tc>
        <w:tc>
          <w:tcPr>
            <w:tcW w:type="dxa" w:w="4808"/>
            <w:vAlign w:val="center"/>
          </w:tcPr>
          <w:p w:rsidP="00797DD2" w:rsidR="00F951CF" w:rsidRDefault="00F951CF" w:rsidRPr="008277FF">
            <w:pPr>
              <w:autoSpaceDE w:val="0"/>
              <w:autoSpaceDN w:val="0"/>
              <w:adjustRightInd w:val="0"/>
              <w:spacing w:before="29" w:line="360" w:lineRule="auto"/>
              <w:ind w:left="15"/>
              <w:jc w:val="right"/>
              <w:rPr>
                <w:rFonts w:asciiTheme="minorEastAsia" w:eastAsiaTheme="minorEastAsia" w:hAnsiTheme="minorEastAsia"/>
                <w:color w:themeColor="text1" w:val="000000"/>
                <w:kern w:val="0"/>
                <w:szCs w:val="21"/>
              </w:rPr>
            </w:pPr>
            <w:r w:rsidRPr="008277FF">
              <w:rPr>
                <w:rFonts w:asciiTheme="minorEastAsia" w:eastAsiaTheme="minorEastAsia" w:hAnsiTheme="minorEastAsia"/>
                <w:color w:themeColor="text1" w:val="000000"/>
                <w:kern w:val="0"/>
                <w:szCs w:val="21"/>
              </w:rPr>
              <w:t>3,317,654.86</w:t>
            </w:r>
          </w:p>
        </w:tc>
      </w:tr>
    </w:tbl>
    <w:p w:rsidP="00EC4BA3" w:rsidR="00A22D4B" w:rsidRDefault="00A22D4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.4</w:t>
      </w:r>
      <w:r w:rsidR="0076518F" w:rsidRPr="008277FF">
        <w:rPr>
          <w:rFonts w:asciiTheme="minorEastAsia" w:cs="Arial" w:eastAsiaTheme="minorEastAsia" w:hAnsiTheme="minorEastAsia" w:hint="eastAsia"/>
          <w:b/>
          <w:color w:themeColor="text1" w:val="000000"/>
          <w:kern w:val="0"/>
          <w:sz w:val="24"/>
        </w:rPr>
        <w:t>报告期末持有的处于转股期的可转换债券明细</w:t>
      </w:r>
    </w:p>
    <w:p w:rsidP="002236BC" w:rsidR="000A55BD" w:rsidRDefault="000A55B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本基金本报告期末未持有处于转股期的可转换债券。</w:t>
      </w:r>
    </w:p>
    <w:p w:rsidP="002236BC" w:rsidR="009E3391" w:rsidRDefault="009E3391" w:rsidRPr="008277FF">
      <w:pPr>
        <w:autoSpaceDE w:val="0"/>
        <w:autoSpaceDN w:val="0"/>
        <w:adjustRightInd w:val="0"/>
        <w:spacing w:line="360" w:lineRule="auto"/>
        <w:jc w:val="left"/>
        <w:rPr>
          <w:rFonts w:asciiTheme="minorEastAsia" w:eastAsiaTheme="minorEastAsia" w:hAnsiTheme="minorEastAsia"/>
          <w:color w:themeColor="text1" w:val="000000"/>
          <w:szCs w:val="21"/>
        </w:rPr>
      </w:pPr>
    </w:p>
    <w:p w:rsidP="00EC4BA3" w:rsidR="0076518F" w:rsidRDefault="008C71EB"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.5</w:t>
      </w:r>
      <w:r w:rsidR="0076518F" w:rsidRPr="008277FF">
        <w:rPr>
          <w:rFonts w:asciiTheme="minorEastAsia" w:cs="Arial" w:eastAsiaTheme="minorEastAsia" w:hAnsiTheme="minorEastAsia" w:hint="eastAsia"/>
          <w:b/>
          <w:color w:themeColor="text1" w:val="000000"/>
          <w:kern w:val="0"/>
          <w:sz w:val="24"/>
        </w:rPr>
        <w:t xml:space="preserve"> 报告期末前十名股票中存在流通受限情况的说明</w:t>
      </w:r>
    </w:p>
    <w:p w:rsidP="002236BC" w:rsidR="000A55BD" w:rsidRDefault="000A55B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color w:themeColor="text1" w:val="000000"/>
          <w:szCs w:val="21"/>
        </w:rPr>
        <w:lastRenderedPageBreak/>
        <w:t>本基金本报告期末前十名股票中不存在流通受限情况。</w:t>
      </w:r>
    </w:p>
    <w:p w:rsidP="002236BC" w:rsidR="000E3B88" w:rsidRDefault="000E3B88" w:rsidRPr="008277FF">
      <w:pPr>
        <w:autoSpaceDE w:val="0"/>
        <w:autoSpaceDN w:val="0"/>
        <w:adjustRightInd w:val="0"/>
        <w:spacing w:line="360" w:lineRule="auto"/>
        <w:jc w:val="left"/>
        <w:rPr>
          <w:rFonts w:asciiTheme="minorEastAsia" w:eastAsiaTheme="minorEastAsia" w:hAnsiTheme="minorEastAsia"/>
          <w:color w:themeColor="text1" w:val="000000"/>
          <w:sz w:val="24"/>
        </w:rPr>
      </w:pPr>
    </w:p>
    <w:p w:rsidP="00EC4BA3" w:rsidR="0076518F" w:rsidRDefault="00280566" w:rsidRPr="008277FF">
      <w:pPr>
        <w:autoSpaceDE w:val="0"/>
        <w:autoSpaceDN w:val="0"/>
        <w:adjustRightInd w:val="0"/>
        <w:spacing w:line="360" w:lineRule="auto"/>
        <w:jc w:val="left"/>
        <w:rPr>
          <w:rFonts w:asciiTheme="minorEastAsia" w:cs="Arial" w:eastAsiaTheme="minorEastAsia" w:hAnsiTheme="minorEastAsia"/>
          <w:b/>
          <w:color w:themeColor="text1" w:val="000000"/>
          <w:kern w:val="0"/>
          <w:sz w:val="24"/>
        </w:rPr>
      </w:pPr>
      <w:r w:rsidRPr="008277FF">
        <w:rPr>
          <w:rFonts w:asciiTheme="minorEastAsia" w:cs="Arial" w:eastAsiaTheme="minorEastAsia" w:hAnsiTheme="minorEastAsia" w:hint="eastAsia"/>
          <w:b/>
          <w:color w:themeColor="text1" w:val="000000"/>
          <w:kern w:val="0"/>
          <w:sz w:val="24"/>
        </w:rPr>
        <w:t/>
      </w:r>
      <w:r w:rsidR="008C71EB" w:rsidRPr="008277FF">
        <w:rPr>
          <w:rFonts w:asciiTheme="minorEastAsia" w:cs="Arial" w:eastAsiaTheme="minorEastAsia" w:hAnsiTheme="minorEastAsia"/>
          <w:b/>
          <w:color w:themeColor="text1" w:val="000000"/>
          <w:kern w:val="0"/>
          <w:sz w:val="24"/>
        </w:rPr>
        <w:t>5.1</w:t>
      </w:r>
      <w:r w:rsidR="002A0FA2" w:rsidRPr="008277FF">
        <w:rPr>
          <w:rFonts w:asciiTheme="minorEastAsia" w:cs="Arial" w:eastAsiaTheme="minorEastAsia" w:hAnsiTheme="minorEastAsia" w:hint="eastAsia"/>
          <w:b/>
          <w:color w:themeColor="text1" w:val="000000"/>
          <w:kern w:val="0"/>
          <w:sz w:val="24"/>
        </w:rPr>
        <w:t>0</w:t>
      </w:r>
      <w:r w:rsidR="0076518F" w:rsidRPr="008277FF">
        <w:rPr>
          <w:rFonts w:asciiTheme="minorEastAsia" w:cs="Arial" w:eastAsiaTheme="minorEastAsia" w:hAnsiTheme="minorEastAsia"/>
          <w:b/>
          <w:color w:themeColor="text1" w:val="000000"/>
          <w:kern w:val="0"/>
          <w:sz w:val="24"/>
        </w:rPr>
        <w:t>.6</w:t>
      </w:r>
      <w:r w:rsidR="001C46E1" w:rsidRPr="008277FF">
        <w:rPr>
          <w:rFonts w:asciiTheme="minorEastAsia" w:cs="Arial" w:eastAsiaTheme="minorEastAsia" w:hAnsiTheme="minorEastAsia" w:hint="eastAsia"/>
          <w:b/>
          <w:color w:themeColor="text1" w:val="000000"/>
          <w:kern w:val="0"/>
          <w:sz w:val="24"/>
        </w:rPr>
        <w:t>投资组合报告附注的其他文字描述部分</w:t>
      </w:r>
    </w:p>
    <w:p w:rsidP="009E3391" w:rsidR="000A55BD" w:rsidRDefault="000A55BD"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color w:themeColor="text1" w:val="000000"/>
          <w:szCs w:val="21"/>
        </w:rPr>
        <w:t>因四舍五入的原因，投资组合报告中分项之和与合计数可能存在尾差。</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Pr="008277FF">
        <w:rPr>
          <w:rFonts w:asciiTheme="minorEastAsia" w:cs="Arial" w:eastAsiaTheme="minorEastAsia" w:hAnsiTheme="minorEastAsia"/>
          <w:color w:themeColor="text1" w:val="000000"/>
          <w:kern w:val="0"/>
          <w:sz w:val="24"/>
          <w:szCs w:val="24"/>
        </w:rPr>
        <w:t xml:space="preserve">6  </w:t>
      </w:r>
      <w:r w:rsidRPr="008277FF">
        <w:rPr>
          <w:rFonts w:asciiTheme="minorEastAsia" w:cs="Arial" w:eastAsiaTheme="minorEastAsia" w:hAnsiTheme="minorEastAsia" w:hint="eastAsia"/>
          <w:color w:themeColor="text1" w:val="000000"/>
          <w:kern w:val="0"/>
          <w:sz w:val="24"/>
          <w:szCs w:val="24"/>
        </w:rPr>
        <w:t>开放式基金份额变动</w:t>
      </w:r>
    </w:p>
    <w:p w:rsidP="008B6A4A" w:rsidR="0076518F" w:rsidRDefault="0076518F" w:rsidRPr="008277FF">
      <w:pPr>
        <w:autoSpaceDE w:val="0"/>
        <w:autoSpaceDN w:val="0"/>
        <w:adjustRightInd w:val="0"/>
        <w:spacing w:before="29" w:line="360" w:lineRule="auto"/>
        <w:ind w:left="15"/>
        <w:jc w:val="right"/>
        <w:rPr>
          <w:rFonts w:asciiTheme="minorEastAsia" w:cs="Arial" w:eastAsiaTheme="minorEastAsia" w:hAnsiTheme="minorEastAsia"/>
          <w:color w:themeColor="text1" w:val="000000"/>
          <w:kern w:val="0"/>
          <w:szCs w:val="21"/>
        </w:rPr>
      </w:pPr>
      <w:r w:rsidRPr="008277FF">
        <w:rPr>
          <w:rFonts w:asciiTheme="minorEastAsia" w:cs="Arial" w:eastAsiaTheme="minorEastAsia" w:hAnsiTheme="minorEastAsia" w:hint="eastAsia"/>
          <w:color w:themeColor="text1" w:val="000000"/>
          <w:kern w:val="0"/>
          <w:szCs w:val="21"/>
        </w:rPr>
        <w:t>单位：份</w:t>
      </w:r>
    </w:p>
    <w:tbl>
      <w:tblPr>
        <w:tblW w:type="dxa" w:w="9215"/>
        <w:tblInd w:type="dxa" w:w="-318"/>
        <w:tblLayout w:type="fixed"/>
        <w:tblLook w:val="0000"/>
      </w:tblPr>
      <w:tblGrid>
        <w:gridCol w:w="4821"/>
        <w:gridCol w:w="4394"/>
      </w:tblGrid>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报告期期初基金份额总额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BF1DD5"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008975BC" w:rsidRPr="008277FF">
              <w:rPr>
                <w:rFonts w:asciiTheme="minorEastAsia" w:cs="宋体" w:eastAsiaTheme="minorEastAsia" w:hAnsiTheme="minorEastAsia" w:hint="eastAsia"/>
                <w:color w:themeColor="text1" w:val="000000"/>
                <w:szCs w:val="21"/>
              </w:rPr>
              <w:t/>
            </w:r>
            <w:r w:rsidR="008975BC" w:rsidRPr="008277FF">
              <w:rPr>
                <w:rFonts w:asciiTheme="minorEastAsia" w:cs="宋体" w:eastAsiaTheme="minorEastAsia" w:hAnsiTheme="minorEastAsia"/>
                <w:color w:themeColor="text1" w:val="000000"/>
                <w:szCs w:val="21"/>
              </w:rPr>
              <w:t/>
            </w:r>
            <w:r w:rsidR="008975BC" w:rsidRPr="008277FF">
              <w:rPr>
                <w:rFonts w:asciiTheme="minorEastAsia" w:cs="宋体" w:eastAsiaTheme="minorEastAsia" w:hAnsiTheme="minorEastAsia" w:hint="eastAsia"/>
                <w:color w:themeColor="text1" w:val="000000"/>
                <w:szCs w:val="21"/>
              </w:rPr>
              <w:t>76,092,895.26</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FB0D88"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r w:rsidRPr="008277FF">
              <w:rPr>
                <w:rFonts w:asciiTheme="minorEastAsia" w:cs="宋体" w:eastAsiaTheme="minorEastAsia" w:hAnsiTheme="minorEastAsia"/>
                <w:color w:themeColor="text1" w:val="000000"/>
                <w:kern w:val="0"/>
                <w:szCs w:val="21"/>
              </w:rPr>
              <w:t>报告期</w:t>
            </w:r>
            <w:r w:rsidR="004027BA" w:rsidRPr="008277FF">
              <w:rPr>
                <w:rFonts w:asciiTheme="minorEastAsia" w:cs="宋体" w:eastAsiaTheme="minorEastAsia" w:hAnsiTheme="minorEastAsia" w:hint="eastAsia"/>
                <w:color w:themeColor="text1" w:val="000000"/>
                <w:kern w:val="0"/>
                <w:szCs w:val="21"/>
              </w:rPr>
              <w:t>基金</w:t>
            </w:r>
            <w:r w:rsidR="008975BC" w:rsidRPr="008277FF">
              <w:rPr>
                <w:rFonts w:asciiTheme="minorEastAsia" w:cs="宋体" w:eastAsiaTheme="minorEastAsia" w:hAnsiTheme="minorEastAsia" w:hint="eastAsia"/>
                <w:color w:themeColor="text1" w:val="000000"/>
                <w:kern w:val="0"/>
                <w:szCs w:val="21"/>
              </w:rPr>
              <w:t>总申购份额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2,543,987.35</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减：</w:t>
            </w:r>
            <w:r w:rsidR="00FB0D88"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r w:rsidR="00FB0D88" w:rsidRPr="008277FF">
              <w:rPr>
                <w:rFonts w:asciiTheme="minorEastAsia" w:cs="宋体" w:eastAsiaTheme="minorEastAsia" w:hAnsiTheme="minorEastAsia"/>
                <w:color w:themeColor="text1" w:val="000000"/>
                <w:kern w:val="0"/>
                <w:szCs w:val="21"/>
              </w:rPr>
              <w:t>报告期</w:t>
            </w:r>
            <w:r w:rsidRPr="008277FF">
              <w:rPr>
                <w:rFonts w:asciiTheme="minorEastAsia" w:cs="宋体" w:eastAsiaTheme="minorEastAsia" w:hAnsiTheme="minorEastAsia" w:hint="eastAsia"/>
                <w:color w:themeColor="text1" w:val="000000"/>
                <w:kern w:val="0"/>
                <w:szCs w:val="21"/>
              </w:rPr>
              <w:t>基金总赎回份额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8,282,687.11</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FB0D88"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color w:themeColor="text1" w:val="000000"/>
                <w:kern w:val="0"/>
                <w:szCs w:val="21"/>
              </w:rPr>
              <w:t/>
            </w:r>
            <w:r w:rsidR="00706F31">
              <w:rPr>
                <w:rFonts w:eastAsiaTheme="minorEastAsia" w:hint="eastAsia"/>
                <w:color w:themeColor="text1" w:val="000000"/>
                <w:kern w:val="0"/>
                <w:szCs w:val="21"/>
              </w:rPr>
              <w:t/>
            </w:r>
            <w:r w:rsidR="00706F31">
              <w:rPr>
                <w:rFonts w:eastAsiaTheme="minorEastAsia" w:hint="eastAsia"/>
                <w:color w:themeColor="text1" w:val="000000"/>
                <w:szCs w:val="21"/>
              </w:rPr>
              <w:t/>
            </w:r>
            <w:r w:rsidRPr="008277FF">
              <w:rPr>
                <w:rFonts w:asciiTheme="minorEastAsia" w:cs="宋体" w:eastAsiaTheme="minorEastAsia" w:hAnsiTheme="minorEastAsia"/>
                <w:color w:themeColor="text1" w:val="000000"/>
                <w:kern w:val="0"/>
                <w:szCs w:val="21"/>
              </w:rPr>
              <w:t>报告期</w:t>
            </w:r>
            <w:r w:rsidR="008975BC" w:rsidRPr="008277FF">
              <w:rPr>
                <w:rFonts w:asciiTheme="minorEastAsia" w:cs="宋体" w:eastAsiaTheme="minorEastAsia" w:hAnsiTheme="minorEastAsia" w:hint="eastAsia"/>
                <w:color w:themeColor="text1" w:val="000000"/>
                <w:kern w:val="0"/>
                <w:szCs w:val="21"/>
              </w:rPr>
              <w:t>基金拆分变动份额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eastAsiaTheme="minorEastAsia" w:hAnsiTheme="minorEastAsia"/>
                <w:color w:themeColor="text1" w:val="000000"/>
                <w:szCs w:val="21"/>
              </w:rPr>
              <w:t/>
            </w:r>
            <w:r w:rsidRPr="008277FF">
              <w:rPr>
                <w:rFonts w:asciiTheme="minorEastAsia" w:cs="宋体" w:eastAsiaTheme="minorEastAsia" w:hAnsiTheme="minorEastAsia"/>
                <w:color w:themeColor="text1" w:val="000000"/>
                <w:szCs w:val="21"/>
              </w:rPr>
              <w:t>-</w:t>
            </w:r>
          </w:p>
        </w:tc>
      </w:tr>
      <w:tr w:rsidR="008277FF" w:rsidRPr="008277FF" w:rsidTr="00285ABF">
        <w:tc>
          <w:tcPr>
            <w:tcW w:type="dxa" w:w="4821"/>
            <w:tcBorders>
              <w:top w:color="000000" w:space="0" w:sz="8" w:val="single"/>
              <w:left w:color="000000" w:space="0" w:sz="8" w:val="single"/>
              <w:bottom w:color="000000" w:space="0" w:sz="8" w:val="single"/>
              <w:right w:color="000000" w:space="0" w:sz="8" w:val="single"/>
            </w:tcBorders>
            <w:vAlign w:val="center"/>
          </w:tcPr>
          <w:p w:rsidP="00CA1A4F" w:rsidR="008975BC" w:rsidRDefault="008975BC" w:rsidRPr="008277FF">
            <w:pPr>
              <w:autoSpaceDE w:val="0"/>
              <w:autoSpaceDN w:val="0"/>
              <w:adjustRightInd w:val="0"/>
              <w:spacing w:before="29" w:line="360" w:lineRule="auto"/>
              <w:ind w:left="17"/>
              <w:rPr>
                <w:rFonts w:asciiTheme="minorEastAsia" w:eastAsiaTheme="minorEastAsia" w:hAnsiTheme="minorEastAsia"/>
                <w:color w:themeColor="text1" w:val="000000"/>
                <w:kern w:val="0"/>
                <w:szCs w:val="21"/>
              </w:rPr>
            </w:pPr>
            <w:r w:rsidRPr="008277FF">
              <w:rPr>
                <w:rFonts w:asciiTheme="minorEastAsia" w:cs="宋体" w:eastAsiaTheme="minorEastAsia" w:hAnsiTheme="minorEastAsia" w:hint="eastAsia"/>
                <w:color w:themeColor="text1" w:val="000000"/>
                <w:kern w:val="0"/>
                <w:szCs w:val="21"/>
              </w:rPr>
              <w:t>报告期期末基金份额总额</w:t>
            </w:r>
          </w:p>
        </w:tc>
        <w:tc>
          <w:tcPr>
            <w:tcW w:type="dxa" w:w="4394"/>
            <w:tcBorders>
              <w:top w:color="000000" w:space="0" w:sz="8" w:val="single"/>
              <w:left w:color="000000" w:space="0" w:sz="8" w:val="single"/>
              <w:bottom w:color="000000" w:space="0" w:sz="8" w:val="single"/>
              <w:right w:color="000000" w:space="0" w:sz="8" w:val="single"/>
            </w:tcBorders>
            <w:vAlign w:val="center"/>
          </w:tcPr>
          <w:p w:rsidP="00B918B8" w:rsidR="008975BC" w:rsidRDefault="008975BC" w:rsidRPr="008277FF">
            <w:pPr>
              <w:autoSpaceDE w:val="0"/>
              <w:autoSpaceDN w:val="0"/>
              <w:adjustRightInd w:val="0"/>
              <w:spacing w:before="29" w:line="360" w:lineRule="auto"/>
              <w:ind w:left="17"/>
              <w:jc w:val="right"/>
              <w:rPr>
                <w:rFonts w:asciiTheme="minorEastAsia" w:cs="宋体" w:eastAsiaTheme="minorEastAsia" w:hAnsiTheme="minorEastAsia"/>
                <w:color w:themeColor="text1" w:val="000000"/>
                <w:szCs w:val="21"/>
              </w:rPr>
            </w:pPr>
            <w:r w:rsidRPr="008277FF">
              <w:rPr>
                <w:rFonts w:asciiTheme="minorEastAsia" w:cs="宋体" w:eastAsiaTheme="minorEastAsia" w:hAnsiTheme="minorEastAsia" w:hint="eastAsia"/>
                <w:color w:themeColor="text1" w:val="000000"/>
                <w:szCs w:val="21"/>
              </w:rPr>
              <w:t/>
            </w:r>
            <w:r w:rsidRPr="008277FF">
              <w:rPr>
                <w:rFonts w:asciiTheme="minorEastAsia" w:cs="宋体" w:eastAsiaTheme="minorEastAsia" w:hAnsiTheme="minorEastAsia"/>
                <w:color w:themeColor="text1" w:val="000000"/>
                <w:szCs w:val="21"/>
              </w:rPr>
              <w:t/>
            </w:r>
            <w:r w:rsidRPr="008277FF">
              <w:rPr>
                <w:rFonts w:asciiTheme="minorEastAsia" w:cs="宋体" w:eastAsiaTheme="minorEastAsia" w:hAnsiTheme="minorEastAsia" w:hint="eastAsia"/>
                <w:color w:themeColor="text1" w:val="000000"/>
                <w:szCs w:val="21"/>
              </w:rPr>
              <w:t>70,354,195.50</w:t>
            </w:r>
          </w:p>
        </w:tc>
      </w:tr>
    </w:tbl>
    <w:p w:rsidP="007449EE" w:rsidR="00BB5F3D" w:rsidRDefault="00BB5F3D" w:rsidRPr="00696B8B">
      <w:pPr>
        <w:pStyle w:val="1"/>
        <w:tabs>
          <w:tab w:pos="4156" w:val="center"/>
          <w:tab w:pos="8312" w:val="right"/>
        </w:tabs>
        <w:spacing w:afterLines="100" w:beforeLines="100" w:line="360" w:lineRule="auto"/>
        <w:jc w:val="center"/>
        <w:rPr>
          <w:rFonts w:ascii="方正仿宋简体"/>
          <w:color w:themeColor="text1" w:val="000000"/>
          <w:sz w:val="24"/>
          <w:szCs w:val="24"/>
        </w:rPr>
      </w:pPr>
      <w:r w:rsidRPr="00696B8B">
        <w:rPr>
          <w:rFonts w:asciiTheme="minorEastAsia" w:eastAsiaTheme="minorEastAsia" w:hAnsiTheme="minorEastAsia" w:hint="eastAsia"/>
          <w:color w:themeColor="text1" w:val="000000"/>
          <w:kern w:val="0"/>
          <w:sz w:val="24"/>
          <w:szCs w:val="24"/>
        </w:rPr>
        <w:t/>
      </w:r>
      <w:r w:rsidRPr="00696B8B">
        <w:rPr>
          <w:rFonts w:asciiTheme="minorEastAsia" w:cs="Arial" w:eastAsiaTheme="minorEastAsia" w:hAnsiTheme="minorEastAsia" w:hint="eastAsia"/>
          <w:color w:themeColor="text1" w:val="000000"/>
          <w:kern w:val="0"/>
          <w:sz w:val="24"/>
          <w:szCs w:val="24"/>
        </w:rPr>
        <w:t>§</w:t>
      </w:r>
      <w:r w:rsidR="007D62A3">
        <w:rPr>
          <w:rFonts w:asciiTheme="minorEastAsia" w:cs="Arial" w:eastAsiaTheme="minorEastAsia" w:hAnsiTheme="minorEastAsia" w:hint="eastAsia"/>
          <w:color w:themeColor="text1" w:val="000000"/>
          <w:kern w:val="0"/>
          <w:sz w:val="24"/>
          <w:szCs w:val="24"/>
        </w:rPr>
        <w:t/>
      </w:r>
      <w:r w:rsidRPr="00696B8B">
        <w:rPr>
          <w:rFonts w:asciiTheme="minorEastAsia" w:cs="Arial" w:eastAsiaTheme="minorEastAsia" w:hAnsiTheme="minorEastAsia" w:hint="eastAsia"/>
          <w:color w:themeColor="text1" w:val="000000"/>
          <w:kern w:val="0"/>
          <w:sz w:val="24"/>
          <w:szCs w:val="24"/>
        </w:rPr>
        <w:t xml:space="preserve">7  </w:t>
      </w:r>
      <w:r w:rsidRPr="00696B8B">
        <w:rPr>
          <w:rFonts w:ascii="方正仿宋简体" w:hint="eastAsia"/>
          <w:color w:themeColor="text1" w:val="000000"/>
          <w:sz w:val="24"/>
          <w:szCs w:val="24"/>
        </w:rPr>
        <w:t>基金管理人运用固有资金投资本基金情况</w:t>
      </w:r>
    </w:p>
    <w:p w:rsidP="00BB5F3D" w:rsidR="00BB5F3D" w:rsidRDefault="00BB5F3D" w:rsidRPr="003508B0">
      <w:pPr>
        <w:spacing w:line="360" w:lineRule="auto"/>
        <w:jc w:val="left"/>
        <w:rPr>
          <w:rFonts w:asciiTheme="minorEastAsia" w:eastAsiaTheme="minorEastAsia" w:hAnsiTheme="minorEastAsia"/>
          <w:b/>
          <w:color w:themeColor="text1" w:val="000000"/>
          <w:sz w:val="24"/>
        </w:rPr>
      </w:pPr>
      <w:bookmarkStart w:id="3" w:name="_GoBack"/>
      <w:r w:rsidRPr="003508B0">
        <w:rPr>
          <w:rFonts w:asciiTheme="minorEastAsia" w:eastAsiaTheme="minorEastAsia" w:hAnsiTheme="minorEastAsia"/>
          <w:b/>
          <w:color w:themeColor="text1" w:val="000000"/>
          <w:sz w:val="24"/>
        </w:rPr>
        <w:t xml:space="preserve">7.1 </w:t>
      </w:r>
      <w:r w:rsidRPr="003508B0">
        <w:rPr>
          <w:rFonts w:asciiTheme="minorEastAsia" w:eastAsiaTheme="minorEastAsia" w:hAnsiTheme="minorEastAsia" w:hint="eastAsia"/>
          <w:b/>
          <w:color w:themeColor="text1" w:val="000000"/>
          <w:sz w:val="24"/>
        </w:rPr>
        <w:t>基金管理人运用固有资金投资本基金交易明细</w:t>
      </w:r>
    </w:p>
    <w:bookmarkEnd w:id="3"/>
    <w:p w:rsidP="005E64DA" w:rsidR="005E64DA" w:rsidRDefault="00BB5F3D" w:rsidRPr="008277FF">
      <w:pPr>
        <w:autoSpaceDE w:val="0"/>
        <w:autoSpaceDN w:val="0"/>
        <w:adjustRightInd w:val="0"/>
        <w:spacing w:line="360" w:lineRule="auto"/>
        <w:jc w:val="left"/>
        <w:rPr>
          <w:rFonts w:asciiTheme="minorEastAsia" w:eastAsiaTheme="minorEastAsia" w:hAnsiTheme="minorEastAsia"/>
          <w:color w:themeColor="text1" w:val="000000"/>
          <w:szCs w:val="21"/>
        </w:rPr>
      </w:pPr>
      <w:r w:rsidRPr="00285ABF">
        <w:rPr>
          <w:rFonts w:asciiTheme="minorEastAsia" w:eastAsiaTheme="minorEastAsia" w:hAnsiTheme="minorEastAsia" w:hint="eastAsia"/>
          <w:color w:themeColor="text1" w:val="000000"/>
          <w:szCs w:val="21"/>
        </w:rPr>
        <w:t>无。</w:t>
      </w:r>
    </w:p>
    <w:p w:rsidP="007449EE" w:rsidR="0076518F" w:rsidRDefault="0076518F" w:rsidRPr="008277FF">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sidRPr="008277FF">
        <w:rPr>
          <w:rFonts w:asciiTheme="minorEastAsia" w:cs="Arial" w:eastAsiaTheme="minorEastAsia" w:hAnsiTheme="minorEastAsia" w:hint="eastAsia"/>
          <w:color w:themeColor="text1" w:val="000000"/>
          <w:kern w:val="0"/>
          <w:sz w:val="24"/>
          <w:szCs w:val="24"/>
        </w:rPr>
        <w:t>§</w:t>
      </w:r>
      <w:r w:rsidR="002711AA" w:rsidRPr="008277FF">
        <w:rPr>
          <w:rFonts w:asciiTheme="minorEastAsia" w:cs="Arial" w:eastAsiaTheme="minorEastAsia" w:hAnsiTheme="minorEastAsia" w:hint="eastAsia"/>
          <w:color w:themeColor="text1" w:val="000000"/>
          <w:kern w:val="0"/>
          <w:sz w:val="24"/>
          <w:szCs w:val="24"/>
        </w:rPr>
        <w:t/>
      </w:r>
      <w:r w:rsidR="00376A15" w:rsidRPr="008277FF">
        <w:rPr>
          <w:rFonts w:asciiTheme="minorEastAsia" w:cs="Arial" w:eastAsiaTheme="minorEastAsia" w:hAnsiTheme="minorEastAsia" w:hint="eastAsia"/>
          <w:color w:themeColor="text1" w:val="000000"/>
          <w:kern w:val="0"/>
          <w:sz w:val="24"/>
          <w:szCs w:val="24"/>
        </w:rPr>
        <w:t/>
      </w:r>
      <w:r w:rsidR="00AE7D44" w:rsidRPr="008277FF">
        <w:rPr>
          <w:rFonts w:asciiTheme="minorEastAsia" w:cs="Arial" w:eastAsiaTheme="minorEastAsia" w:hAnsiTheme="minorEastAsia" w:hint="eastAsia"/>
          <w:color w:themeColor="text1" w:val="000000"/>
          <w:kern w:val="0"/>
          <w:sz w:val="24"/>
          <w:szCs w:val="24"/>
        </w:rPr>
        <w:t/>
      </w:r>
      <w:r w:rsidR="00B111B9" w:rsidRPr="008277FF">
        <w:rPr>
          <w:rFonts w:asciiTheme="minorEastAsia" w:cs="Arial" w:eastAsiaTheme="minorEastAsia" w:hAnsiTheme="minorEastAsia" w:hint="eastAsia"/>
          <w:color w:themeColor="text1" w:val="000000"/>
          <w:kern w:val="0"/>
          <w:sz w:val="24"/>
          <w:szCs w:val="24"/>
        </w:rPr>
        <w:t/>
      </w:r>
      <w:r w:rsidR="002711AA" w:rsidRPr="008277FF">
        <w:rPr>
          <w:rFonts w:asciiTheme="minorEastAsia" w:cs="Arial" w:eastAsiaTheme="minorEastAsia" w:hAnsiTheme="minorEastAsia" w:hint="eastAsia"/>
          <w:color w:themeColor="text1" w:val="000000"/>
          <w:kern w:val="0"/>
          <w:sz w:val="24"/>
          <w:szCs w:val="24"/>
        </w:rPr>
        <w:t>8</w:t>
      </w:r>
      <w:r w:rsidRPr="008277FF">
        <w:rPr>
          <w:rFonts w:asciiTheme="minorEastAsia" w:cs="Arial" w:eastAsiaTheme="minorEastAsia" w:hAnsiTheme="minorEastAsia" w:hint="eastAsia"/>
          <w:color w:themeColor="text1" w:val="000000"/>
          <w:kern w:val="0"/>
          <w:sz w:val="24"/>
          <w:szCs w:val="24"/>
        </w:rPr>
        <w:t xml:space="preserve"> </w:t>
      </w:r>
      <w:r w:rsidRPr="008277FF">
        <w:rPr>
          <w:rFonts w:asciiTheme="minorEastAsia" w:cs="Arial" w:eastAsiaTheme="minorEastAsia" w:hAnsiTheme="minorEastAsia"/>
          <w:color w:themeColor="text1" w:val="000000"/>
          <w:kern w:val="0"/>
          <w:sz w:val="24"/>
          <w:szCs w:val="24"/>
        </w:rPr>
        <w:t>备查文件目录</w:t>
      </w:r>
    </w:p>
    <w:p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8975BC"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1</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备查文件目录</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1、中国证监会批准上投摩根全球新兴市场混合型证券投资基金设立的文件；</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2、《上投摩根全球新兴市场混合型证券投资基金基金合同》；</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3、《上投摩根全球新兴市场混合型证券投资基金基金托管协议》；</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4、《上投摩根基金管理有限公司开放式基金业务规则》；</w:t>
      </w:r>
    </w:p>
    <w:p>
      <w:pPr>
        <w:spacing w:line="360" w:lineRule="auto"/>
        <w:ind w:firstLine="420" w:firstLineChars="200"/>
        <w:rPr>
          <w:rFonts w:asciiTheme="minorEastAsia" w:eastAsiaTheme="minorEastAsia" w:hAnsiTheme="minorEastAsia"/>
          <w:color w:themeColor="text1" w:val="000000"/>
          <w:szCs w:val="21"/>
        </w:rPr>
      </w:pPr>
      <w:r>
        <w:rPr>
          <w:rFonts w:asciiTheme="minorEastAsia" w:eastAsiaTheme="minorEastAsia" w:hAnsiTheme="minorEastAsia" w:hint="eastAsia"/>
          <w:color w:themeColor="text1" w:val="000000"/>
          <w:szCs w:val="21"/>
        </w:rPr>
        <w:t>5、基金管理人业务资格批件、营业执照；</w:t>
      </w:r>
    </w:p>
    <w:p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6、基金托管人业务资格批件和营业执照。</w:t>
      </w:r>
    </w:p>
    <w:p w:rsidP="000C7596"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376A15"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2</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存放地点</w:t>
      </w:r>
    </w:p>
    <w:p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基金管理人或基金托管人处。</w:t>
      </w:r>
    </w:p>
    <w:p w:rsidP="000C7596"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rsidP="000C7596" w:rsidR="008975BC" w:rsidRDefault="00280566" w:rsidRPr="008277FF">
      <w:pPr>
        <w:autoSpaceDE w:val="0"/>
        <w:autoSpaceDN w:val="0"/>
        <w:adjustRightInd w:val="0"/>
        <w:spacing w:line="360" w:lineRule="auto"/>
        <w:jc w:val="left"/>
        <w:rPr>
          <w:rFonts w:asciiTheme="minorEastAsia" w:eastAsiaTheme="minorEastAsia" w:hAnsiTheme="minorEastAsia"/>
          <w:b/>
          <w:bCs/>
          <w:color w:themeColor="text1" w:val="000000"/>
          <w:kern w:val="0"/>
          <w:sz w:val="24"/>
        </w:rPr>
      </w:pPr>
      <w:r w:rsidRPr="008277FF">
        <w:rPr>
          <w:rFonts w:asciiTheme="minorEastAsia" w:eastAsiaTheme="minorEastAsia" w:hAnsiTheme="minorEastAsia" w:hint="eastAsia"/>
          <w:b/>
          <w:bCs/>
          <w:color w:themeColor="text1" w:val="000000"/>
          <w:kern w:val="0"/>
          <w:sz w:val="24"/>
        </w:rPr>
        <w:t/>
      </w:r>
      <w:r w:rsidR="00AE7D44" w:rsidRPr="008277FF">
        <w:rPr>
          <w:rFonts w:asciiTheme="minorEastAsia" w:eastAsiaTheme="minorEastAsia" w:hAnsiTheme="minorEastAsia" w:hint="eastAsia"/>
          <w:b/>
          <w:bCs/>
          <w:color w:themeColor="text1" w:val="000000"/>
          <w:kern w:val="0"/>
          <w:sz w:val="24"/>
        </w:rPr>
        <w:t/>
      </w:r>
      <w:r w:rsidRPr="008277FF">
        <w:rPr>
          <w:rFonts w:asciiTheme="minorEastAsia" w:eastAsiaTheme="minorEastAsia" w:hAnsiTheme="minorEastAsia" w:hint="eastAsia"/>
          <w:b/>
          <w:bCs/>
          <w:color w:themeColor="text1" w:val="000000"/>
          <w:kern w:val="0"/>
          <w:sz w:val="24"/>
        </w:rPr>
        <w:t>8</w:t>
      </w:r>
      <w:r w:rsidR="008975BC" w:rsidRPr="008277FF">
        <w:rPr>
          <w:rFonts w:asciiTheme="minorEastAsia" w:eastAsiaTheme="minorEastAsia" w:hAnsiTheme="minorEastAsia"/>
          <w:b/>
          <w:bCs/>
          <w:color w:themeColor="text1" w:val="000000"/>
          <w:kern w:val="0"/>
          <w:sz w:val="24"/>
        </w:rPr>
        <w:t>.</w:t>
      </w:r>
      <w:r w:rsidR="00376A15" w:rsidRPr="008277FF">
        <w:rPr>
          <w:rFonts w:asciiTheme="minorEastAsia" w:eastAsiaTheme="minorEastAsia" w:hAnsiTheme="minorEastAsia" w:hint="eastAsia"/>
          <w:b/>
          <w:bCs/>
          <w:color w:themeColor="text1" w:val="000000"/>
          <w:kern w:val="0"/>
          <w:sz w:val="24"/>
        </w:rPr>
        <w:t/>
      </w:r>
      <w:r w:rsidR="00376A15" w:rsidRPr="008277FF">
        <w:rPr>
          <w:rFonts w:asciiTheme="minorEastAsia" w:eastAsiaTheme="minorEastAsia" w:hAnsiTheme="minorEastAsia"/>
          <w:b/>
          <w:bCs/>
          <w:color w:themeColor="text1" w:val="000000"/>
          <w:kern w:val="0"/>
          <w:sz w:val="24"/>
        </w:rPr>
        <w:t/>
      </w:r>
      <w:r w:rsidR="00376A15" w:rsidRPr="008277FF">
        <w:rPr>
          <w:rFonts w:asciiTheme="minorEastAsia" w:eastAsiaTheme="minorEastAsia" w:hAnsiTheme="minorEastAsia" w:hint="eastAsia"/>
          <w:b/>
          <w:bCs/>
          <w:color w:themeColor="text1" w:val="000000"/>
          <w:kern w:val="0"/>
          <w:sz w:val="24"/>
        </w:rPr>
        <w:t>3</w:t>
      </w:r>
      <w:r w:rsidR="008975BC" w:rsidRPr="008277FF">
        <w:rPr>
          <w:rFonts w:asciiTheme="minorEastAsia" w:eastAsiaTheme="minorEastAsia" w:hAnsiTheme="minorEastAsia"/>
          <w:b/>
          <w:bCs/>
          <w:color w:themeColor="text1" w:val="000000"/>
          <w:kern w:val="0"/>
          <w:sz w:val="24"/>
        </w:rPr>
        <w:t xml:space="preserve"> </w:t>
      </w:r>
      <w:r w:rsidR="008975BC" w:rsidRPr="008277FF">
        <w:rPr>
          <w:rFonts w:asciiTheme="minorEastAsia" w:eastAsiaTheme="minorEastAsia" w:hAnsiTheme="minorEastAsia" w:hint="eastAsia"/>
          <w:b/>
          <w:bCs/>
          <w:color w:themeColor="text1" w:val="000000"/>
          <w:kern w:val="0"/>
          <w:sz w:val="24"/>
        </w:rPr>
        <w:t>查阅方式</w:t>
      </w:r>
    </w:p>
    <w:p w:rsidP="007D5584" w:rsidR="008975BC" w:rsidRDefault="008975BC" w:rsidRPr="008277FF">
      <w:pPr>
        <w:spacing w:line="360" w:lineRule="auto"/>
        <w:ind w:firstLine="420" w:firstLineChars="200"/>
        <w:rPr>
          <w:rFonts w:asciiTheme="minorEastAsia" w:eastAsiaTheme="minorEastAsia" w:hAnsiTheme="minorEastAsia"/>
          <w:color w:themeColor="text1" w:val="000000"/>
          <w:szCs w:val="21"/>
        </w:rPr>
      </w:pPr>
      <w:r w:rsidRPr="008277FF">
        <w:rPr>
          <w:rFonts w:asciiTheme="minorEastAsia" w:eastAsiaTheme="minorEastAsia" w:hAnsiTheme="minorEastAsia" w:hint="eastAsia"/>
          <w:color w:themeColor="text1" w:val="000000"/>
          <w:szCs w:val="21"/>
        </w:rPr>
        <w:t/>
      </w:r>
      <w:r w:rsidRPr="008277FF">
        <w:rPr>
          <w:rFonts w:asciiTheme="minorEastAsia" w:eastAsiaTheme="minorEastAsia" w:hAnsiTheme="minorEastAsia"/>
          <w:color w:themeColor="text1" w:val="000000"/>
          <w:szCs w:val="21"/>
        </w:rPr>
        <w:t/>
      </w:r>
      <w:r w:rsidRPr="008277FF">
        <w:rPr>
          <w:rFonts w:asciiTheme="minorEastAsia" w:eastAsiaTheme="minorEastAsia" w:hAnsiTheme="minorEastAsia" w:hint="eastAsia"/>
          <w:color w:themeColor="text1" w:val="000000"/>
          <w:szCs w:val="21"/>
        </w:rPr>
        <w:t>投资者可在营业时间免费查阅，也可按工本费购买复印件。</w:t>
      </w:r>
    </w:p>
    <w:p w:rsidP="008B6A4A" w:rsidR="0076518F" w:rsidRDefault="0076518F" w:rsidRPr="008277FF">
      <w:pPr>
        <w:spacing w:line="360" w:lineRule="auto"/>
        <w:ind w:firstLine="480" w:firstLineChars="200"/>
        <w:rPr>
          <w:rFonts w:asciiTheme="minorEastAsia" w:eastAsiaTheme="minorEastAsia" w:hAnsiTheme="minorEastAsia"/>
          <w:color w:themeColor="text1" w:val="000000"/>
          <w:sz w:val="24"/>
        </w:rPr>
      </w:pPr>
    </w:p>
    <w:p w:rsidP="008B6A4A" w:rsidR="008A2EC6" w:rsidRDefault="008A2EC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0C7596" w:rsidRDefault="000C7596" w:rsidRPr="008277FF">
      <w:pPr>
        <w:spacing w:line="360" w:lineRule="auto"/>
        <w:ind w:firstLine="480" w:firstLineChars="200"/>
        <w:rPr>
          <w:rFonts w:asciiTheme="minorEastAsia" w:eastAsiaTheme="minorEastAsia" w:hAnsiTheme="minorEastAsia"/>
          <w:color w:themeColor="text1" w:val="000000"/>
          <w:sz w:val="24"/>
        </w:rPr>
      </w:pPr>
    </w:p>
    <w:p w:rsidP="008B6A4A" w:rsidR="0076518F" w:rsidRDefault="0076518F" w:rsidRPr="008277FF">
      <w:pPr>
        <w:spacing w:line="360" w:lineRule="auto"/>
        <w:ind w:firstLine="480" w:firstLineChars="200"/>
        <w:rPr>
          <w:rFonts w:asciiTheme="minorEastAsia" w:eastAsiaTheme="minorEastAsia" w:hAnsiTheme="minorEastAsia"/>
          <w:color w:themeColor="text1" w:val="000000"/>
          <w:sz w:val="24"/>
        </w:rPr>
      </w:pPr>
    </w:p>
    <w:p w:rsidP="000C7596" w:rsidR="008975BC" w:rsidRDefault="008975BC" w:rsidRPr="008277FF">
      <w:pPr>
        <w:spacing w:line="360" w:lineRule="auto"/>
        <w:jc w:val="right"/>
        <w:rPr>
          <w:rFonts w:asciiTheme="minorEastAsia" w:eastAsiaTheme="minorEastAsia" w:hAnsiTheme="minorEastAsia"/>
          <w:b/>
          <w:bCs/>
          <w:color w:themeColor="text1" w:val="000000"/>
          <w:sz w:val="24"/>
        </w:rPr>
      </w:pPr>
      <w:r w:rsidRPr="008277FF">
        <w:rPr>
          <w:rFonts w:asciiTheme="minorEastAsia" w:eastAsiaTheme="minorEastAsia" w:hAnsiTheme="minorEastAsia"/>
          <w:b/>
          <w:bCs/>
          <w:color w:themeColor="text1" w:val="000000"/>
          <w:sz w:val="24"/>
        </w:rPr>
        <w:t>上投摩根基金管理有限公司</w:t>
      </w:r>
    </w:p>
    <w:p w:rsidP="000C7596" w:rsidR="0076518F" w:rsidRDefault="00623556" w:rsidRPr="008277FF">
      <w:pPr>
        <w:spacing w:line="360" w:lineRule="auto"/>
        <w:jc w:val="right"/>
        <w:rPr>
          <w:rFonts w:asciiTheme="minorEastAsia" w:eastAsiaTheme="minorEastAsia" w:hAnsiTheme="minorEastAsia"/>
          <w:b/>
          <w:bCs/>
          <w:color w:themeColor="text1" w:val="000000"/>
          <w:sz w:val="24"/>
        </w:rPr>
      </w:pPr>
      <w:r w:rsidRPr="008277FF">
        <w:rPr>
          <w:rFonts w:asciiTheme="minorEastAsia" w:eastAsiaTheme="minorEastAsia" w:hAnsiTheme="minorEastAsia"/>
          <w:b/>
          <w:bCs/>
          <w:color w:themeColor="text1" w:val="000000"/>
          <w:sz w:val="24"/>
        </w:rPr>
        <w:t>二〇一九年四月十九日</w:t>
      </w:r>
    </w:p>
    <w:sectPr w:rsidR="0076518F" w:rsidRPr="008277FF" w:rsidSect="00DB4450">
      <w:headerReference r:id="rId10" w:type="even"/>
      <w:footerReference r:id="rId11" w:type="even"/>
      <w:footerReference r:id="rId12" w:type="default"/>
      <w:headerReference r:id="rId13" w:type="first"/>
      <w:footerReference r:id="rId14" w:type="first"/>
      <w:pgSz w:code="9" w:h="16838" w:w="11906"/>
      <w:pgMar w:bottom="1440" w:footer="992" w:gutter="0" w:header="851" w:left="1797" w:right="1797"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91" w:rsidRDefault="006A7491">
      <w:r>
        <w:separator/>
      </w:r>
    </w:p>
  </w:endnote>
  <w:endnote w:type="continuationSeparator" w:id="1">
    <w:p w:rsidR="006A7491" w:rsidRDefault="006A7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B918B8" w:rsidR="00F512C0" w:rsidRDefault="00F512C0" w:rsidRPr="001D0DB0">
    <w:pPr>
      <w:pStyle w:val="a6"/>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7449EE">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7449EE">
      <w:rPr>
        <w:noProof/>
        <w:kern w:val="0"/>
        <w:szCs w:val="21"/>
      </w:rPr>
      <w:t>2</w:t>
    </w:r>
    <w:r w:rsidR="00960EB7">
      <w:rPr>
        <w:kern w:val="0"/>
        <w:szCs w:val="21"/>
      </w:rPr>
      <w:fldChar w:fldCharType="end"/>
    </w:r>
    <w:r>
      <w:rPr>
        <w:rFonts w:hint="eastAsia"/>
        <w:kern w:val="0"/>
        <w:szCs w:val="21"/>
      </w:rPr>
      <w:t>页</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960EB7">
    <w:pPr>
      <w:pStyle w:val="a6"/>
      <w:framePr w:hAnchor="margin" w:vAnchor="text" w:wrap="around" w:xAlign="center" w:y="1"/>
      <w:rPr>
        <w:rStyle w:val="a7"/>
      </w:rPr>
    </w:pPr>
    <w:r>
      <w:rPr>
        <w:rStyle w:val="a7"/>
      </w:rPr>
      <w:fldChar w:fldCharType="begin"/>
    </w:r>
    <w:r w:rsidR="00F512C0">
      <w:rPr>
        <w:rStyle w:val="a7"/>
      </w:rPr>
      <w:instrText xml:space="preserve">PAGE  </w:instrText>
    </w:r>
    <w:r>
      <w:rPr>
        <w:rStyle w:val="a7"/>
      </w:rPr>
      <w:fldChar w:fldCharType="end"/>
    </w:r>
  </w:p>
  <w:p w:rsidR="00F512C0" w:rsidRDefault="00F512C0">
    <w:pPr>
      <w:pStyle w:val="a6"/>
    </w:pP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960EB7">
    <w:pPr>
      <w:pStyle w:val="a6"/>
      <w:framePr w:hAnchor="margin" w:vAnchor="text" w:wrap="around" w:xAlign="center" w:y="1"/>
      <w:rPr>
        <w:rStyle w:val="a7"/>
      </w:rPr>
    </w:pPr>
    <w:r>
      <w:rPr>
        <w:rStyle w:val="a7"/>
      </w:rPr>
      <w:fldChar w:fldCharType="begin"/>
    </w:r>
    <w:r w:rsidR="00F512C0">
      <w:rPr>
        <w:rStyle w:val="a7"/>
      </w:rPr>
      <w:instrText xml:space="preserve">PAGE  </w:instrText>
    </w:r>
    <w:r>
      <w:rPr>
        <w:rStyle w:val="a7"/>
      </w:rPr>
      <w:fldChar w:fldCharType="separate"/>
    </w:r>
    <w:r w:rsidR="007449EE">
      <w:rPr>
        <w:rStyle w:val="a7"/>
        <w:noProof/>
      </w:rPr>
      <w:t>20</w:t>
    </w:r>
    <w:r>
      <w:rPr>
        <w:rStyle w:val="a7"/>
      </w:rPr>
      <w:fldChar w:fldCharType="end"/>
    </w:r>
  </w:p>
  <w:p w:rsidR="00F512C0" w:rsidRDefault="00F512C0">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F512C0">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R="006A7491" w:rsidRDefault="006A7491">
      <w:r>
        <w:separator/>
      </w:r>
    </w:p>
  </w:footnote>
  <w:footnote w:id="1" w:type="continuationSeparator">
    <w:p w:rsidR="006A7491" w:rsidRDefault="006A7491">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1D1356" w:rsidR="00F512C0" w:rsidRDefault="00F512C0" w:rsidRPr="006669C9">
    <w:pPr>
      <w:pStyle w:val="a9"/>
      <w:pBdr>
        <w:bottom w:color="auto" w:space="0" w:sz="6" w:val="single"/>
      </w:pBdr>
      <w:jc w:val="right"/>
    </w:pPr>
    <w:r w:rsidRPr="006669C9">
      <w:t>上投摩根全球新兴市场混合型证券投资基金2019年第1季度报告</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F512C0">
    <w:pPr>
      <w:pStyle w:val="a9"/>
    </w:pP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F512C0" w:rsidRDefault="00F512C0">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9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Date" w:uiPriority="99"/>
    <w:lsdException w:name="Strong" w:qFormat="1" w:uiPriority="22"/>
    <w:lsdException w:name="Emphasis" w:qFormat="1"/>
    <w:lsdException w:name="Table Grid"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Char"/>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6" w:type="paragraph">
    <w:name w:val="footer"/>
    <w:basedOn w:val="a"/>
    <w:rsid w:val="00EB72C1"/>
    <w:pPr>
      <w:tabs>
        <w:tab w:pos="4153" w:val="center"/>
        <w:tab w:pos="8306" w:val="right"/>
      </w:tabs>
      <w:snapToGrid w:val="0"/>
      <w:jc w:val="left"/>
    </w:pPr>
    <w:rPr>
      <w:sz w:val="18"/>
      <w:szCs w:val="18"/>
    </w:rPr>
  </w:style>
  <w:style w:styleId="a7" w:type="character">
    <w:name w:val="page number"/>
    <w:basedOn w:val="a1"/>
    <w:rsid w:val="00EB72C1"/>
  </w:style>
  <w:style w:styleId="a8"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9" w:type="paragraph">
    <w:name w:val="header"/>
    <w:basedOn w:val="a"/>
    <w:link w:val="Char0"/>
    <w:uiPriority w:val="99"/>
    <w:rsid w:val="00EB72C1"/>
    <w:pPr>
      <w:pBdr>
        <w:bottom w:color="auto" w:space="1" w:sz="6" w:val="single"/>
      </w:pBdr>
      <w:tabs>
        <w:tab w:pos="4153" w:val="center"/>
        <w:tab w:pos="8306" w:val="right"/>
      </w:tabs>
      <w:snapToGrid w:val="0"/>
      <w:jc w:val="center"/>
    </w:pPr>
    <w:rPr>
      <w:sz w:val="18"/>
      <w:szCs w:val="18"/>
    </w:rPr>
  </w:style>
  <w:style w:styleId="aa" w:type="character">
    <w:name w:val="FollowedHyperlink"/>
    <w:rsid w:val="00EB72C1"/>
    <w:rPr>
      <w:color w:val="800080"/>
      <w:u w:val="single"/>
    </w:rPr>
  </w:style>
  <w:style w:styleId="ab" w:type="paragraph">
    <w:name w:val="List"/>
    <w:basedOn w:val="ac"/>
    <w:rsid w:val="00EB72C1"/>
    <w:pPr>
      <w:spacing w:after="220" w:line="220" w:lineRule="atLeast"/>
      <w:ind w:hanging="360" w:left="1440"/>
    </w:pPr>
    <w:rPr>
      <w:szCs w:val="20"/>
    </w:rPr>
  </w:style>
  <w:style w:styleId="ac" w:type="paragraph">
    <w:name w:val="Body Text"/>
    <w:basedOn w:val="a"/>
    <w:rsid w:val="00EB72C1"/>
    <w:pPr>
      <w:spacing w:after="120"/>
    </w:pPr>
  </w:style>
  <w:style w:styleId="ad" w:type="paragraph">
    <w:name w:val="Date"/>
    <w:basedOn w:val="a"/>
    <w:next w:val="a"/>
    <w:link w:val="Char1"/>
    <w:uiPriority w:val="99"/>
    <w:rsid w:val="00EB72C1"/>
    <w:rPr>
      <w:sz w:val="24"/>
      <w:szCs w:val="20"/>
    </w:rPr>
  </w:style>
  <w:style w:customStyle="1" w:styleId="c1" w:type="character">
    <w:name w:val="c1"/>
    <w:rsid w:val="00EB72C1"/>
    <w:rPr>
      <w:color w:val="000000"/>
      <w:sz w:val="18"/>
      <w:szCs w:val="18"/>
    </w:rPr>
  </w:style>
  <w:style w:styleId="10"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semiHidden/>
    <w:rsid w:val="00EB72C1"/>
    <w:rPr>
      <w:sz w:val="18"/>
      <w:szCs w:val="18"/>
    </w:rPr>
  </w:style>
  <w:style w:styleId="af" w:type="character">
    <w:name w:val="annotation reference"/>
    <w:semiHidden/>
    <w:rsid w:val="00EB72C1"/>
    <w:rPr>
      <w:sz w:val="21"/>
      <w:szCs w:val="21"/>
    </w:rPr>
  </w:style>
  <w:style w:styleId="af0" w:type="paragraph">
    <w:name w:val="annotation text"/>
    <w:basedOn w:val="a"/>
    <w:semiHidden/>
    <w:rsid w:val="00EB72C1"/>
    <w:pPr>
      <w:jc w:val="left"/>
    </w:pPr>
  </w:style>
  <w:style w:styleId="af1" w:type="paragraph">
    <w:name w:val="annotation subject"/>
    <w:basedOn w:val="af0"/>
    <w:next w:val="af0"/>
    <w:semiHidden/>
    <w:rsid w:val="00EB72C1"/>
    <w:rPr>
      <w:b/>
      <w:bCs/>
    </w:rPr>
  </w:style>
  <w:style w:customStyle="1" w:styleId="Char2" w:type="paragraph">
    <w:name w:val="Char"/>
    <w:basedOn w:val="a"/>
    <w:rsid w:val="00EB72C1"/>
  </w:style>
  <w:style w:styleId="af2" w:type="paragraph">
    <w:name w:val="Document Map"/>
    <w:basedOn w:val="a"/>
    <w:semiHidden/>
    <w:rsid w:val="000A549A"/>
    <w:pPr>
      <w:shd w:color="auto" w:fill="000080" w:val="clear"/>
    </w:pPr>
  </w:style>
  <w:style w:customStyle="1" w:styleId="af3"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4" w:type="paragraph">
    <w:name w:val="footnote text"/>
    <w:basedOn w:val="a"/>
    <w:semiHidden/>
    <w:rsid w:val="00547D9C"/>
    <w:pPr>
      <w:snapToGrid w:val="0"/>
      <w:jc w:val="left"/>
    </w:pPr>
    <w:rPr>
      <w:sz w:val="18"/>
      <w:szCs w:val="18"/>
    </w:rPr>
  </w:style>
  <w:style w:styleId="af5" w:type="character">
    <w:name w:val="footnote reference"/>
    <w:semiHidden/>
    <w:rsid w:val="00547D9C"/>
    <w:rPr>
      <w:vertAlign w:val="superscript"/>
    </w:rPr>
  </w:style>
  <w:style w:styleId="af6" w:type="paragraph">
    <w:name w:val="Normal (Web)"/>
    <w:basedOn w:val="a"/>
    <w:rsid w:val="005D45B3"/>
    <w:pPr>
      <w:widowControl/>
      <w:spacing w:after="100" w:afterAutospacing="1" w:before="100" w:beforeAutospacing="1"/>
      <w:jc w:val="left"/>
    </w:pPr>
    <w:rPr>
      <w:rFonts w:ascii="宋体" w:hAnsi="宋体"/>
      <w:kern w:val="0"/>
      <w:sz w:val="24"/>
    </w:rPr>
  </w:style>
  <w:style w:styleId="af7" w:type="table">
    <w:name w:val="Table Grid"/>
    <w:basedOn w:val="a2"/>
    <w:uiPriority w:val="99"/>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3"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Char" w:type="character">
    <w:name w:val="纯文本 Char"/>
    <w:link w:val="a5"/>
    <w:uiPriority w:val="99"/>
    <w:rsid w:val="00A96FD9"/>
    <w:rPr>
      <w:rFonts w:ascii="宋体" w:hAnsi="Courier New"/>
      <w:kern w:val="2"/>
      <w:sz w:val="21"/>
      <w:szCs w:val="21"/>
    </w:rPr>
  </w:style>
  <w:style w:customStyle="1" w:styleId="Char0" w:type="character">
    <w:name w:val="页眉 Char"/>
    <w:basedOn w:val="a1"/>
    <w:link w:val="a9"/>
    <w:uiPriority w:val="99"/>
    <w:rsid w:val="001D1356"/>
    <w:rPr>
      <w:kern w:val="2"/>
      <w:sz w:val="18"/>
      <w:szCs w:val="18"/>
    </w:rPr>
  </w:style>
  <w:style w:customStyle="1" w:styleId="1Char" w:type="character">
    <w:name w:val="标题 1 Char"/>
    <w:basedOn w:val="a1"/>
    <w:link w:val="1"/>
    <w:rsid w:val="00A7634D"/>
    <w:rPr>
      <w:b/>
      <w:bCs/>
      <w:kern w:val="44"/>
      <w:sz w:val="44"/>
      <w:szCs w:val="44"/>
    </w:rPr>
  </w:style>
  <w:style w:customStyle="1" w:styleId="Char1" w:type="character">
    <w:name w:val="日期 Char"/>
    <w:basedOn w:val="a1"/>
    <w:link w:val="ad"/>
    <w:uiPriority w:val="99"/>
    <w:rsid w:val="00C503D3"/>
    <w:rPr>
      <w:kern w:val="2"/>
      <w:sz w:val="24"/>
    </w:rPr>
  </w:style>
  <w:style w:styleId="af8" w:type="character">
    <w:name w:val="Strong"/>
    <w:basedOn w:val="a1"/>
    <w:uiPriority w:val="22"/>
    <w:qFormat/>
    <w:rsid w:val="009779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rPr>
      <w:color w:val="0000FF"/>
      <w:u w:val="single"/>
    </w:rPr>
  </w:style>
  <w:style w:type="paragraph" w:styleId="3">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a">
    <w:name w:val="FollowedHyperlink"/>
    <w:rPr>
      <w:color w:val="800080"/>
      <w:u w:val="single"/>
    </w:rPr>
  </w:style>
  <w:style w:type="paragraph" w:styleId="ab">
    <w:name w:val="List"/>
    <w:basedOn w:val="ac"/>
    <w:pPr>
      <w:spacing w:after="220" w:line="220" w:lineRule="atLeast"/>
      <w:ind w:left="1440" w:hanging="360"/>
    </w:pPr>
    <w:rPr>
      <w:szCs w:val="20"/>
    </w:rPr>
  </w:style>
  <w:style w:type="paragraph" w:styleId="ac">
    <w:name w:val="Body Text"/>
    <w:basedOn w:val="a"/>
    <w:pPr>
      <w:spacing w:after="120"/>
    </w:pPr>
  </w:style>
  <w:style w:type="paragraph" w:styleId="ad">
    <w:name w:val="Date"/>
    <w:basedOn w:val="a"/>
    <w:next w:val="a"/>
    <w:link w:val="Char1"/>
    <w:rPr>
      <w:sz w:val="24"/>
      <w:szCs w:val="20"/>
    </w:rPr>
  </w:style>
  <w:style w:type="character" w:customStyle="1" w:styleId="c1">
    <w:name w:val="c1"/>
    <w:rPr>
      <w:color w:val="000000"/>
      <w:sz w:val="18"/>
      <w:szCs w:val="18"/>
    </w:rPr>
  </w:style>
  <w:style w:type="paragraph" w:styleId="10">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Pr>
      <w:sz w:val="18"/>
      <w:szCs w:val="18"/>
    </w:rPr>
  </w:style>
  <w:style w:type="character" w:styleId="af">
    <w:name w:val="annotation reference"/>
    <w:semiHidden/>
    <w:rPr>
      <w:sz w:val="21"/>
      <w:szCs w:val="21"/>
    </w:r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customStyle="1" w:styleId="Char2">
    <w:name w:val="Char"/>
    <w:basedOn w:val="a"/>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rsid w:val="00C503D3"/>
    <w:rPr>
      <w:kern w:val="2"/>
      <w:sz w:val="24"/>
    </w:rPr>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2.xml" Type="http://schemas.openxmlformats.org/officeDocument/2006/relationships/footer"/>
<Relationship Id="rId12" Target="footer3.xml" Type="http://schemas.openxmlformats.org/officeDocument/2006/relationships/footer"/>
<Relationship Id="rId13" Target="header3.xml" Type="http://schemas.openxmlformats.org/officeDocument/2006/relationships/header"/>
<Relationship Id="rId14" Target="footer4.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17" Target="stylesWithEffects.xml" Type="http://schemas.microsoft.com/office/2007/relationships/stylesWithEffects"/>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1.jpeg" Type="http://schemas.openxmlformats.org/officeDocument/2006/relationships/image"/>
</Relationships>

</file>

<file path=word/_rels/settings.xml.rels><?xml version="1.0" encoding="UTF-8" standalone="no"?>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6</TotalTime>
  <Pages>21</Pages>
  <Words>3260</Words>
  <Characters>18584</Characters>
  <Application>Microsoft Office Word</Application>
  <DocSecurity>0</DocSecurity>
  <Lines>154</Lines>
  <Paragraphs>43</Paragraphs>
  <ScaleCrop>false</ScaleCrop>
  <Company>TRT. Ltd. Co.</Company>
  <LinksUpToDate>false</LinksUpToDate>
  <CharactersWithSpaces>21801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2014-12-16T02:40:00Z</dcterms:created>
  <dc:creator>bonnieliu</dc:creator>
  <cp:lastModifiedBy>china</cp:lastModifiedBy>
  <cp:lastPrinted>2007-07-19T00:46:00Z</cp:lastPrinted>
  <dcterms:modified xsi:type="dcterms:W3CDTF">2017-05-17T08:58:00Z</dcterms:modified>
  <cp:revision>10</cp:revision>
</cp:coreProperties>
</file>