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C7E66"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1F89B592"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01076375"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137F2293" w14:textId="77777777"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14:paraId="0F5E152F"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摩根全球新兴市场混合型证券投资基金</w:t>
      </w:r>
      <w:r w:rsidRPr="00A76A42">
        <w:rPr>
          <w:rFonts w:eastAsiaTheme="minorEastAsia"/>
          <w:b/>
          <w:color w:val="000000" w:themeColor="text1"/>
          <w:sz w:val="36"/>
          <w:szCs w:val="36"/>
        </w:rPr>
        <w:t>(QDII)</w:t>
      </w:r>
    </w:p>
    <w:p w14:paraId="275F5865"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14:paraId="0FCEF240" w14:textId="77777777"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14:paraId="11302B07" w14:textId="77777777" w:rsidR="00397616" w:rsidRPr="00A76A42" w:rsidRDefault="00397616" w:rsidP="00397616">
      <w:pPr>
        <w:spacing w:line="360" w:lineRule="auto"/>
        <w:jc w:val="center"/>
        <w:rPr>
          <w:rFonts w:eastAsiaTheme="minorEastAsia"/>
          <w:b/>
          <w:color w:val="000000" w:themeColor="text1"/>
          <w:sz w:val="24"/>
        </w:rPr>
      </w:pPr>
    </w:p>
    <w:p w14:paraId="7FEF55FC" w14:textId="77777777" w:rsidR="00397616" w:rsidRPr="00A76A42" w:rsidRDefault="00397616" w:rsidP="00397616">
      <w:pPr>
        <w:spacing w:line="360" w:lineRule="auto"/>
        <w:jc w:val="center"/>
        <w:rPr>
          <w:rFonts w:eastAsiaTheme="minorEastAsia"/>
          <w:b/>
          <w:color w:val="000000" w:themeColor="text1"/>
          <w:sz w:val="24"/>
        </w:rPr>
      </w:pPr>
    </w:p>
    <w:p w14:paraId="1BC2B413" w14:textId="77777777" w:rsidR="00397616" w:rsidRPr="00A76A42" w:rsidRDefault="00397616" w:rsidP="00397616">
      <w:pPr>
        <w:spacing w:line="360" w:lineRule="auto"/>
        <w:jc w:val="center"/>
        <w:rPr>
          <w:rFonts w:eastAsiaTheme="minorEastAsia"/>
          <w:b/>
          <w:color w:val="000000" w:themeColor="text1"/>
          <w:sz w:val="24"/>
        </w:rPr>
      </w:pPr>
    </w:p>
    <w:p w14:paraId="17830104" w14:textId="77777777" w:rsidR="00397616" w:rsidRPr="00A76A42" w:rsidRDefault="00397616" w:rsidP="00397616">
      <w:pPr>
        <w:spacing w:line="360" w:lineRule="auto"/>
        <w:jc w:val="center"/>
        <w:rPr>
          <w:rFonts w:eastAsiaTheme="minorEastAsia"/>
          <w:b/>
          <w:color w:val="000000" w:themeColor="text1"/>
          <w:sz w:val="24"/>
        </w:rPr>
      </w:pPr>
    </w:p>
    <w:p w14:paraId="17CAAE34" w14:textId="77777777" w:rsidR="00397616" w:rsidRPr="00A76A42" w:rsidRDefault="00397616" w:rsidP="00397616">
      <w:pPr>
        <w:spacing w:line="360" w:lineRule="auto"/>
        <w:jc w:val="center"/>
        <w:rPr>
          <w:rFonts w:eastAsiaTheme="minorEastAsia"/>
          <w:b/>
          <w:color w:val="000000" w:themeColor="text1"/>
          <w:sz w:val="24"/>
        </w:rPr>
      </w:pPr>
    </w:p>
    <w:p w14:paraId="5589B9C3" w14:textId="77777777" w:rsidR="00397616" w:rsidRPr="00A76A42" w:rsidRDefault="00397616" w:rsidP="00397616">
      <w:pPr>
        <w:spacing w:line="360" w:lineRule="auto"/>
        <w:jc w:val="center"/>
        <w:rPr>
          <w:rFonts w:eastAsiaTheme="minorEastAsia"/>
          <w:b/>
          <w:color w:val="000000" w:themeColor="text1"/>
          <w:sz w:val="24"/>
        </w:rPr>
      </w:pPr>
    </w:p>
    <w:p w14:paraId="1FA84283" w14:textId="77777777" w:rsidR="00397616" w:rsidRPr="00A76A42" w:rsidRDefault="00397616" w:rsidP="00397616">
      <w:pPr>
        <w:spacing w:line="360" w:lineRule="auto"/>
        <w:jc w:val="center"/>
        <w:rPr>
          <w:rFonts w:eastAsiaTheme="minorEastAsia"/>
          <w:b/>
          <w:color w:val="000000" w:themeColor="text1"/>
          <w:sz w:val="24"/>
        </w:rPr>
      </w:pPr>
    </w:p>
    <w:p w14:paraId="150C58CF" w14:textId="77777777" w:rsidR="00397616" w:rsidRPr="00A76A42" w:rsidRDefault="00397616" w:rsidP="00397616">
      <w:pPr>
        <w:spacing w:line="360" w:lineRule="auto"/>
        <w:jc w:val="center"/>
        <w:rPr>
          <w:rFonts w:eastAsiaTheme="minorEastAsia"/>
          <w:b/>
          <w:color w:val="000000" w:themeColor="text1"/>
          <w:sz w:val="24"/>
        </w:rPr>
      </w:pPr>
    </w:p>
    <w:p w14:paraId="15B7C00A" w14:textId="77777777" w:rsidR="00397616" w:rsidRPr="00A76A42" w:rsidRDefault="00397616" w:rsidP="00397616">
      <w:pPr>
        <w:spacing w:line="360" w:lineRule="auto"/>
        <w:jc w:val="center"/>
        <w:rPr>
          <w:rFonts w:eastAsiaTheme="minorEastAsia"/>
          <w:b/>
          <w:color w:val="000000" w:themeColor="text1"/>
          <w:sz w:val="24"/>
        </w:rPr>
      </w:pPr>
    </w:p>
    <w:p w14:paraId="454EF402" w14:textId="77777777" w:rsidR="00397616" w:rsidRPr="00A76A42" w:rsidRDefault="00397616" w:rsidP="00397616">
      <w:pPr>
        <w:spacing w:line="360" w:lineRule="auto"/>
        <w:jc w:val="center"/>
        <w:rPr>
          <w:rFonts w:eastAsiaTheme="minorEastAsia"/>
          <w:b/>
          <w:color w:val="000000" w:themeColor="text1"/>
          <w:sz w:val="24"/>
        </w:rPr>
      </w:pPr>
    </w:p>
    <w:p w14:paraId="00F3C94C" w14:textId="77777777" w:rsidR="00397616" w:rsidRPr="00A76A42" w:rsidRDefault="00397616" w:rsidP="00397616">
      <w:pPr>
        <w:spacing w:line="360" w:lineRule="auto"/>
        <w:jc w:val="center"/>
        <w:rPr>
          <w:rFonts w:eastAsiaTheme="minorEastAsia"/>
          <w:b/>
          <w:color w:val="000000" w:themeColor="text1"/>
          <w:sz w:val="24"/>
        </w:rPr>
      </w:pPr>
    </w:p>
    <w:p w14:paraId="237E108C" w14:textId="77777777" w:rsidR="00397616" w:rsidRPr="00A76A42" w:rsidRDefault="00397616" w:rsidP="00397616">
      <w:pPr>
        <w:spacing w:line="360" w:lineRule="auto"/>
        <w:jc w:val="center"/>
        <w:rPr>
          <w:rFonts w:eastAsiaTheme="minorEastAsia"/>
          <w:b/>
          <w:color w:val="000000" w:themeColor="text1"/>
          <w:sz w:val="24"/>
        </w:rPr>
      </w:pPr>
    </w:p>
    <w:p w14:paraId="364D9D95" w14:textId="77777777" w:rsidR="00397616" w:rsidRPr="00A76A42" w:rsidRDefault="00397616" w:rsidP="00397616">
      <w:pPr>
        <w:spacing w:line="360" w:lineRule="auto"/>
        <w:jc w:val="center"/>
        <w:rPr>
          <w:rFonts w:eastAsiaTheme="minorEastAsia"/>
          <w:b/>
          <w:color w:val="000000" w:themeColor="text1"/>
          <w:sz w:val="24"/>
        </w:rPr>
      </w:pPr>
    </w:p>
    <w:p w14:paraId="5AA3307C" w14:textId="77777777" w:rsidR="00397616" w:rsidRPr="00A76A42" w:rsidRDefault="00397616" w:rsidP="00826B12">
      <w:pPr>
        <w:spacing w:line="288" w:lineRule="auto"/>
        <w:ind w:firstLineChars="900" w:firstLine="2168"/>
        <w:rPr>
          <w:rFonts w:eastAsiaTheme="minorEastAsia"/>
          <w:b/>
          <w:color w:val="000000" w:themeColor="text1"/>
          <w:sz w:val="24"/>
        </w:rPr>
      </w:pPr>
    </w:p>
    <w:p w14:paraId="4187F4FD"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14:paraId="17CE75FD"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14:paraId="669129D9" w14:textId="77777777"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二〇二四年七月十九日</w:t>
      </w:r>
    </w:p>
    <w:p w14:paraId="69FF59D9" w14:textId="77777777"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14:paraId="0426C8E1"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EF51A8E"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C08A9FA"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36DC757"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585479F"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51971B4" w14:textId="77777777"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14:paraId="6C2C0983"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14:paraId="44A80834" w14:textId="77777777" w:rsidTr="006669C9">
        <w:tc>
          <w:tcPr>
            <w:tcW w:w="2977" w:type="dxa"/>
            <w:vAlign w:val="center"/>
          </w:tcPr>
          <w:p w14:paraId="7075E1FE"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14:paraId="756BD3C4"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摩根全球新兴市场混合</w:t>
            </w:r>
            <w:r w:rsidRPr="00A76A42">
              <w:rPr>
                <w:rFonts w:eastAsiaTheme="minorEastAsia"/>
                <w:color w:val="000000" w:themeColor="text1"/>
                <w:kern w:val="0"/>
                <w:szCs w:val="21"/>
              </w:rPr>
              <w:t>(QDII)</w:t>
            </w:r>
          </w:p>
        </w:tc>
      </w:tr>
      <w:tr w:rsidR="008277FF" w:rsidRPr="00A76A42" w14:paraId="579C8A8A" w14:textId="77777777" w:rsidTr="006669C9">
        <w:tc>
          <w:tcPr>
            <w:tcW w:w="2977" w:type="dxa"/>
            <w:vAlign w:val="center"/>
          </w:tcPr>
          <w:p w14:paraId="7D4F926C"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14:paraId="70B129C6"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60AF794F" w14:textId="77777777" w:rsidTr="006669C9">
        <w:tc>
          <w:tcPr>
            <w:tcW w:w="2977" w:type="dxa"/>
            <w:vAlign w:val="center"/>
          </w:tcPr>
          <w:p w14:paraId="2B7BA27B"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14:paraId="41151410"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67F709E1" w14:textId="77777777" w:rsidTr="006669C9">
        <w:tc>
          <w:tcPr>
            <w:tcW w:w="2977" w:type="dxa"/>
            <w:vAlign w:val="center"/>
          </w:tcPr>
          <w:p w14:paraId="46CDC130"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14:paraId="5E79211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14:paraId="5881FE3D" w14:textId="77777777" w:rsidTr="006669C9">
        <w:tc>
          <w:tcPr>
            <w:tcW w:w="2977" w:type="dxa"/>
            <w:vAlign w:val="center"/>
          </w:tcPr>
          <w:p w14:paraId="0B42E21F"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14:paraId="1FE96986"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14:paraId="59ED8B9C" w14:textId="77777777" w:rsidTr="006669C9">
        <w:tc>
          <w:tcPr>
            <w:tcW w:w="2977" w:type="dxa"/>
            <w:vAlign w:val="center"/>
          </w:tcPr>
          <w:p w14:paraId="0E034BB8"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14:paraId="2F7C985A"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64,650,968.76</w:t>
            </w:r>
            <w:r w:rsidRPr="00A76A42">
              <w:rPr>
                <w:rFonts w:eastAsiaTheme="minorEastAsia"/>
                <w:color w:val="000000" w:themeColor="text1"/>
                <w:kern w:val="0"/>
                <w:szCs w:val="21"/>
              </w:rPr>
              <w:t>份</w:t>
            </w:r>
          </w:p>
        </w:tc>
      </w:tr>
      <w:tr w:rsidR="008277FF" w:rsidRPr="00A76A42" w14:paraId="1576D45F" w14:textId="77777777" w:rsidTr="006669C9">
        <w:tc>
          <w:tcPr>
            <w:tcW w:w="2977" w:type="dxa"/>
            <w:vAlign w:val="center"/>
          </w:tcPr>
          <w:p w14:paraId="0911D47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14:paraId="0C1179B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14:paraId="564934FB" w14:textId="77777777" w:rsidTr="006669C9">
        <w:tc>
          <w:tcPr>
            <w:tcW w:w="2977" w:type="dxa"/>
            <w:vAlign w:val="center"/>
          </w:tcPr>
          <w:p w14:paraId="0ABDFC29"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14:paraId="357F547D"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14:paraId="70D8FD99"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4F85CDA4"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5B2EFE8B"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34E7FEE7"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432AA6AE"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14:paraId="784F2A6D" w14:textId="77777777" w:rsidTr="006669C9">
        <w:tc>
          <w:tcPr>
            <w:tcW w:w="2977" w:type="dxa"/>
            <w:vAlign w:val="center"/>
          </w:tcPr>
          <w:p w14:paraId="51825DDF"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14:paraId="115801F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14:paraId="3F42257C" w14:textId="77777777" w:rsidTr="006669C9">
        <w:tc>
          <w:tcPr>
            <w:tcW w:w="2977" w:type="dxa"/>
            <w:vAlign w:val="center"/>
          </w:tcPr>
          <w:p w14:paraId="101B9A6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14:paraId="0E0000C5" w14:textId="77777777" w:rsidR="00B32CF3" w:rsidRDefault="009B2F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14:paraId="312A4FBF"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14:paraId="47FF367C" w14:textId="77777777" w:rsidTr="006669C9">
        <w:tc>
          <w:tcPr>
            <w:tcW w:w="2977" w:type="dxa"/>
            <w:vAlign w:val="center"/>
          </w:tcPr>
          <w:p w14:paraId="67A4CA6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14:paraId="37F4DE4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14:paraId="0A0EEC03" w14:textId="77777777" w:rsidTr="006669C9">
        <w:tc>
          <w:tcPr>
            <w:tcW w:w="2977" w:type="dxa"/>
            <w:vAlign w:val="center"/>
          </w:tcPr>
          <w:p w14:paraId="24DA08D7"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14:paraId="5B91F91E"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14:paraId="3C687A49" w14:textId="77777777" w:rsidTr="006669C9">
        <w:tc>
          <w:tcPr>
            <w:tcW w:w="2977" w:type="dxa"/>
            <w:vAlign w:val="center"/>
          </w:tcPr>
          <w:p w14:paraId="7980E915"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14:paraId="617ABB18"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14:paraId="6DAB3E4E" w14:textId="77777777" w:rsidTr="006669C9">
        <w:tc>
          <w:tcPr>
            <w:tcW w:w="2977" w:type="dxa"/>
            <w:vAlign w:val="center"/>
          </w:tcPr>
          <w:p w14:paraId="0F2811F2"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14:paraId="0F453913"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14:paraId="2D56520E" w14:textId="77777777" w:rsidTr="006669C9">
        <w:tc>
          <w:tcPr>
            <w:tcW w:w="2977" w:type="dxa"/>
            <w:vAlign w:val="center"/>
          </w:tcPr>
          <w:p w14:paraId="5D821D36"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14:paraId="63A7899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14:paraId="1A5E4BC2" w14:textId="77777777" w:rsidTr="006669C9">
        <w:tc>
          <w:tcPr>
            <w:tcW w:w="2977" w:type="dxa"/>
            <w:vAlign w:val="center"/>
          </w:tcPr>
          <w:p w14:paraId="6396A1A6"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14:paraId="24C450D9"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14:paraId="2E8D0A6C"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14:paraId="73D5ACDE" w14:textId="77777777"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14:paraId="6755C678"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9B2FDA" w:rsidRPr="00A76A42" w14:paraId="32C2DF8C" w14:textId="77777777" w:rsidTr="009B2FDA">
        <w:tc>
          <w:tcPr>
            <w:tcW w:w="3402" w:type="dxa"/>
            <w:vAlign w:val="center"/>
          </w:tcPr>
          <w:p w14:paraId="60ABD351" w14:textId="77777777"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14:paraId="3AD6AF94" w14:textId="77777777"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14:paraId="591AA2D8" w14:textId="77777777"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9B2FDA" w:rsidRPr="00A76A42" w14:paraId="39CDB251" w14:textId="77777777" w:rsidTr="009B2FDA">
        <w:tc>
          <w:tcPr>
            <w:tcW w:w="3402" w:type="dxa"/>
            <w:vAlign w:val="center"/>
          </w:tcPr>
          <w:p w14:paraId="7906CF01"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14:paraId="15404EB4"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725,340.24</w:t>
            </w:r>
          </w:p>
        </w:tc>
      </w:tr>
      <w:tr w:rsidR="009B2FDA" w:rsidRPr="00A76A42" w14:paraId="764246D2" w14:textId="77777777" w:rsidTr="009B2FDA">
        <w:tc>
          <w:tcPr>
            <w:tcW w:w="3402" w:type="dxa"/>
            <w:vAlign w:val="center"/>
          </w:tcPr>
          <w:p w14:paraId="233EA9D0"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14:paraId="360568FB"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4,439,633.09</w:t>
            </w:r>
          </w:p>
        </w:tc>
      </w:tr>
      <w:tr w:rsidR="009B2FDA" w:rsidRPr="00A76A42" w14:paraId="000D4344" w14:textId="77777777" w:rsidTr="009B2FDA">
        <w:tc>
          <w:tcPr>
            <w:tcW w:w="3402" w:type="dxa"/>
            <w:vAlign w:val="center"/>
          </w:tcPr>
          <w:p w14:paraId="67A3D3C2"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14:paraId="12FFA1DB"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0.0704</w:t>
            </w:r>
          </w:p>
        </w:tc>
      </w:tr>
      <w:tr w:rsidR="009B2FDA" w:rsidRPr="00A76A42" w14:paraId="0EA109BD" w14:textId="77777777" w:rsidTr="009B2FDA">
        <w:tc>
          <w:tcPr>
            <w:tcW w:w="3402" w:type="dxa"/>
            <w:vAlign w:val="center"/>
          </w:tcPr>
          <w:p w14:paraId="17DA2B99"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14:paraId="27C74049"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71,024,833.92</w:t>
            </w:r>
          </w:p>
        </w:tc>
      </w:tr>
      <w:tr w:rsidR="009B2FDA" w:rsidRPr="00A76A42" w14:paraId="2882A608" w14:textId="77777777" w:rsidTr="009B2FDA">
        <w:trPr>
          <w:trHeight w:val="158"/>
        </w:trPr>
        <w:tc>
          <w:tcPr>
            <w:tcW w:w="3402" w:type="dxa"/>
            <w:vAlign w:val="center"/>
          </w:tcPr>
          <w:p w14:paraId="52FF4F1B"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14:paraId="278AA889"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1.0986</w:t>
            </w:r>
          </w:p>
        </w:tc>
      </w:tr>
    </w:tbl>
    <w:p w14:paraId="372851D4" w14:textId="77777777" w:rsidR="00B32CF3" w:rsidRDefault="009B2FD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20D81273" w14:textId="77777777"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C4896DA"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7CFF134"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14:paraId="6F6520B8"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14:paraId="182B5199" w14:textId="77777777" w:rsidTr="00B918B8">
        <w:tc>
          <w:tcPr>
            <w:tcW w:w="1395" w:type="dxa"/>
            <w:shd w:val="clear" w:color="auto" w:fill="auto"/>
            <w:vAlign w:val="center"/>
          </w:tcPr>
          <w:p w14:paraId="15A521F7"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14:paraId="7B14C297"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14:paraId="667A0E18"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14:paraId="737B96A4"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14:paraId="674F0F4E"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14:paraId="5F0B1BBE"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14:paraId="48344441"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B32CF3" w14:paraId="3E0793AC" w14:textId="77777777">
        <w:tc>
          <w:tcPr>
            <w:tcW w:w="1395" w:type="dxa"/>
            <w:vAlign w:val="center"/>
          </w:tcPr>
          <w:p w14:paraId="50E62835" w14:textId="77777777" w:rsidR="00B32CF3" w:rsidRDefault="009B2FDA">
            <w:pPr>
              <w:jc w:val="left"/>
            </w:pPr>
            <w:r>
              <w:rPr>
                <w:rFonts w:eastAsiaTheme="minorEastAsia"/>
                <w:color w:val="000000" w:themeColor="text1"/>
                <w:szCs w:val="21"/>
              </w:rPr>
              <w:lastRenderedPageBreak/>
              <w:t>过去三个月</w:t>
            </w:r>
          </w:p>
        </w:tc>
        <w:tc>
          <w:tcPr>
            <w:tcW w:w="1092" w:type="dxa"/>
            <w:vAlign w:val="center"/>
          </w:tcPr>
          <w:p w14:paraId="28A159FD" w14:textId="77777777" w:rsidR="00B32CF3" w:rsidRDefault="009B2FDA">
            <w:pPr>
              <w:jc w:val="right"/>
            </w:pPr>
            <w:r>
              <w:rPr>
                <w:rFonts w:eastAsiaTheme="minorEastAsia"/>
                <w:color w:val="000000" w:themeColor="text1"/>
                <w:szCs w:val="21"/>
              </w:rPr>
              <w:t>6.86%</w:t>
            </w:r>
          </w:p>
        </w:tc>
        <w:tc>
          <w:tcPr>
            <w:tcW w:w="1161" w:type="dxa"/>
            <w:vAlign w:val="center"/>
          </w:tcPr>
          <w:p w14:paraId="5106057E" w14:textId="77777777" w:rsidR="00B32CF3" w:rsidRDefault="009B2FDA">
            <w:pPr>
              <w:jc w:val="right"/>
            </w:pPr>
            <w:r>
              <w:rPr>
                <w:rFonts w:eastAsiaTheme="minorEastAsia"/>
                <w:color w:val="000000" w:themeColor="text1"/>
                <w:szCs w:val="21"/>
              </w:rPr>
              <w:t>0.82%</w:t>
            </w:r>
          </w:p>
        </w:tc>
        <w:tc>
          <w:tcPr>
            <w:tcW w:w="1181" w:type="dxa"/>
            <w:vAlign w:val="center"/>
          </w:tcPr>
          <w:p w14:paraId="6F0D90A8" w14:textId="77777777" w:rsidR="00B32CF3" w:rsidRDefault="009B2FDA">
            <w:pPr>
              <w:jc w:val="right"/>
            </w:pPr>
            <w:r>
              <w:rPr>
                <w:rFonts w:eastAsiaTheme="minorEastAsia"/>
                <w:color w:val="000000" w:themeColor="text1"/>
                <w:szCs w:val="21"/>
              </w:rPr>
              <w:t>4.59%</w:t>
            </w:r>
          </w:p>
        </w:tc>
        <w:tc>
          <w:tcPr>
            <w:tcW w:w="1188" w:type="dxa"/>
            <w:vAlign w:val="center"/>
          </w:tcPr>
          <w:p w14:paraId="76736DB8" w14:textId="77777777" w:rsidR="00B32CF3" w:rsidRDefault="009B2FDA">
            <w:pPr>
              <w:jc w:val="right"/>
            </w:pPr>
            <w:r>
              <w:rPr>
                <w:rFonts w:eastAsiaTheme="minorEastAsia"/>
                <w:color w:val="000000" w:themeColor="text1"/>
                <w:szCs w:val="21"/>
              </w:rPr>
              <w:t>0.86%</w:t>
            </w:r>
          </w:p>
        </w:tc>
        <w:tc>
          <w:tcPr>
            <w:tcW w:w="1199" w:type="dxa"/>
            <w:vAlign w:val="center"/>
          </w:tcPr>
          <w:p w14:paraId="4545333D" w14:textId="77777777" w:rsidR="00B32CF3" w:rsidRDefault="009B2FDA">
            <w:pPr>
              <w:jc w:val="right"/>
            </w:pPr>
            <w:r>
              <w:rPr>
                <w:rFonts w:eastAsiaTheme="minorEastAsia"/>
                <w:color w:val="000000" w:themeColor="text1"/>
                <w:szCs w:val="21"/>
              </w:rPr>
              <w:t>2.27%</w:t>
            </w:r>
          </w:p>
        </w:tc>
        <w:tc>
          <w:tcPr>
            <w:tcW w:w="1204" w:type="dxa"/>
            <w:vAlign w:val="center"/>
          </w:tcPr>
          <w:p w14:paraId="0ACB8DB2" w14:textId="77777777" w:rsidR="00B32CF3" w:rsidRDefault="009B2FDA">
            <w:pPr>
              <w:jc w:val="right"/>
            </w:pPr>
            <w:r>
              <w:rPr>
                <w:rFonts w:eastAsiaTheme="minorEastAsia"/>
                <w:color w:val="000000" w:themeColor="text1"/>
                <w:szCs w:val="21"/>
              </w:rPr>
              <w:t>-0.04%</w:t>
            </w:r>
          </w:p>
        </w:tc>
      </w:tr>
      <w:tr w:rsidR="00B32CF3" w14:paraId="07AD4CF9" w14:textId="77777777">
        <w:tc>
          <w:tcPr>
            <w:tcW w:w="1395" w:type="dxa"/>
            <w:vAlign w:val="center"/>
          </w:tcPr>
          <w:p w14:paraId="43B8F531" w14:textId="77777777" w:rsidR="00B32CF3" w:rsidRDefault="009B2FDA">
            <w:pPr>
              <w:jc w:val="left"/>
            </w:pPr>
            <w:r>
              <w:rPr>
                <w:rFonts w:eastAsiaTheme="minorEastAsia"/>
                <w:color w:val="000000" w:themeColor="text1"/>
                <w:szCs w:val="21"/>
              </w:rPr>
              <w:t>过去六个月</w:t>
            </w:r>
          </w:p>
        </w:tc>
        <w:tc>
          <w:tcPr>
            <w:tcW w:w="1092" w:type="dxa"/>
            <w:vAlign w:val="center"/>
          </w:tcPr>
          <w:p w14:paraId="29A32C1F" w14:textId="77777777" w:rsidR="00B32CF3" w:rsidRDefault="009B2FDA">
            <w:pPr>
              <w:jc w:val="right"/>
            </w:pPr>
            <w:r>
              <w:rPr>
                <w:rFonts w:eastAsiaTheme="minorEastAsia"/>
                <w:color w:val="000000" w:themeColor="text1"/>
                <w:szCs w:val="21"/>
              </w:rPr>
              <w:t>11.44%</w:t>
            </w:r>
          </w:p>
        </w:tc>
        <w:tc>
          <w:tcPr>
            <w:tcW w:w="1161" w:type="dxa"/>
            <w:vAlign w:val="center"/>
          </w:tcPr>
          <w:p w14:paraId="73E07A80" w14:textId="77777777" w:rsidR="00B32CF3" w:rsidRDefault="009B2FDA">
            <w:pPr>
              <w:jc w:val="right"/>
            </w:pPr>
            <w:r>
              <w:rPr>
                <w:rFonts w:eastAsiaTheme="minorEastAsia"/>
                <w:color w:val="000000" w:themeColor="text1"/>
                <w:szCs w:val="21"/>
              </w:rPr>
              <w:t>0.81%</w:t>
            </w:r>
          </w:p>
        </w:tc>
        <w:tc>
          <w:tcPr>
            <w:tcW w:w="1181" w:type="dxa"/>
            <w:vAlign w:val="center"/>
          </w:tcPr>
          <w:p w14:paraId="05C86728" w14:textId="77777777" w:rsidR="00B32CF3" w:rsidRDefault="009B2FDA">
            <w:pPr>
              <w:jc w:val="right"/>
            </w:pPr>
            <w:r>
              <w:rPr>
                <w:rFonts w:eastAsiaTheme="minorEastAsia"/>
                <w:color w:val="000000" w:themeColor="text1"/>
                <w:szCs w:val="21"/>
              </w:rPr>
              <w:t>6.77%</w:t>
            </w:r>
          </w:p>
        </w:tc>
        <w:tc>
          <w:tcPr>
            <w:tcW w:w="1188" w:type="dxa"/>
            <w:vAlign w:val="center"/>
          </w:tcPr>
          <w:p w14:paraId="742A174F" w14:textId="77777777" w:rsidR="00B32CF3" w:rsidRDefault="009B2FDA">
            <w:pPr>
              <w:jc w:val="right"/>
            </w:pPr>
            <w:r>
              <w:rPr>
                <w:rFonts w:eastAsiaTheme="minorEastAsia"/>
                <w:color w:val="000000" w:themeColor="text1"/>
                <w:szCs w:val="21"/>
              </w:rPr>
              <w:t>0.81%</w:t>
            </w:r>
          </w:p>
        </w:tc>
        <w:tc>
          <w:tcPr>
            <w:tcW w:w="1199" w:type="dxa"/>
            <w:vAlign w:val="center"/>
          </w:tcPr>
          <w:p w14:paraId="0DCD313B" w14:textId="77777777" w:rsidR="00B32CF3" w:rsidRDefault="009B2FDA">
            <w:pPr>
              <w:jc w:val="right"/>
            </w:pPr>
            <w:r>
              <w:rPr>
                <w:rFonts w:eastAsiaTheme="minorEastAsia"/>
                <w:color w:val="000000" w:themeColor="text1"/>
                <w:szCs w:val="21"/>
              </w:rPr>
              <w:t>4.67%</w:t>
            </w:r>
          </w:p>
        </w:tc>
        <w:tc>
          <w:tcPr>
            <w:tcW w:w="1204" w:type="dxa"/>
            <w:vAlign w:val="center"/>
          </w:tcPr>
          <w:p w14:paraId="13E65DE8" w14:textId="77777777" w:rsidR="00B32CF3" w:rsidRDefault="009B2FDA">
            <w:pPr>
              <w:jc w:val="right"/>
            </w:pPr>
            <w:r>
              <w:rPr>
                <w:rFonts w:eastAsiaTheme="minorEastAsia"/>
                <w:color w:val="000000" w:themeColor="text1"/>
                <w:szCs w:val="21"/>
              </w:rPr>
              <w:t>0.00%</w:t>
            </w:r>
          </w:p>
        </w:tc>
      </w:tr>
      <w:tr w:rsidR="00B32CF3" w14:paraId="6382E95E" w14:textId="77777777">
        <w:tc>
          <w:tcPr>
            <w:tcW w:w="1395" w:type="dxa"/>
            <w:vAlign w:val="center"/>
          </w:tcPr>
          <w:p w14:paraId="1E6EAF12" w14:textId="77777777" w:rsidR="00B32CF3" w:rsidRDefault="009B2FDA">
            <w:pPr>
              <w:jc w:val="left"/>
            </w:pPr>
            <w:r>
              <w:rPr>
                <w:rFonts w:eastAsiaTheme="minorEastAsia"/>
                <w:color w:val="000000" w:themeColor="text1"/>
                <w:szCs w:val="21"/>
              </w:rPr>
              <w:t>过去一年</w:t>
            </w:r>
          </w:p>
        </w:tc>
        <w:tc>
          <w:tcPr>
            <w:tcW w:w="1092" w:type="dxa"/>
            <w:vAlign w:val="center"/>
          </w:tcPr>
          <w:p w14:paraId="173F0B60" w14:textId="77777777" w:rsidR="00B32CF3" w:rsidRDefault="009B2FDA">
            <w:pPr>
              <w:jc w:val="right"/>
            </w:pPr>
            <w:r>
              <w:rPr>
                <w:rFonts w:eastAsiaTheme="minorEastAsia"/>
                <w:color w:val="000000" w:themeColor="text1"/>
                <w:szCs w:val="21"/>
              </w:rPr>
              <w:t>7.64%</w:t>
            </w:r>
          </w:p>
        </w:tc>
        <w:tc>
          <w:tcPr>
            <w:tcW w:w="1161" w:type="dxa"/>
            <w:vAlign w:val="center"/>
          </w:tcPr>
          <w:p w14:paraId="68A42070" w14:textId="77777777" w:rsidR="00B32CF3" w:rsidRDefault="009B2FDA">
            <w:pPr>
              <w:jc w:val="right"/>
            </w:pPr>
            <w:r>
              <w:rPr>
                <w:rFonts w:eastAsiaTheme="minorEastAsia"/>
                <w:color w:val="000000" w:themeColor="text1"/>
                <w:szCs w:val="21"/>
              </w:rPr>
              <w:t>0.80%</w:t>
            </w:r>
          </w:p>
        </w:tc>
        <w:tc>
          <w:tcPr>
            <w:tcW w:w="1181" w:type="dxa"/>
            <w:vAlign w:val="center"/>
          </w:tcPr>
          <w:p w14:paraId="7B7D5C39" w14:textId="77777777" w:rsidR="00B32CF3" w:rsidRDefault="009B2FDA">
            <w:pPr>
              <w:jc w:val="right"/>
            </w:pPr>
            <w:r>
              <w:rPr>
                <w:rFonts w:eastAsiaTheme="minorEastAsia"/>
                <w:color w:val="000000" w:themeColor="text1"/>
                <w:szCs w:val="21"/>
              </w:rPr>
              <w:t>8.28%</w:t>
            </w:r>
          </w:p>
        </w:tc>
        <w:tc>
          <w:tcPr>
            <w:tcW w:w="1188" w:type="dxa"/>
            <w:vAlign w:val="center"/>
          </w:tcPr>
          <w:p w14:paraId="1347FA5C" w14:textId="77777777" w:rsidR="00B32CF3" w:rsidRDefault="009B2FDA">
            <w:pPr>
              <w:jc w:val="right"/>
            </w:pPr>
            <w:r>
              <w:rPr>
                <w:rFonts w:eastAsiaTheme="minorEastAsia"/>
                <w:color w:val="000000" w:themeColor="text1"/>
                <w:szCs w:val="21"/>
              </w:rPr>
              <w:t>0.82%</w:t>
            </w:r>
          </w:p>
        </w:tc>
        <w:tc>
          <w:tcPr>
            <w:tcW w:w="1199" w:type="dxa"/>
            <w:vAlign w:val="center"/>
          </w:tcPr>
          <w:p w14:paraId="4B5C5471" w14:textId="77777777" w:rsidR="00B32CF3" w:rsidRDefault="009B2FDA">
            <w:pPr>
              <w:jc w:val="right"/>
            </w:pPr>
            <w:r>
              <w:rPr>
                <w:rFonts w:eastAsiaTheme="minorEastAsia"/>
                <w:color w:val="000000" w:themeColor="text1"/>
                <w:szCs w:val="21"/>
              </w:rPr>
              <w:t>-0.64%</w:t>
            </w:r>
          </w:p>
        </w:tc>
        <w:tc>
          <w:tcPr>
            <w:tcW w:w="1204" w:type="dxa"/>
            <w:vAlign w:val="center"/>
          </w:tcPr>
          <w:p w14:paraId="302055A8" w14:textId="77777777" w:rsidR="00B32CF3" w:rsidRDefault="009B2FDA">
            <w:pPr>
              <w:jc w:val="right"/>
            </w:pPr>
            <w:r>
              <w:rPr>
                <w:rFonts w:eastAsiaTheme="minorEastAsia"/>
                <w:color w:val="000000" w:themeColor="text1"/>
                <w:szCs w:val="21"/>
              </w:rPr>
              <w:t>-0.02%</w:t>
            </w:r>
          </w:p>
        </w:tc>
      </w:tr>
      <w:tr w:rsidR="00B32CF3" w14:paraId="7BCBC200" w14:textId="77777777">
        <w:tc>
          <w:tcPr>
            <w:tcW w:w="1395" w:type="dxa"/>
            <w:vAlign w:val="center"/>
          </w:tcPr>
          <w:p w14:paraId="303FA519" w14:textId="77777777" w:rsidR="00B32CF3" w:rsidRDefault="009B2FDA">
            <w:pPr>
              <w:jc w:val="left"/>
            </w:pPr>
            <w:r>
              <w:rPr>
                <w:rFonts w:eastAsiaTheme="minorEastAsia"/>
                <w:color w:val="000000" w:themeColor="text1"/>
                <w:szCs w:val="21"/>
              </w:rPr>
              <w:t>过去三年</w:t>
            </w:r>
          </w:p>
        </w:tc>
        <w:tc>
          <w:tcPr>
            <w:tcW w:w="1092" w:type="dxa"/>
            <w:vAlign w:val="center"/>
          </w:tcPr>
          <w:p w14:paraId="14AD83C8" w14:textId="77777777" w:rsidR="00B32CF3" w:rsidRDefault="009B2FDA">
            <w:pPr>
              <w:jc w:val="right"/>
            </w:pPr>
            <w:r>
              <w:rPr>
                <w:rFonts w:eastAsiaTheme="minorEastAsia"/>
                <w:color w:val="000000" w:themeColor="text1"/>
                <w:szCs w:val="21"/>
              </w:rPr>
              <w:t>-12.81%</w:t>
            </w:r>
          </w:p>
        </w:tc>
        <w:tc>
          <w:tcPr>
            <w:tcW w:w="1161" w:type="dxa"/>
            <w:vAlign w:val="center"/>
          </w:tcPr>
          <w:p w14:paraId="5FA53F02" w14:textId="77777777" w:rsidR="00B32CF3" w:rsidRDefault="009B2FDA">
            <w:pPr>
              <w:jc w:val="right"/>
            </w:pPr>
            <w:r>
              <w:rPr>
                <w:rFonts w:eastAsiaTheme="minorEastAsia"/>
                <w:color w:val="000000" w:themeColor="text1"/>
                <w:szCs w:val="21"/>
              </w:rPr>
              <w:t>1.00%</w:t>
            </w:r>
          </w:p>
        </w:tc>
        <w:tc>
          <w:tcPr>
            <w:tcW w:w="1181" w:type="dxa"/>
            <w:vAlign w:val="center"/>
          </w:tcPr>
          <w:p w14:paraId="616F2822" w14:textId="77777777" w:rsidR="00B32CF3" w:rsidRDefault="009B2FDA">
            <w:pPr>
              <w:jc w:val="right"/>
            </w:pPr>
            <w:r>
              <w:rPr>
                <w:rFonts w:eastAsiaTheme="minorEastAsia"/>
                <w:color w:val="000000" w:themeColor="text1"/>
                <w:szCs w:val="21"/>
              </w:rPr>
              <w:t>-12.82%</w:t>
            </w:r>
          </w:p>
        </w:tc>
        <w:tc>
          <w:tcPr>
            <w:tcW w:w="1188" w:type="dxa"/>
            <w:vAlign w:val="center"/>
          </w:tcPr>
          <w:p w14:paraId="00639C96" w14:textId="77777777" w:rsidR="00B32CF3" w:rsidRDefault="009B2FDA">
            <w:pPr>
              <w:jc w:val="right"/>
            </w:pPr>
            <w:r>
              <w:rPr>
                <w:rFonts w:eastAsiaTheme="minorEastAsia"/>
                <w:color w:val="000000" w:themeColor="text1"/>
                <w:szCs w:val="21"/>
              </w:rPr>
              <w:t>1.00%</w:t>
            </w:r>
          </w:p>
        </w:tc>
        <w:tc>
          <w:tcPr>
            <w:tcW w:w="1199" w:type="dxa"/>
            <w:vAlign w:val="center"/>
          </w:tcPr>
          <w:p w14:paraId="087AE01E" w14:textId="77777777" w:rsidR="00B32CF3" w:rsidRDefault="009B2FDA">
            <w:pPr>
              <w:jc w:val="right"/>
            </w:pPr>
            <w:r>
              <w:rPr>
                <w:rFonts w:eastAsiaTheme="minorEastAsia"/>
                <w:color w:val="000000" w:themeColor="text1"/>
                <w:szCs w:val="21"/>
              </w:rPr>
              <w:t>0.01%</w:t>
            </w:r>
          </w:p>
        </w:tc>
        <w:tc>
          <w:tcPr>
            <w:tcW w:w="1204" w:type="dxa"/>
            <w:vAlign w:val="center"/>
          </w:tcPr>
          <w:p w14:paraId="6CF48629" w14:textId="77777777" w:rsidR="00B32CF3" w:rsidRDefault="009B2FDA">
            <w:pPr>
              <w:jc w:val="right"/>
            </w:pPr>
            <w:r>
              <w:rPr>
                <w:rFonts w:eastAsiaTheme="minorEastAsia"/>
                <w:color w:val="000000" w:themeColor="text1"/>
                <w:szCs w:val="21"/>
              </w:rPr>
              <w:t>0.00%</w:t>
            </w:r>
          </w:p>
        </w:tc>
      </w:tr>
      <w:tr w:rsidR="00B32CF3" w14:paraId="323EE4C0" w14:textId="77777777">
        <w:tc>
          <w:tcPr>
            <w:tcW w:w="1395" w:type="dxa"/>
            <w:vAlign w:val="center"/>
          </w:tcPr>
          <w:p w14:paraId="52DE794D" w14:textId="77777777" w:rsidR="00B32CF3" w:rsidRDefault="009B2FDA">
            <w:pPr>
              <w:jc w:val="left"/>
            </w:pPr>
            <w:r>
              <w:rPr>
                <w:rFonts w:eastAsiaTheme="minorEastAsia"/>
                <w:color w:val="000000" w:themeColor="text1"/>
                <w:szCs w:val="21"/>
              </w:rPr>
              <w:t>过去五年</w:t>
            </w:r>
          </w:p>
        </w:tc>
        <w:tc>
          <w:tcPr>
            <w:tcW w:w="1092" w:type="dxa"/>
            <w:vAlign w:val="center"/>
          </w:tcPr>
          <w:p w14:paraId="3BE07031" w14:textId="77777777" w:rsidR="00B32CF3" w:rsidRDefault="009B2FDA">
            <w:pPr>
              <w:jc w:val="right"/>
            </w:pPr>
            <w:r>
              <w:rPr>
                <w:rFonts w:eastAsiaTheme="minorEastAsia"/>
                <w:color w:val="000000" w:themeColor="text1"/>
                <w:szCs w:val="21"/>
              </w:rPr>
              <w:t>19.11%</w:t>
            </w:r>
          </w:p>
        </w:tc>
        <w:tc>
          <w:tcPr>
            <w:tcW w:w="1161" w:type="dxa"/>
            <w:vAlign w:val="center"/>
          </w:tcPr>
          <w:p w14:paraId="2C3CCCE3" w14:textId="77777777" w:rsidR="00B32CF3" w:rsidRDefault="009B2FDA">
            <w:pPr>
              <w:jc w:val="right"/>
            </w:pPr>
            <w:r>
              <w:rPr>
                <w:rFonts w:eastAsiaTheme="minorEastAsia"/>
                <w:color w:val="000000" w:themeColor="text1"/>
                <w:szCs w:val="21"/>
              </w:rPr>
              <w:t>1.19%</w:t>
            </w:r>
          </w:p>
        </w:tc>
        <w:tc>
          <w:tcPr>
            <w:tcW w:w="1181" w:type="dxa"/>
            <w:vAlign w:val="center"/>
          </w:tcPr>
          <w:p w14:paraId="338CE613" w14:textId="77777777" w:rsidR="00B32CF3" w:rsidRDefault="009B2FDA">
            <w:pPr>
              <w:jc w:val="right"/>
            </w:pPr>
            <w:r>
              <w:rPr>
                <w:rFonts w:eastAsiaTheme="minorEastAsia"/>
                <w:color w:val="000000" w:themeColor="text1"/>
                <w:szCs w:val="21"/>
              </w:rPr>
              <w:t>6.75%</w:t>
            </w:r>
          </w:p>
        </w:tc>
        <w:tc>
          <w:tcPr>
            <w:tcW w:w="1188" w:type="dxa"/>
            <w:vAlign w:val="center"/>
          </w:tcPr>
          <w:p w14:paraId="3F6336ED" w14:textId="77777777" w:rsidR="00B32CF3" w:rsidRDefault="009B2FDA">
            <w:pPr>
              <w:jc w:val="right"/>
            </w:pPr>
            <w:r>
              <w:rPr>
                <w:rFonts w:eastAsiaTheme="minorEastAsia"/>
                <w:color w:val="000000" w:themeColor="text1"/>
                <w:szCs w:val="21"/>
              </w:rPr>
              <w:t>1.12%</w:t>
            </w:r>
          </w:p>
        </w:tc>
        <w:tc>
          <w:tcPr>
            <w:tcW w:w="1199" w:type="dxa"/>
            <w:vAlign w:val="center"/>
          </w:tcPr>
          <w:p w14:paraId="5C3EFBA3" w14:textId="77777777" w:rsidR="00B32CF3" w:rsidRDefault="009B2FDA">
            <w:pPr>
              <w:jc w:val="right"/>
            </w:pPr>
            <w:r>
              <w:rPr>
                <w:rFonts w:eastAsiaTheme="minorEastAsia"/>
                <w:color w:val="000000" w:themeColor="text1"/>
                <w:szCs w:val="21"/>
              </w:rPr>
              <w:t>12.36%</w:t>
            </w:r>
          </w:p>
        </w:tc>
        <w:tc>
          <w:tcPr>
            <w:tcW w:w="1204" w:type="dxa"/>
            <w:vAlign w:val="center"/>
          </w:tcPr>
          <w:p w14:paraId="77487860" w14:textId="77777777" w:rsidR="00B32CF3" w:rsidRDefault="009B2FDA">
            <w:pPr>
              <w:jc w:val="right"/>
            </w:pPr>
            <w:r>
              <w:rPr>
                <w:rFonts w:eastAsiaTheme="minorEastAsia"/>
                <w:color w:val="000000" w:themeColor="text1"/>
                <w:szCs w:val="21"/>
              </w:rPr>
              <w:t>0.07%</w:t>
            </w:r>
          </w:p>
        </w:tc>
      </w:tr>
      <w:tr w:rsidR="00B32CF3" w14:paraId="56F85994" w14:textId="77777777">
        <w:tc>
          <w:tcPr>
            <w:tcW w:w="1395" w:type="dxa"/>
            <w:vAlign w:val="center"/>
          </w:tcPr>
          <w:p w14:paraId="31DA668D" w14:textId="77777777" w:rsidR="00B32CF3" w:rsidRDefault="009B2FDA">
            <w:pPr>
              <w:jc w:val="left"/>
            </w:pPr>
            <w:r>
              <w:rPr>
                <w:rFonts w:eastAsiaTheme="minorEastAsia"/>
                <w:color w:val="000000" w:themeColor="text1"/>
                <w:szCs w:val="21"/>
              </w:rPr>
              <w:t>自基金合同生效起至今</w:t>
            </w:r>
          </w:p>
        </w:tc>
        <w:tc>
          <w:tcPr>
            <w:tcW w:w="1092" w:type="dxa"/>
            <w:vAlign w:val="center"/>
          </w:tcPr>
          <w:p w14:paraId="229D1008" w14:textId="77777777" w:rsidR="00B32CF3" w:rsidRDefault="009B2FDA">
            <w:pPr>
              <w:jc w:val="right"/>
            </w:pPr>
            <w:r>
              <w:rPr>
                <w:rFonts w:eastAsiaTheme="minorEastAsia"/>
                <w:color w:val="000000" w:themeColor="text1"/>
                <w:szCs w:val="21"/>
              </w:rPr>
              <w:t>19.47%</w:t>
            </w:r>
          </w:p>
        </w:tc>
        <w:tc>
          <w:tcPr>
            <w:tcW w:w="1161" w:type="dxa"/>
            <w:vAlign w:val="center"/>
          </w:tcPr>
          <w:p w14:paraId="7E7CD074" w14:textId="77777777" w:rsidR="00B32CF3" w:rsidRDefault="009B2FDA">
            <w:pPr>
              <w:jc w:val="right"/>
            </w:pPr>
            <w:r>
              <w:rPr>
                <w:rFonts w:eastAsiaTheme="minorEastAsia"/>
                <w:color w:val="000000" w:themeColor="text1"/>
                <w:szCs w:val="21"/>
              </w:rPr>
              <w:t>1.16%</w:t>
            </w:r>
          </w:p>
        </w:tc>
        <w:tc>
          <w:tcPr>
            <w:tcW w:w="1181" w:type="dxa"/>
            <w:vAlign w:val="center"/>
          </w:tcPr>
          <w:p w14:paraId="1555F245" w14:textId="77777777" w:rsidR="00B32CF3" w:rsidRDefault="009B2FDA">
            <w:pPr>
              <w:jc w:val="right"/>
            </w:pPr>
            <w:r>
              <w:rPr>
                <w:rFonts w:eastAsiaTheme="minorEastAsia"/>
                <w:color w:val="000000" w:themeColor="text1"/>
                <w:szCs w:val="21"/>
              </w:rPr>
              <w:t>4.25%</w:t>
            </w:r>
          </w:p>
        </w:tc>
        <w:tc>
          <w:tcPr>
            <w:tcW w:w="1188" w:type="dxa"/>
            <w:vAlign w:val="center"/>
          </w:tcPr>
          <w:p w14:paraId="1D3C0BEC" w14:textId="77777777" w:rsidR="00B32CF3" w:rsidRDefault="009B2FDA">
            <w:pPr>
              <w:jc w:val="right"/>
            </w:pPr>
            <w:r>
              <w:rPr>
                <w:rFonts w:eastAsiaTheme="minorEastAsia"/>
                <w:color w:val="000000" w:themeColor="text1"/>
                <w:szCs w:val="21"/>
              </w:rPr>
              <w:t>1.05%</w:t>
            </w:r>
          </w:p>
        </w:tc>
        <w:tc>
          <w:tcPr>
            <w:tcW w:w="1199" w:type="dxa"/>
            <w:vAlign w:val="center"/>
          </w:tcPr>
          <w:p w14:paraId="23A221D2" w14:textId="77777777" w:rsidR="00B32CF3" w:rsidRDefault="009B2FDA">
            <w:pPr>
              <w:jc w:val="right"/>
            </w:pPr>
            <w:r>
              <w:rPr>
                <w:rFonts w:eastAsiaTheme="minorEastAsia"/>
                <w:color w:val="000000" w:themeColor="text1"/>
                <w:szCs w:val="21"/>
              </w:rPr>
              <w:t>15.22%</w:t>
            </w:r>
          </w:p>
        </w:tc>
        <w:tc>
          <w:tcPr>
            <w:tcW w:w="1204" w:type="dxa"/>
            <w:vAlign w:val="center"/>
          </w:tcPr>
          <w:p w14:paraId="1DF83AE6" w14:textId="77777777" w:rsidR="00B32CF3" w:rsidRDefault="009B2FDA">
            <w:pPr>
              <w:jc w:val="right"/>
            </w:pPr>
            <w:r>
              <w:rPr>
                <w:rFonts w:eastAsiaTheme="minorEastAsia"/>
                <w:color w:val="000000" w:themeColor="text1"/>
                <w:szCs w:val="21"/>
              </w:rPr>
              <w:t>0.11%</w:t>
            </w:r>
          </w:p>
        </w:tc>
      </w:tr>
    </w:tbl>
    <w:p w14:paraId="10915C4F"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338EF880"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14:paraId="0EE00A04" w14:textId="77777777"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摩根全球新兴市场混合型证券投资基金</w:t>
      </w:r>
      <w:r w:rsidRPr="00A76A42">
        <w:rPr>
          <w:rFonts w:eastAsiaTheme="minorEastAsia"/>
          <w:color w:val="000000" w:themeColor="text1"/>
          <w:szCs w:val="21"/>
        </w:rPr>
        <w:t>(QDII)</w:t>
      </w:r>
    </w:p>
    <w:p w14:paraId="43ECE1D1" w14:textId="77777777"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14:paraId="719FE8C3" w14:textId="77777777"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14:paraId="1EB178E1" w14:textId="77777777"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3D178790" wp14:editId="4AB86DC3">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197702EB" w14:textId="77777777" w:rsidR="00B32CF3" w:rsidRDefault="009B2FD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14:paraId="05B7A72C" w14:textId="77777777"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14:paraId="7195067E"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14:paraId="7D2702DC"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14:paraId="09F513DF" w14:textId="77777777" w:rsidTr="00797DD2">
        <w:trPr>
          <w:cantSplit/>
          <w:trHeight w:val="292"/>
        </w:trPr>
        <w:tc>
          <w:tcPr>
            <w:tcW w:w="851" w:type="dxa"/>
            <w:vMerge w:val="restart"/>
            <w:vAlign w:val="center"/>
          </w:tcPr>
          <w:p w14:paraId="5CA5B21F"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14:paraId="5BAF475F"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14:paraId="6E51E7DE"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14:paraId="5739201D"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14:paraId="4591EB1A" w14:textId="77777777"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14:paraId="63614C15" w14:textId="77777777" w:rsidTr="00797DD2">
        <w:trPr>
          <w:cantSplit/>
        </w:trPr>
        <w:tc>
          <w:tcPr>
            <w:tcW w:w="851" w:type="dxa"/>
            <w:vMerge/>
            <w:vAlign w:val="center"/>
          </w:tcPr>
          <w:p w14:paraId="1A081A2C"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43E0BA63"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1F5B4ED8"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14:paraId="0CEC7702"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14:paraId="669E4697" w14:textId="77777777"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6106F7E7" w14:textId="77777777" w:rsidR="007D1292" w:rsidRPr="00A76A42" w:rsidRDefault="007D1292" w:rsidP="00797DD2">
            <w:pPr>
              <w:widowControl/>
              <w:spacing w:line="360" w:lineRule="auto"/>
              <w:jc w:val="center"/>
              <w:rPr>
                <w:rFonts w:eastAsiaTheme="minorEastAsia"/>
                <w:color w:val="000000" w:themeColor="text1"/>
                <w:kern w:val="0"/>
                <w:szCs w:val="21"/>
              </w:rPr>
            </w:pPr>
          </w:p>
        </w:tc>
      </w:tr>
      <w:tr w:rsidR="00B32CF3" w14:paraId="7B8BEF37" w14:textId="77777777">
        <w:tc>
          <w:tcPr>
            <w:tcW w:w="851" w:type="dxa"/>
            <w:vAlign w:val="center"/>
          </w:tcPr>
          <w:p w14:paraId="26B0A270" w14:textId="77777777" w:rsidR="00B32CF3" w:rsidRDefault="009B2FDA">
            <w:pPr>
              <w:jc w:val="center"/>
            </w:pPr>
            <w:r>
              <w:rPr>
                <w:rFonts w:eastAsiaTheme="minorEastAsia"/>
                <w:color w:val="000000" w:themeColor="text1"/>
                <w:szCs w:val="21"/>
              </w:rPr>
              <w:t>张军</w:t>
            </w:r>
          </w:p>
        </w:tc>
        <w:tc>
          <w:tcPr>
            <w:tcW w:w="850" w:type="dxa"/>
            <w:vAlign w:val="center"/>
          </w:tcPr>
          <w:p w14:paraId="6154703D" w14:textId="77777777" w:rsidR="00B32CF3" w:rsidRDefault="009B2FDA">
            <w:pPr>
              <w:jc w:val="center"/>
            </w:pPr>
            <w:r>
              <w:rPr>
                <w:rFonts w:eastAsiaTheme="minorEastAsia"/>
                <w:color w:val="000000" w:themeColor="text1"/>
                <w:szCs w:val="21"/>
              </w:rPr>
              <w:t>本基金基金经理</w:t>
            </w:r>
          </w:p>
        </w:tc>
        <w:tc>
          <w:tcPr>
            <w:tcW w:w="1560" w:type="dxa"/>
            <w:vAlign w:val="center"/>
          </w:tcPr>
          <w:p w14:paraId="7F62ADEC" w14:textId="77777777" w:rsidR="00B32CF3" w:rsidRDefault="009B2FDA">
            <w:pPr>
              <w:jc w:val="center"/>
            </w:pPr>
            <w:r>
              <w:rPr>
                <w:rFonts w:eastAsiaTheme="minorEastAsia"/>
                <w:color w:val="000000" w:themeColor="text1"/>
                <w:szCs w:val="21"/>
              </w:rPr>
              <w:t>2021-06-01</w:t>
            </w:r>
          </w:p>
        </w:tc>
        <w:tc>
          <w:tcPr>
            <w:tcW w:w="1559" w:type="dxa"/>
            <w:vAlign w:val="center"/>
          </w:tcPr>
          <w:p w14:paraId="07B727CE" w14:textId="77777777" w:rsidR="00B32CF3" w:rsidRDefault="009B2FDA">
            <w:pPr>
              <w:jc w:val="center"/>
            </w:pPr>
            <w:r>
              <w:rPr>
                <w:rFonts w:eastAsiaTheme="minorEastAsia"/>
                <w:color w:val="000000" w:themeColor="text1"/>
                <w:szCs w:val="21"/>
              </w:rPr>
              <w:t>-</w:t>
            </w:r>
          </w:p>
        </w:tc>
        <w:tc>
          <w:tcPr>
            <w:tcW w:w="1417" w:type="dxa"/>
            <w:vAlign w:val="center"/>
          </w:tcPr>
          <w:p w14:paraId="187EC110" w14:textId="77777777" w:rsidR="00B32CF3" w:rsidRDefault="009B2FDA">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51C13144" w14:textId="77777777" w:rsidR="00B32CF3" w:rsidRDefault="009B2FDA">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4265184D" w14:textId="77777777" w:rsidR="00B32CF3" w:rsidRDefault="009B2FD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B621D9C" w14:textId="77777777"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14:paraId="3E16C922" w14:textId="77777777"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0"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14:paraId="4109DBA0" w14:textId="77777777" w:rsidTr="00F367A9">
        <w:tc>
          <w:tcPr>
            <w:tcW w:w="959" w:type="dxa"/>
            <w:tcBorders>
              <w:top w:val="single" w:sz="4" w:space="0" w:color="auto"/>
              <w:left w:val="single" w:sz="4" w:space="0" w:color="auto"/>
              <w:bottom w:val="single" w:sz="4" w:space="0" w:color="auto"/>
              <w:right w:val="single" w:sz="4" w:space="0" w:color="auto"/>
            </w:tcBorders>
            <w:vAlign w:val="center"/>
            <w:hideMark/>
          </w:tcPr>
          <w:p w14:paraId="0B2EE09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69CB88"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B1E45E"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92BA52"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C02C343"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14:paraId="02DAB29F" w14:textId="77777777" w:rsidTr="00F367A9">
        <w:tc>
          <w:tcPr>
            <w:tcW w:w="959" w:type="dxa"/>
            <w:vMerge w:val="restart"/>
            <w:tcBorders>
              <w:top w:val="single" w:sz="4" w:space="0" w:color="auto"/>
              <w:left w:val="single" w:sz="4" w:space="0" w:color="auto"/>
              <w:bottom w:val="single" w:sz="4" w:space="0" w:color="auto"/>
              <w:right w:val="single" w:sz="4" w:space="0" w:color="auto"/>
            </w:tcBorders>
            <w:hideMark/>
          </w:tcPr>
          <w:p w14:paraId="323B4D63"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281494A6"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38977B4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2661E808" w14:textId="77777777" w:rsidR="009B1E46" w:rsidRPr="00A76A42" w:rsidRDefault="009B1E46" w:rsidP="00956793">
            <w:pPr>
              <w:spacing w:line="288" w:lineRule="auto"/>
              <w:jc w:val="right"/>
              <w:rPr>
                <w:rFonts w:eastAsiaTheme="minorEastAsia"/>
                <w:color w:val="000000"/>
                <w:szCs w:val="21"/>
              </w:rPr>
            </w:pPr>
            <w:r w:rsidRPr="00A76A42">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14:paraId="150F3115"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14:paraId="2937B8ED"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1B0335E3"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536FAD0"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0940FAFF"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1CE9BEAA" w14:textId="77777777" w:rsidR="009B1E46" w:rsidRPr="00A76A42" w:rsidRDefault="009B1E46" w:rsidP="00956793">
            <w:pPr>
              <w:spacing w:line="288" w:lineRule="auto"/>
              <w:jc w:val="right"/>
              <w:rPr>
                <w:rFonts w:eastAsiaTheme="minorEastAsia"/>
                <w:color w:val="000000"/>
                <w:szCs w:val="21"/>
              </w:rPr>
            </w:pPr>
            <w:r w:rsidRPr="00A76A42">
              <w:rPr>
                <w:rFonts w:eastAsiaTheme="minorEastAsia"/>
                <w:color w:val="000000"/>
                <w:szCs w:val="21"/>
              </w:rPr>
              <w:t>26,610,604.7</w:t>
            </w:r>
            <w:bookmarkStart w:id="1" w:name="_GoBack"/>
            <w:bookmarkEnd w:id="1"/>
            <w:r w:rsidRPr="00A76A42">
              <w:rPr>
                <w:rFonts w:eastAsiaTheme="minorEastAsia"/>
                <w:color w:val="000000"/>
                <w:szCs w:val="21"/>
              </w:rPr>
              <w:t>4</w:t>
            </w:r>
          </w:p>
        </w:tc>
        <w:tc>
          <w:tcPr>
            <w:tcW w:w="1381" w:type="dxa"/>
            <w:tcBorders>
              <w:top w:val="single" w:sz="4" w:space="0" w:color="auto"/>
              <w:left w:val="single" w:sz="4" w:space="0" w:color="auto"/>
              <w:bottom w:val="single" w:sz="4" w:space="0" w:color="auto"/>
              <w:right w:val="single" w:sz="4" w:space="0" w:color="auto"/>
            </w:tcBorders>
            <w:hideMark/>
          </w:tcPr>
          <w:p w14:paraId="4E4431CF"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14:paraId="792E0FC9"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59BE370F"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15327EB"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1E2F4AA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7507C55"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05BE862D"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14:paraId="47C24300"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77208EFF"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71ACBF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1A0EA768"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3F3905DE"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14:paraId="09A2DB43" w14:textId="77777777" w:rsidR="009B1E46" w:rsidRPr="00A76A42" w:rsidRDefault="009B1E46" w:rsidP="00F367A9">
            <w:pPr>
              <w:spacing w:line="288" w:lineRule="auto"/>
              <w:jc w:val="left"/>
              <w:rPr>
                <w:rFonts w:eastAsiaTheme="minorEastAsia"/>
                <w:color w:val="000000"/>
                <w:szCs w:val="21"/>
              </w:rPr>
            </w:pPr>
          </w:p>
        </w:tc>
      </w:tr>
    </w:tbl>
    <w:p w14:paraId="0291308B"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6FFFA4C"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14:paraId="0DDA14C4" w14:textId="77777777" w:rsidTr="00797DD2">
        <w:tc>
          <w:tcPr>
            <w:tcW w:w="2129" w:type="dxa"/>
            <w:vAlign w:val="center"/>
          </w:tcPr>
          <w:p w14:paraId="7531F91F"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14:paraId="192EFDFE"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14:paraId="3AD2CA1F"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14:paraId="43A0E0BA"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B32CF3" w14:paraId="43FA7F56" w14:textId="77777777">
        <w:tc>
          <w:tcPr>
            <w:tcW w:w="0" w:type="auto"/>
            <w:vAlign w:val="center"/>
          </w:tcPr>
          <w:p w14:paraId="025B6AD7" w14:textId="77777777" w:rsidR="00B32CF3" w:rsidRDefault="009B2FDA">
            <w:pPr>
              <w:jc w:val="center"/>
            </w:pPr>
            <w:r>
              <w:rPr>
                <w:rFonts w:eastAsiaTheme="minorEastAsia"/>
                <w:color w:val="000000" w:themeColor="text1"/>
                <w:szCs w:val="21"/>
              </w:rPr>
              <w:t>Anuj Arora</w:t>
            </w:r>
          </w:p>
        </w:tc>
        <w:tc>
          <w:tcPr>
            <w:tcW w:w="0" w:type="auto"/>
            <w:vAlign w:val="center"/>
          </w:tcPr>
          <w:p w14:paraId="081E6019" w14:textId="77777777" w:rsidR="00B32CF3" w:rsidRDefault="009B2FD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14:paraId="10595616" w14:textId="77777777" w:rsidR="00B32CF3" w:rsidRDefault="009B2FDA">
            <w:pPr>
              <w:jc w:val="center"/>
            </w:pPr>
            <w:r>
              <w:rPr>
                <w:rFonts w:eastAsiaTheme="minorEastAsia"/>
                <w:color w:val="000000" w:themeColor="text1"/>
                <w:szCs w:val="21"/>
              </w:rPr>
              <w:t>21</w:t>
            </w:r>
            <w:r>
              <w:rPr>
                <w:rFonts w:eastAsiaTheme="minorEastAsia"/>
                <w:color w:val="000000" w:themeColor="text1"/>
                <w:szCs w:val="21"/>
              </w:rPr>
              <w:t>年</w:t>
            </w:r>
          </w:p>
        </w:tc>
        <w:tc>
          <w:tcPr>
            <w:tcW w:w="0" w:type="auto"/>
            <w:vAlign w:val="center"/>
          </w:tcPr>
          <w:p w14:paraId="4E483A89" w14:textId="77777777" w:rsidR="00B32CF3" w:rsidRDefault="009B2FDA">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B32CF3" w14:paraId="16A171A5" w14:textId="77777777">
        <w:tc>
          <w:tcPr>
            <w:tcW w:w="0" w:type="auto"/>
            <w:vAlign w:val="center"/>
          </w:tcPr>
          <w:p w14:paraId="7BF3D510" w14:textId="77777777" w:rsidR="00B32CF3" w:rsidRDefault="009B2FDA">
            <w:pPr>
              <w:jc w:val="center"/>
            </w:pPr>
            <w:r>
              <w:rPr>
                <w:rFonts w:eastAsiaTheme="minorEastAsia"/>
                <w:color w:val="000000" w:themeColor="text1"/>
                <w:szCs w:val="21"/>
              </w:rPr>
              <w:t xml:space="preserve">Harold </w:t>
            </w:r>
            <w:r>
              <w:rPr>
                <w:rFonts w:eastAsiaTheme="minorEastAsia"/>
                <w:color w:val="000000" w:themeColor="text1"/>
                <w:szCs w:val="21"/>
              </w:rPr>
              <w:lastRenderedPageBreak/>
              <w:t>Yu</w:t>
            </w:r>
          </w:p>
        </w:tc>
        <w:tc>
          <w:tcPr>
            <w:tcW w:w="0" w:type="auto"/>
            <w:vAlign w:val="center"/>
          </w:tcPr>
          <w:p w14:paraId="5441CA50" w14:textId="77777777" w:rsidR="00B32CF3" w:rsidRDefault="009B2FDA">
            <w:pPr>
              <w:jc w:val="center"/>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lastRenderedPageBreak/>
              <w:t>执行董事，基金经理</w:t>
            </w:r>
          </w:p>
        </w:tc>
        <w:tc>
          <w:tcPr>
            <w:tcW w:w="0" w:type="auto"/>
            <w:vAlign w:val="center"/>
          </w:tcPr>
          <w:p w14:paraId="7AFB3082" w14:textId="77777777" w:rsidR="00B32CF3" w:rsidRDefault="009B2FDA">
            <w:pPr>
              <w:jc w:val="center"/>
            </w:pPr>
            <w:r>
              <w:rPr>
                <w:rFonts w:eastAsiaTheme="minorEastAsia"/>
                <w:color w:val="000000" w:themeColor="text1"/>
                <w:szCs w:val="21"/>
              </w:rPr>
              <w:lastRenderedPageBreak/>
              <w:t>12</w:t>
            </w:r>
            <w:r>
              <w:rPr>
                <w:rFonts w:eastAsiaTheme="minorEastAsia"/>
                <w:color w:val="000000" w:themeColor="text1"/>
                <w:szCs w:val="21"/>
              </w:rPr>
              <w:lastRenderedPageBreak/>
              <w:t>年</w:t>
            </w:r>
          </w:p>
        </w:tc>
        <w:tc>
          <w:tcPr>
            <w:tcW w:w="0" w:type="auto"/>
            <w:vAlign w:val="center"/>
          </w:tcPr>
          <w:p w14:paraId="1180D614" w14:textId="77777777" w:rsidR="00B32CF3" w:rsidRDefault="009B2FDA">
            <w:pPr>
              <w:jc w:val="left"/>
            </w:pPr>
            <w:r>
              <w:rPr>
                <w:rFonts w:eastAsiaTheme="minorEastAsia"/>
                <w:color w:val="000000" w:themeColor="text1"/>
                <w:szCs w:val="21"/>
              </w:rPr>
              <w:lastRenderedPageBreak/>
              <w:t xml:space="preserve">Harold Yu, </w:t>
            </w:r>
            <w:r>
              <w:rPr>
                <w:rFonts w:eastAsiaTheme="minorEastAsia"/>
                <w:color w:val="000000" w:themeColor="text1"/>
                <w:szCs w:val="21"/>
              </w:rPr>
              <w:t>特许金融分析师，执行董事，是一位基</w:t>
            </w:r>
            <w:r>
              <w:rPr>
                <w:rFonts w:eastAsiaTheme="minorEastAsia"/>
                <w:color w:val="000000" w:themeColor="text1"/>
                <w:szCs w:val="21"/>
              </w:rPr>
              <w:lastRenderedPageBreak/>
              <w:t>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14:paraId="4A917925" w14:textId="77777777"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14:paraId="49E14EBE"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14:paraId="6396A1BE" w14:textId="7852F468" w:rsidR="00363E15" w:rsidRPr="00A76A42" w:rsidRDefault="00BA0E84" w:rsidP="00797DD2">
      <w:pPr>
        <w:spacing w:line="360" w:lineRule="auto"/>
        <w:ind w:firstLineChars="200" w:firstLine="420"/>
        <w:rPr>
          <w:rFonts w:eastAsiaTheme="minorEastAsia"/>
          <w:color w:val="000000" w:themeColor="text1"/>
          <w:szCs w:val="21"/>
        </w:rPr>
      </w:pPr>
      <w:r w:rsidRPr="00BA0E84">
        <w:rPr>
          <w:rFonts w:eastAsiaTheme="minorEastAsia" w:hint="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24C7E43F"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238BFFC8"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14:paraId="4CE06CA7"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14:paraId="58B52A11"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91BC17E"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8DAC727" w14:textId="77777777"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C170ED6"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14:paraId="1BA128B2"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14:paraId="10A2FF5F" w14:textId="77777777"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14:paraId="582B96A8"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1B3F9F3F"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14:paraId="72CD0328"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报告期内全球新兴市场股指持续上涨，主要得益于人工智能驱动的科技股上涨（中国台湾、韩国）以及南非和印度大选后的强劲表现。涨幅领先的市场包括土耳其、中国台湾和南非等，领先的行业有</w:t>
      </w:r>
      <w:r>
        <w:rPr>
          <w:rFonts w:eastAsiaTheme="minorEastAsia"/>
          <w:color w:val="000000" w:themeColor="text1"/>
          <w:szCs w:val="21"/>
        </w:rPr>
        <w:t>IT</w:t>
      </w:r>
      <w:r>
        <w:rPr>
          <w:rFonts w:eastAsiaTheme="minorEastAsia"/>
          <w:color w:val="000000" w:themeColor="text1"/>
          <w:szCs w:val="21"/>
        </w:rPr>
        <w:t>、通信服务和公用事业等。</w:t>
      </w:r>
    </w:p>
    <w:p w14:paraId="3DFF1C7A"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年后，一系列挑战将开始显现</w:t>
      </w:r>
      <w:r>
        <w:rPr>
          <w:rFonts w:eastAsiaTheme="minorEastAsia"/>
          <w:color w:val="000000" w:themeColor="text1"/>
          <w:szCs w:val="21"/>
        </w:rPr>
        <w:t>——</w:t>
      </w:r>
      <w:r>
        <w:rPr>
          <w:rFonts w:eastAsiaTheme="minorEastAsia"/>
          <w:color w:val="000000" w:themeColor="text1"/>
          <w:szCs w:val="21"/>
        </w:rPr>
        <w:t>包括全球经济增长放缓、外部金融环境收紧、美元走强、政策立场变动、部分新兴市场国家政治和地缘政治的不确定性等。</w:t>
      </w:r>
    </w:p>
    <w:p w14:paraId="7EF45367"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在新兴市场宏观风险改善的背景下，市场预计新兴市场与发达市场的</w:t>
      </w:r>
      <w:r>
        <w:rPr>
          <w:rFonts w:eastAsiaTheme="minorEastAsia"/>
          <w:color w:val="000000" w:themeColor="text1"/>
          <w:szCs w:val="21"/>
        </w:rPr>
        <w:t xml:space="preserve"> GDP </w:t>
      </w:r>
      <w:r>
        <w:rPr>
          <w:rFonts w:eastAsiaTheme="minorEastAsia"/>
          <w:color w:val="000000" w:themeColor="text1"/>
          <w:szCs w:val="21"/>
        </w:rPr>
        <w:t>增长差距有望在</w:t>
      </w:r>
      <w:r>
        <w:rPr>
          <w:rFonts w:eastAsiaTheme="minorEastAsia"/>
          <w:color w:val="000000" w:themeColor="text1"/>
          <w:szCs w:val="21"/>
        </w:rPr>
        <w:t xml:space="preserve"> 2024 </w:t>
      </w:r>
      <w:r>
        <w:rPr>
          <w:rFonts w:eastAsiaTheme="minorEastAsia"/>
          <w:color w:val="000000" w:themeColor="text1"/>
          <w:szCs w:val="21"/>
        </w:rPr>
        <w:t>年达到</w:t>
      </w:r>
      <w:r>
        <w:rPr>
          <w:rFonts w:eastAsiaTheme="minorEastAsia"/>
          <w:color w:val="000000" w:themeColor="text1"/>
          <w:szCs w:val="21"/>
        </w:rPr>
        <w:t xml:space="preserve"> 2.7%</w:t>
      </w:r>
      <w:r>
        <w:rPr>
          <w:rFonts w:eastAsiaTheme="minorEastAsia"/>
          <w:color w:val="000000" w:themeColor="text1"/>
          <w:szCs w:val="21"/>
        </w:rPr>
        <w:t>，高于</w:t>
      </w:r>
      <w:r>
        <w:rPr>
          <w:rFonts w:eastAsiaTheme="minorEastAsia"/>
          <w:color w:val="000000" w:themeColor="text1"/>
          <w:szCs w:val="21"/>
        </w:rPr>
        <w:t xml:space="preserve"> 2023 </w:t>
      </w:r>
      <w:r>
        <w:rPr>
          <w:rFonts w:eastAsiaTheme="minorEastAsia"/>
          <w:color w:val="000000" w:themeColor="text1"/>
          <w:szCs w:val="21"/>
        </w:rPr>
        <w:t>年的</w:t>
      </w:r>
      <w:r>
        <w:rPr>
          <w:rFonts w:eastAsiaTheme="minorEastAsia"/>
          <w:color w:val="000000" w:themeColor="text1"/>
          <w:szCs w:val="21"/>
        </w:rPr>
        <w:t xml:space="preserve"> 0.6%</w:t>
      </w:r>
      <w:r>
        <w:rPr>
          <w:rFonts w:eastAsiaTheme="minorEastAsia"/>
          <w:color w:val="000000" w:themeColor="text1"/>
          <w:szCs w:val="21"/>
        </w:rPr>
        <w:t>；而当前全球投资人在新兴市场股票的配置约为</w:t>
      </w:r>
      <w:r>
        <w:rPr>
          <w:rFonts w:eastAsiaTheme="minorEastAsia"/>
          <w:color w:val="000000" w:themeColor="text1"/>
          <w:szCs w:val="21"/>
        </w:rPr>
        <w:t xml:space="preserve">5.2% </w:t>
      </w:r>
      <w:r>
        <w:rPr>
          <w:rFonts w:eastAsiaTheme="minorEastAsia"/>
          <w:color w:val="000000" w:themeColor="text1"/>
          <w:szCs w:val="21"/>
        </w:rPr>
        <w:t>，这一配置比率的</w:t>
      </w:r>
      <w:r>
        <w:rPr>
          <w:rFonts w:eastAsiaTheme="minorEastAsia"/>
          <w:color w:val="000000" w:themeColor="text1"/>
          <w:szCs w:val="21"/>
        </w:rPr>
        <w:t xml:space="preserve"> 20 </w:t>
      </w:r>
      <w:r>
        <w:rPr>
          <w:rFonts w:eastAsiaTheme="minorEastAsia"/>
          <w:color w:val="000000" w:themeColor="text1"/>
          <w:szCs w:val="21"/>
        </w:rPr>
        <w:t>年平均值在</w:t>
      </w:r>
      <w:r>
        <w:rPr>
          <w:rFonts w:eastAsiaTheme="minorEastAsia"/>
          <w:color w:val="000000" w:themeColor="text1"/>
          <w:szCs w:val="21"/>
        </w:rPr>
        <w:t xml:space="preserve"> 8.4% </w:t>
      </w:r>
      <w:r>
        <w:rPr>
          <w:rFonts w:eastAsiaTheme="minorEastAsia"/>
          <w:color w:val="000000" w:themeColor="text1"/>
          <w:szCs w:val="21"/>
        </w:rPr>
        <w:t>的水平，如果全球投资人开始增配新兴市场股票到</w:t>
      </w:r>
      <w:r>
        <w:rPr>
          <w:rFonts w:eastAsiaTheme="minorEastAsia"/>
          <w:color w:val="000000" w:themeColor="text1"/>
          <w:szCs w:val="21"/>
        </w:rPr>
        <w:t>8.4%</w:t>
      </w:r>
      <w:r>
        <w:rPr>
          <w:rFonts w:eastAsiaTheme="minorEastAsia"/>
          <w:color w:val="000000" w:themeColor="text1"/>
          <w:szCs w:val="21"/>
        </w:rPr>
        <w:t>的平均水平，将有机会新增约</w:t>
      </w:r>
      <w:r>
        <w:rPr>
          <w:rFonts w:eastAsiaTheme="minorEastAsia"/>
          <w:color w:val="000000" w:themeColor="text1"/>
          <w:szCs w:val="21"/>
        </w:rPr>
        <w:t xml:space="preserve"> 9920 </w:t>
      </w:r>
      <w:r>
        <w:rPr>
          <w:rFonts w:eastAsiaTheme="minorEastAsia"/>
          <w:color w:val="000000" w:themeColor="text1"/>
          <w:szCs w:val="21"/>
        </w:rPr>
        <w:t>亿美元的资金流入，或约占当前新兴市场总资产规模的</w:t>
      </w:r>
      <w:r>
        <w:rPr>
          <w:rFonts w:eastAsiaTheme="minorEastAsia"/>
          <w:color w:val="000000" w:themeColor="text1"/>
          <w:szCs w:val="21"/>
        </w:rPr>
        <w:t xml:space="preserve"> 62%</w:t>
      </w:r>
      <w:r>
        <w:rPr>
          <w:rFonts w:eastAsiaTheme="minorEastAsia"/>
          <w:color w:val="000000" w:themeColor="text1"/>
          <w:szCs w:val="21"/>
        </w:rPr>
        <w:t>。我们认为增配新兴市场股票有基本面支持，如估值具吸引力</w:t>
      </w:r>
      <w:r>
        <w:rPr>
          <w:rFonts w:eastAsiaTheme="minorEastAsia"/>
          <w:color w:val="000000" w:themeColor="text1"/>
          <w:szCs w:val="21"/>
        </w:rPr>
        <w:t>——</w:t>
      </w:r>
      <w:r>
        <w:rPr>
          <w:rFonts w:eastAsiaTheme="minorEastAsia"/>
          <w:color w:val="000000" w:themeColor="text1"/>
          <w:szCs w:val="21"/>
        </w:rPr>
        <w:t>当前，新兴市场较发达市场的预期市盈率折价</w:t>
      </w:r>
      <w:r>
        <w:rPr>
          <w:rFonts w:eastAsiaTheme="minorEastAsia"/>
          <w:color w:val="000000" w:themeColor="text1"/>
          <w:szCs w:val="21"/>
        </w:rPr>
        <w:t>34%</w:t>
      </w:r>
      <w:r>
        <w:rPr>
          <w:rFonts w:eastAsiaTheme="minorEastAsia"/>
          <w:color w:val="000000" w:themeColor="text1"/>
          <w:szCs w:val="21"/>
        </w:rPr>
        <w:t>，而历史平均折价率为</w:t>
      </w:r>
      <w:r>
        <w:rPr>
          <w:rFonts w:eastAsiaTheme="minorEastAsia"/>
          <w:color w:val="000000" w:themeColor="text1"/>
          <w:szCs w:val="21"/>
        </w:rPr>
        <w:t>24%</w:t>
      </w:r>
      <w:r>
        <w:rPr>
          <w:rFonts w:eastAsiaTheme="minorEastAsia"/>
          <w:color w:val="000000" w:themeColor="text1"/>
          <w:szCs w:val="21"/>
        </w:rPr>
        <w:t>；市净率折价</w:t>
      </w:r>
      <w:r>
        <w:rPr>
          <w:rFonts w:eastAsiaTheme="minorEastAsia"/>
          <w:color w:val="000000" w:themeColor="text1"/>
          <w:szCs w:val="21"/>
        </w:rPr>
        <w:t>48%</w:t>
      </w:r>
      <w:r>
        <w:rPr>
          <w:rFonts w:eastAsiaTheme="minorEastAsia"/>
          <w:color w:val="000000" w:themeColor="text1"/>
          <w:szCs w:val="21"/>
        </w:rPr>
        <w:t>，而历史平均折价率为</w:t>
      </w:r>
      <w:r>
        <w:rPr>
          <w:rFonts w:eastAsiaTheme="minorEastAsia"/>
          <w:color w:val="000000" w:themeColor="text1"/>
          <w:szCs w:val="21"/>
        </w:rPr>
        <w:t xml:space="preserve"> 24%</w:t>
      </w:r>
      <w:r>
        <w:rPr>
          <w:rFonts w:eastAsiaTheme="minorEastAsia"/>
          <w:color w:val="000000" w:themeColor="text1"/>
          <w:szCs w:val="21"/>
        </w:rPr>
        <w:t>。</w:t>
      </w:r>
    </w:p>
    <w:p w14:paraId="7E308383" w14:textId="77777777" w:rsidR="00B32CF3" w:rsidRDefault="00B32CF3">
      <w:pPr>
        <w:spacing w:line="360" w:lineRule="auto"/>
        <w:ind w:firstLineChars="200" w:firstLine="420"/>
        <w:rPr>
          <w:rFonts w:eastAsiaTheme="minorEastAsia"/>
          <w:color w:val="000000" w:themeColor="text1"/>
          <w:szCs w:val="21"/>
        </w:rPr>
      </w:pPr>
    </w:p>
    <w:p w14:paraId="2632246A" w14:textId="77777777"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:6.86%</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:4.59%</w:t>
      </w:r>
      <w:r w:rsidRPr="00A76A42">
        <w:rPr>
          <w:rFonts w:eastAsiaTheme="minorEastAsia"/>
          <w:color w:val="000000" w:themeColor="text1"/>
          <w:szCs w:val="21"/>
        </w:rPr>
        <w:t>。</w:t>
      </w:r>
    </w:p>
    <w:p w14:paraId="6CABB8AB" w14:textId="77777777"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14:paraId="12D860E0" w14:textId="77777777"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14:paraId="12092275"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14:paraId="037B9502"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14:paraId="5752D398" w14:textId="77777777" w:rsidTr="00592EFF">
        <w:tc>
          <w:tcPr>
            <w:tcW w:w="851" w:type="dxa"/>
            <w:shd w:val="clear" w:color="auto" w:fill="auto"/>
            <w:vAlign w:val="center"/>
          </w:tcPr>
          <w:p w14:paraId="3710318A"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14:paraId="03493D60"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14:paraId="2BC42EDE"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14:paraId="2046CDD3"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14:paraId="68BFC6FB" w14:textId="77777777" w:rsidTr="00877D98">
        <w:tc>
          <w:tcPr>
            <w:tcW w:w="851" w:type="dxa"/>
            <w:shd w:val="clear" w:color="auto" w:fill="auto"/>
            <w:vAlign w:val="center"/>
          </w:tcPr>
          <w:p w14:paraId="1F8C540C"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14:paraId="6581246D"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14:paraId="265F6229"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63,074,891.49</w:t>
            </w:r>
          </w:p>
        </w:tc>
        <w:tc>
          <w:tcPr>
            <w:tcW w:w="1559" w:type="dxa"/>
            <w:shd w:val="clear" w:color="auto" w:fill="auto"/>
            <w:vAlign w:val="center"/>
          </w:tcPr>
          <w:p w14:paraId="34457C56"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87.57</w:t>
            </w:r>
          </w:p>
        </w:tc>
      </w:tr>
      <w:tr w:rsidR="008277FF" w:rsidRPr="00A76A42" w14:paraId="44AB3811" w14:textId="77777777" w:rsidTr="00877D98">
        <w:tc>
          <w:tcPr>
            <w:tcW w:w="851" w:type="dxa"/>
            <w:shd w:val="clear" w:color="auto" w:fill="auto"/>
            <w:vAlign w:val="center"/>
          </w:tcPr>
          <w:p w14:paraId="20417FED" w14:textId="77777777"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BD55A6D"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14:paraId="12FACB56" w14:textId="1034E723" w:rsidR="00363E15" w:rsidRPr="00A76A42" w:rsidRDefault="009B2FDA" w:rsidP="00BF1DD5">
            <w:pPr>
              <w:spacing w:before="29" w:line="360" w:lineRule="auto"/>
              <w:ind w:left="17"/>
              <w:jc w:val="right"/>
              <w:rPr>
                <w:rFonts w:eastAsiaTheme="minorEastAsia"/>
                <w:color w:val="000000" w:themeColor="text1"/>
                <w:szCs w:val="21"/>
              </w:rPr>
            </w:pPr>
            <w:r w:rsidRPr="009B2FDA">
              <w:rPr>
                <w:rFonts w:eastAsiaTheme="minorEastAsia"/>
                <w:color w:val="000000" w:themeColor="text1"/>
                <w:szCs w:val="21"/>
              </w:rPr>
              <w:t>44</w:t>
            </w:r>
            <w:r>
              <w:rPr>
                <w:rFonts w:eastAsiaTheme="minorEastAsia"/>
                <w:color w:val="000000" w:themeColor="text1"/>
                <w:szCs w:val="21"/>
              </w:rPr>
              <w:t>,</w:t>
            </w:r>
            <w:r w:rsidRPr="009B2FDA">
              <w:rPr>
                <w:rFonts w:eastAsiaTheme="minorEastAsia"/>
                <w:color w:val="000000" w:themeColor="text1"/>
                <w:szCs w:val="21"/>
              </w:rPr>
              <w:t>955</w:t>
            </w:r>
            <w:r>
              <w:rPr>
                <w:rFonts w:eastAsiaTheme="minorEastAsia"/>
                <w:color w:val="000000" w:themeColor="text1"/>
                <w:szCs w:val="21"/>
              </w:rPr>
              <w:t>,</w:t>
            </w:r>
            <w:r w:rsidRPr="009B2FDA">
              <w:rPr>
                <w:rFonts w:eastAsiaTheme="minorEastAsia"/>
                <w:color w:val="000000" w:themeColor="text1"/>
                <w:szCs w:val="21"/>
              </w:rPr>
              <w:t>246.50</w:t>
            </w:r>
          </w:p>
        </w:tc>
        <w:tc>
          <w:tcPr>
            <w:tcW w:w="1559" w:type="dxa"/>
            <w:shd w:val="clear" w:color="auto" w:fill="auto"/>
            <w:vAlign w:val="center"/>
          </w:tcPr>
          <w:p w14:paraId="3A575D83" w14:textId="07395B56" w:rsidR="00363E15" w:rsidRPr="00A76A42" w:rsidRDefault="009B2FDA"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62.41</w:t>
            </w:r>
          </w:p>
        </w:tc>
      </w:tr>
      <w:tr w:rsidR="008277FF" w:rsidRPr="00A76A42" w14:paraId="7D05F746" w14:textId="77777777" w:rsidTr="00877D98">
        <w:tc>
          <w:tcPr>
            <w:tcW w:w="851" w:type="dxa"/>
            <w:shd w:val="clear" w:color="auto" w:fill="auto"/>
            <w:vAlign w:val="center"/>
          </w:tcPr>
          <w:p w14:paraId="7792B6F8"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2823D48" w14:textId="77777777"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14:paraId="6975D04A"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18,119,644.99</w:t>
            </w:r>
          </w:p>
        </w:tc>
        <w:tc>
          <w:tcPr>
            <w:tcW w:w="1559" w:type="dxa"/>
            <w:shd w:val="clear" w:color="auto" w:fill="auto"/>
            <w:vAlign w:val="center"/>
          </w:tcPr>
          <w:p w14:paraId="67C49E9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25.16</w:t>
            </w:r>
          </w:p>
        </w:tc>
      </w:tr>
      <w:tr w:rsidR="008277FF" w:rsidRPr="00A76A42" w14:paraId="180E67F1" w14:textId="77777777" w:rsidTr="00877D98">
        <w:tc>
          <w:tcPr>
            <w:tcW w:w="851" w:type="dxa"/>
            <w:shd w:val="clear" w:color="auto" w:fill="auto"/>
            <w:vAlign w:val="center"/>
          </w:tcPr>
          <w:p w14:paraId="68EC3D80"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A00481E"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14:paraId="07DB80F7"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0AEF43F3"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CE7EA76" w14:textId="77777777" w:rsidTr="00877D98">
        <w:tc>
          <w:tcPr>
            <w:tcW w:w="851" w:type="dxa"/>
            <w:shd w:val="clear" w:color="auto" w:fill="auto"/>
            <w:vAlign w:val="center"/>
          </w:tcPr>
          <w:p w14:paraId="7BB657E6"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D56FA1C"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14:paraId="2CC5B8D9"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38512AE8"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3D5068A" w14:textId="77777777" w:rsidTr="00877D98">
        <w:tc>
          <w:tcPr>
            <w:tcW w:w="851" w:type="dxa"/>
            <w:shd w:val="clear" w:color="auto" w:fill="auto"/>
            <w:vAlign w:val="center"/>
          </w:tcPr>
          <w:p w14:paraId="081A8517"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14:paraId="7C707D1F"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14:paraId="027D1031"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2E2DA15"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79D65FE" w14:textId="77777777" w:rsidTr="00877D98">
        <w:tc>
          <w:tcPr>
            <w:tcW w:w="851" w:type="dxa"/>
            <w:shd w:val="clear" w:color="auto" w:fill="auto"/>
            <w:vAlign w:val="center"/>
          </w:tcPr>
          <w:p w14:paraId="3E689B5F"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14:paraId="4E1D710A"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14:paraId="5A866B31"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1CB197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6F17A7C" w14:textId="77777777" w:rsidTr="00877D98">
        <w:tc>
          <w:tcPr>
            <w:tcW w:w="851" w:type="dxa"/>
            <w:shd w:val="clear" w:color="auto" w:fill="auto"/>
            <w:vAlign w:val="center"/>
          </w:tcPr>
          <w:p w14:paraId="0C5E80BE"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07DA6BB"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14:paraId="0F722622"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92DA3C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B2F227F" w14:textId="77777777" w:rsidTr="00877D98">
        <w:tc>
          <w:tcPr>
            <w:tcW w:w="851" w:type="dxa"/>
            <w:shd w:val="clear" w:color="auto" w:fill="auto"/>
            <w:vAlign w:val="center"/>
          </w:tcPr>
          <w:p w14:paraId="08F4DBCA"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4A087B6" w14:textId="77777777"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14:paraId="0D8314D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8C3D0D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5A5B8ED" w14:textId="77777777" w:rsidTr="00877D98">
        <w:tc>
          <w:tcPr>
            <w:tcW w:w="851" w:type="dxa"/>
            <w:shd w:val="clear" w:color="auto" w:fill="auto"/>
            <w:vAlign w:val="center"/>
          </w:tcPr>
          <w:p w14:paraId="2A4B0EB9"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14:paraId="1C80859C"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14:paraId="09926035"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F817D0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F1E9EAD" w14:textId="77777777" w:rsidTr="00877D98">
        <w:tc>
          <w:tcPr>
            <w:tcW w:w="851" w:type="dxa"/>
            <w:shd w:val="clear" w:color="auto" w:fill="auto"/>
            <w:vAlign w:val="center"/>
          </w:tcPr>
          <w:p w14:paraId="31B437F6"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9D3A65E"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14:paraId="77A2415B"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6B23EC4"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74E6880" w14:textId="77777777" w:rsidTr="00877D98">
        <w:tc>
          <w:tcPr>
            <w:tcW w:w="851" w:type="dxa"/>
            <w:shd w:val="clear" w:color="auto" w:fill="auto"/>
            <w:vAlign w:val="center"/>
          </w:tcPr>
          <w:p w14:paraId="74BA1289"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165FABF" w14:textId="77777777"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14:paraId="6051374B"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6C32425"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F88919E" w14:textId="77777777" w:rsidTr="00877D98">
        <w:tc>
          <w:tcPr>
            <w:tcW w:w="851" w:type="dxa"/>
            <w:shd w:val="clear" w:color="auto" w:fill="auto"/>
            <w:vAlign w:val="center"/>
          </w:tcPr>
          <w:p w14:paraId="060BADCD"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91746E6" w14:textId="77777777"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14:paraId="5D07AC96"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0A74D7D4"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6C48025" w14:textId="77777777" w:rsidTr="00877D98">
        <w:tc>
          <w:tcPr>
            <w:tcW w:w="851" w:type="dxa"/>
            <w:shd w:val="clear" w:color="auto" w:fill="auto"/>
            <w:vAlign w:val="center"/>
          </w:tcPr>
          <w:p w14:paraId="75473DAD"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9160989" w14:textId="77777777"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14:paraId="6D78B7FD"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B376257"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141382C" w14:textId="77777777" w:rsidTr="00877D98">
        <w:tc>
          <w:tcPr>
            <w:tcW w:w="851" w:type="dxa"/>
            <w:shd w:val="clear" w:color="auto" w:fill="auto"/>
            <w:vAlign w:val="center"/>
          </w:tcPr>
          <w:p w14:paraId="5B74CB6E"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14:paraId="2AAD1972"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14:paraId="4DB60620"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5B15E00D"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4C932E9" w14:textId="77777777" w:rsidTr="00877D98">
        <w:tc>
          <w:tcPr>
            <w:tcW w:w="851" w:type="dxa"/>
            <w:shd w:val="clear" w:color="auto" w:fill="auto"/>
            <w:vAlign w:val="center"/>
          </w:tcPr>
          <w:p w14:paraId="6E14EDF0"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3F8F711"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14:paraId="712B09C9"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B23503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2AEB893" w14:textId="77777777" w:rsidTr="00877D98">
        <w:tc>
          <w:tcPr>
            <w:tcW w:w="851" w:type="dxa"/>
            <w:shd w:val="clear" w:color="auto" w:fill="auto"/>
            <w:vAlign w:val="center"/>
          </w:tcPr>
          <w:p w14:paraId="25B2E1D3"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14:paraId="5A8E1293"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14:paraId="176B70B7"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0FCFD1C2"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0506AE0" w14:textId="77777777" w:rsidTr="00877D98">
        <w:tc>
          <w:tcPr>
            <w:tcW w:w="851" w:type="dxa"/>
            <w:shd w:val="clear" w:color="auto" w:fill="auto"/>
            <w:vAlign w:val="center"/>
          </w:tcPr>
          <w:p w14:paraId="73EBA29C"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14:paraId="31CA3841"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14:paraId="35DCD99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8,219,466.50</w:t>
            </w:r>
          </w:p>
        </w:tc>
        <w:tc>
          <w:tcPr>
            <w:tcW w:w="1559" w:type="dxa"/>
            <w:shd w:val="clear" w:color="auto" w:fill="auto"/>
            <w:vAlign w:val="center"/>
          </w:tcPr>
          <w:p w14:paraId="7493AC9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11.41</w:t>
            </w:r>
          </w:p>
        </w:tc>
      </w:tr>
      <w:tr w:rsidR="008277FF" w:rsidRPr="00A76A42" w14:paraId="29B7179E" w14:textId="77777777" w:rsidTr="00797DD2">
        <w:tc>
          <w:tcPr>
            <w:tcW w:w="851" w:type="dxa"/>
            <w:shd w:val="clear" w:color="auto" w:fill="auto"/>
            <w:vAlign w:val="center"/>
          </w:tcPr>
          <w:p w14:paraId="08210DBD"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14:paraId="7718B086"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14:paraId="0938EC9C"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733,029.72</w:t>
            </w:r>
          </w:p>
        </w:tc>
        <w:tc>
          <w:tcPr>
            <w:tcW w:w="1559" w:type="dxa"/>
            <w:shd w:val="clear" w:color="auto" w:fill="auto"/>
            <w:vAlign w:val="center"/>
          </w:tcPr>
          <w:p w14:paraId="67D9CDBF"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1.02</w:t>
            </w:r>
          </w:p>
        </w:tc>
      </w:tr>
      <w:tr w:rsidR="008277FF" w:rsidRPr="00A76A42" w14:paraId="526016E2" w14:textId="77777777" w:rsidTr="00797DD2">
        <w:tc>
          <w:tcPr>
            <w:tcW w:w="851" w:type="dxa"/>
            <w:shd w:val="clear" w:color="auto" w:fill="auto"/>
            <w:vAlign w:val="center"/>
          </w:tcPr>
          <w:p w14:paraId="7011CC35"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14:paraId="75D3F5DA"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14:paraId="5F8B9BE9"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72,027,387.71</w:t>
            </w:r>
          </w:p>
        </w:tc>
        <w:tc>
          <w:tcPr>
            <w:tcW w:w="1559" w:type="dxa"/>
            <w:shd w:val="clear" w:color="auto" w:fill="auto"/>
            <w:vAlign w:val="center"/>
          </w:tcPr>
          <w:p w14:paraId="09E93342"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14:paraId="4B5AC6E0" w14:textId="77777777"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13,414,122.97</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18.89%</w:t>
      </w:r>
      <w:r w:rsidRPr="00A76A42">
        <w:rPr>
          <w:rFonts w:eastAsiaTheme="minorEastAsia"/>
          <w:color w:val="000000" w:themeColor="text1"/>
          <w:szCs w:val="21"/>
        </w:rPr>
        <w:t>。</w:t>
      </w:r>
      <w:bookmarkStart w:id="2" w:name="_Toc351577071"/>
    </w:p>
    <w:bookmarkEnd w:id="2"/>
    <w:p w14:paraId="748C52FE" w14:textId="77777777"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14:paraId="4658CF63" w14:textId="77777777"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14:paraId="79558FE3" w14:textId="77777777" w:rsidTr="002C042C">
        <w:trPr>
          <w:jc w:val="center"/>
        </w:trPr>
        <w:tc>
          <w:tcPr>
            <w:tcW w:w="2410" w:type="dxa"/>
            <w:vAlign w:val="center"/>
          </w:tcPr>
          <w:p w14:paraId="5818DF35"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14:paraId="4D37D0B7"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14:paraId="714EDBDD"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B32CF3" w14:paraId="024E57E4" w14:textId="77777777">
        <w:trPr>
          <w:jc w:val="center"/>
        </w:trPr>
        <w:tc>
          <w:tcPr>
            <w:tcW w:w="2410" w:type="dxa"/>
            <w:vAlign w:val="center"/>
          </w:tcPr>
          <w:p w14:paraId="627DF92A" w14:textId="77777777" w:rsidR="00B32CF3" w:rsidRDefault="009B2FDA">
            <w:pPr>
              <w:jc w:val="left"/>
            </w:pPr>
            <w:r>
              <w:rPr>
                <w:rFonts w:eastAsiaTheme="minorEastAsia"/>
                <w:color w:val="000000" w:themeColor="text1"/>
                <w:szCs w:val="21"/>
              </w:rPr>
              <w:t>中国香港</w:t>
            </w:r>
          </w:p>
        </w:tc>
        <w:tc>
          <w:tcPr>
            <w:tcW w:w="3118" w:type="dxa"/>
            <w:vAlign w:val="center"/>
          </w:tcPr>
          <w:p w14:paraId="15CCAA49" w14:textId="77777777" w:rsidR="00B32CF3" w:rsidRDefault="009B2FDA">
            <w:pPr>
              <w:jc w:val="right"/>
            </w:pPr>
            <w:r>
              <w:rPr>
                <w:rFonts w:eastAsiaTheme="minorEastAsia"/>
                <w:color w:val="000000" w:themeColor="text1"/>
                <w:szCs w:val="21"/>
              </w:rPr>
              <w:t>17,074,647.68</w:t>
            </w:r>
          </w:p>
        </w:tc>
        <w:tc>
          <w:tcPr>
            <w:tcW w:w="3076" w:type="dxa"/>
            <w:vAlign w:val="center"/>
          </w:tcPr>
          <w:p w14:paraId="67AD66D1" w14:textId="77777777" w:rsidR="00B32CF3" w:rsidRDefault="009B2FDA">
            <w:pPr>
              <w:jc w:val="right"/>
            </w:pPr>
            <w:r>
              <w:rPr>
                <w:rFonts w:eastAsiaTheme="minorEastAsia"/>
                <w:color w:val="000000" w:themeColor="text1"/>
                <w:szCs w:val="21"/>
              </w:rPr>
              <w:t>24.04</w:t>
            </w:r>
          </w:p>
        </w:tc>
      </w:tr>
      <w:tr w:rsidR="00B32CF3" w14:paraId="61F3FE6B" w14:textId="77777777">
        <w:trPr>
          <w:jc w:val="center"/>
        </w:trPr>
        <w:tc>
          <w:tcPr>
            <w:tcW w:w="2410" w:type="dxa"/>
            <w:vAlign w:val="center"/>
          </w:tcPr>
          <w:p w14:paraId="128E71E4" w14:textId="77777777" w:rsidR="00B32CF3" w:rsidRDefault="009B2FDA">
            <w:pPr>
              <w:jc w:val="left"/>
            </w:pPr>
            <w:r>
              <w:rPr>
                <w:rFonts w:eastAsiaTheme="minorEastAsia"/>
                <w:color w:val="000000" w:themeColor="text1"/>
                <w:szCs w:val="21"/>
              </w:rPr>
              <w:t>美国</w:t>
            </w:r>
          </w:p>
        </w:tc>
        <w:tc>
          <w:tcPr>
            <w:tcW w:w="3118" w:type="dxa"/>
            <w:vAlign w:val="center"/>
          </w:tcPr>
          <w:p w14:paraId="7DB3E3CF" w14:textId="77777777" w:rsidR="00B32CF3" w:rsidRDefault="009B2FDA">
            <w:pPr>
              <w:jc w:val="right"/>
            </w:pPr>
            <w:r>
              <w:rPr>
                <w:rFonts w:eastAsiaTheme="minorEastAsia"/>
                <w:color w:val="000000" w:themeColor="text1"/>
                <w:szCs w:val="21"/>
              </w:rPr>
              <w:t>15,069,115.45</w:t>
            </w:r>
          </w:p>
        </w:tc>
        <w:tc>
          <w:tcPr>
            <w:tcW w:w="3076" w:type="dxa"/>
            <w:vAlign w:val="center"/>
          </w:tcPr>
          <w:p w14:paraId="793784F1" w14:textId="77777777" w:rsidR="00B32CF3" w:rsidRDefault="009B2FDA">
            <w:pPr>
              <w:jc w:val="right"/>
            </w:pPr>
            <w:r>
              <w:rPr>
                <w:rFonts w:eastAsiaTheme="minorEastAsia"/>
                <w:color w:val="000000" w:themeColor="text1"/>
                <w:szCs w:val="21"/>
              </w:rPr>
              <w:t>21.22</w:t>
            </w:r>
          </w:p>
        </w:tc>
      </w:tr>
      <w:tr w:rsidR="00B32CF3" w14:paraId="518EB744" w14:textId="77777777">
        <w:trPr>
          <w:jc w:val="center"/>
        </w:trPr>
        <w:tc>
          <w:tcPr>
            <w:tcW w:w="2410" w:type="dxa"/>
            <w:vAlign w:val="center"/>
          </w:tcPr>
          <w:p w14:paraId="68744C39" w14:textId="77777777" w:rsidR="00B32CF3" w:rsidRDefault="009B2FDA">
            <w:pPr>
              <w:jc w:val="left"/>
            </w:pPr>
            <w:r>
              <w:rPr>
                <w:rFonts w:eastAsiaTheme="minorEastAsia"/>
                <w:color w:val="000000" w:themeColor="text1"/>
                <w:szCs w:val="21"/>
              </w:rPr>
              <w:t>韩国</w:t>
            </w:r>
          </w:p>
        </w:tc>
        <w:tc>
          <w:tcPr>
            <w:tcW w:w="3118" w:type="dxa"/>
            <w:vAlign w:val="center"/>
          </w:tcPr>
          <w:p w14:paraId="509D227D" w14:textId="77777777" w:rsidR="00B32CF3" w:rsidRDefault="009B2FDA">
            <w:pPr>
              <w:jc w:val="right"/>
            </w:pPr>
            <w:r>
              <w:rPr>
                <w:rFonts w:eastAsiaTheme="minorEastAsia"/>
                <w:color w:val="000000" w:themeColor="text1"/>
                <w:szCs w:val="21"/>
              </w:rPr>
              <w:t>11,408,780.51</w:t>
            </w:r>
          </w:p>
        </w:tc>
        <w:tc>
          <w:tcPr>
            <w:tcW w:w="3076" w:type="dxa"/>
            <w:vAlign w:val="center"/>
          </w:tcPr>
          <w:p w14:paraId="3740F1F3" w14:textId="77777777" w:rsidR="00B32CF3" w:rsidRDefault="009B2FDA">
            <w:pPr>
              <w:jc w:val="right"/>
            </w:pPr>
            <w:r>
              <w:rPr>
                <w:rFonts w:eastAsiaTheme="minorEastAsia"/>
                <w:color w:val="000000" w:themeColor="text1"/>
                <w:szCs w:val="21"/>
              </w:rPr>
              <w:t>16.06</w:t>
            </w:r>
          </w:p>
        </w:tc>
      </w:tr>
      <w:tr w:rsidR="00B32CF3" w14:paraId="400DDBE3" w14:textId="77777777">
        <w:trPr>
          <w:jc w:val="center"/>
        </w:trPr>
        <w:tc>
          <w:tcPr>
            <w:tcW w:w="2410" w:type="dxa"/>
            <w:vAlign w:val="center"/>
          </w:tcPr>
          <w:p w14:paraId="6B198A2F" w14:textId="77777777" w:rsidR="00B32CF3" w:rsidRDefault="009B2FDA">
            <w:pPr>
              <w:jc w:val="left"/>
            </w:pPr>
            <w:r>
              <w:rPr>
                <w:rFonts w:eastAsiaTheme="minorEastAsia"/>
                <w:color w:val="000000" w:themeColor="text1"/>
                <w:szCs w:val="21"/>
              </w:rPr>
              <w:t>巴西</w:t>
            </w:r>
          </w:p>
        </w:tc>
        <w:tc>
          <w:tcPr>
            <w:tcW w:w="3118" w:type="dxa"/>
            <w:vAlign w:val="center"/>
          </w:tcPr>
          <w:p w14:paraId="4DD72F26" w14:textId="77777777" w:rsidR="00B32CF3" w:rsidRDefault="009B2FDA">
            <w:pPr>
              <w:jc w:val="right"/>
            </w:pPr>
            <w:r>
              <w:rPr>
                <w:rFonts w:eastAsiaTheme="minorEastAsia"/>
                <w:color w:val="000000" w:themeColor="text1"/>
                <w:szCs w:val="21"/>
              </w:rPr>
              <w:t>4,880,782.42</w:t>
            </w:r>
          </w:p>
        </w:tc>
        <w:tc>
          <w:tcPr>
            <w:tcW w:w="3076" w:type="dxa"/>
            <w:vAlign w:val="center"/>
          </w:tcPr>
          <w:p w14:paraId="5338AB3B" w14:textId="77777777" w:rsidR="00B32CF3" w:rsidRDefault="009B2FDA">
            <w:pPr>
              <w:jc w:val="right"/>
            </w:pPr>
            <w:r>
              <w:rPr>
                <w:rFonts w:eastAsiaTheme="minorEastAsia"/>
                <w:color w:val="000000" w:themeColor="text1"/>
                <w:szCs w:val="21"/>
              </w:rPr>
              <w:t>6.87</w:t>
            </w:r>
          </w:p>
        </w:tc>
      </w:tr>
      <w:tr w:rsidR="00B32CF3" w14:paraId="3989E80B" w14:textId="77777777">
        <w:trPr>
          <w:jc w:val="center"/>
        </w:trPr>
        <w:tc>
          <w:tcPr>
            <w:tcW w:w="2410" w:type="dxa"/>
            <w:vAlign w:val="center"/>
          </w:tcPr>
          <w:p w14:paraId="6EB96B0E" w14:textId="77777777" w:rsidR="00B32CF3" w:rsidRDefault="009B2FDA">
            <w:pPr>
              <w:jc w:val="left"/>
            </w:pPr>
            <w:r>
              <w:rPr>
                <w:rFonts w:eastAsiaTheme="minorEastAsia"/>
                <w:color w:val="000000" w:themeColor="text1"/>
                <w:szCs w:val="21"/>
              </w:rPr>
              <w:t>英国</w:t>
            </w:r>
          </w:p>
        </w:tc>
        <w:tc>
          <w:tcPr>
            <w:tcW w:w="3118" w:type="dxa"/>
            <w:vAlign w:val="center"/>
          </w:tcPr>
          <w:p w14:paraId="5A4CDEE3" w14:textId="77777777" w:rsidR="00B32CF3" w:rsidRDefault="009B2FDA">
            <w:pPr>
              <w:jc w:val="right"/>
            </w:pPr>
            <w:r>
              <w:rPr>
                <w:rFonts w:eastAsiaTheme="minorEastAsia"/>
                <w:color w:val="000000" w:themeColor="text1"/>
                <w:szCs w:val="21"/>
              </w:rPr>
              <w:t>3,759,996.72</w:t>
            </w:r>
          </w:p>
        </w:tc>
        <w:tc>
          <w:tcPr>
            <w:tcW w:w="3076" w:type="dxa"/>
            <w:vAlign w:val="center"/>
          </w:tcPr>
          <w:p w14:paraId="520F8C65" w14:textId="77777777" w:rsidR="00B32CF3" w:rsidRDefault="009B2FDA">
            <w:pPr>
              <w:jc w:val="right"/>
            </w:pPr>
            <w:r>
              <w:rPr>
                <w:rFonts w:eastAsiaTheme="minorEastAsia"/>
                <w:color w:val="000000" w:themeColor="text1"/>
                <w:szCs w:val="21"/>
              </w:rPr>
              <w:t>5.29</w:t>
            </w:r>
          </w:p>
        </w:tc>
      </w:tr>
      <w:tr w:rsidR="00B32CF3" w14:paraId="010AF31E" w14:textId="77777777">
        <w:trPr>
          <w:jc w:val="center"/>
        </w:trPr>
        <w:tc>
          <w:tcPr>
            <w:tcW w:w="2410" w:type="dxa"/>
            <w:vAlign w:val="center"/>
          </w:tcPr>
          <w:p w14:paraId="7A97B04E" w14:textId="77777777" w:rsidR="00B32CF3" w:rsidRDefault="009B2FDA">
            <w:pPr>
              <w:jc w:val="left"/>
            </w:pPr>
            <w:r>
              <w:rPr>
                <w:rFonts w:eastAsiaTheme="minorEastAsia"/>
                <w:color w:val="000000" w:themeColor="text1"/>
                <w:szCs w:val="21"/>
              </w:rPr>
              <w:t>中国台湾</w:t>
            </w:r>
          </w:p>
        </w:tc>
        <w:tc>
          <w:tcPr>
            <w:tcW w:w="3118" w:type="dxa"/>
            <w:vAlign w:val="center"/>
          </w:tcPr>
          <w:p w14:paraId="28539706" w14:textId="77777777" w:rsidR="00B32CF3" w:rsidRDefault="009B2FDA">
            <w:pPr>
              <w:jc w:val="right"/>
            </w:pPr>
            <w:r>
              <w:rPr>
                <w:rFonts w:eastAsiaTheme="minorEastAsia"/>
                <w:color w:val="000000" w:themeColor="text1"/>
                <w:szCs w:val="21"/>
              </w:rPr>
              <w:t>3,164,721.88</w:t>
            </w:r>
          </w:p>
        </w:tc>
        <w:tc>
          <w:tcPr>
            <w:tcW w:w="3076" w:type="dxa"/>
            <w:vAlign w:val="center"/>
          </w:tcPr>
          <w:p w14:paraId="29D5903B" w14:textId="77777777" w:rsidR="00B32CF3" w:rsidRDefault="009B2FDA">
            <w:pPr>
              <w:jc w:val="right"/>
            </w:pPr>
            <w:r>
              <w:rPr>
                <w:rFonts w:eastAsiaTheme="minorEastAsia"/>
                <w:color w:val="000000" w:themeColor="text1"/>
                <w:szCs w:val="21"/>
              </w:rPr>
              <w:t>4.46</w:t>
            </w:r>
          </w:p>
        </w:tc>
      </w:tr>
      <w:tr w:rsidR="00B32CF3" w14:paraId="608DBE41" w14:textId="77777777">
        <w:trPr>
          <w:jc w:val="center"/>
        </w:trPr>
        <w:tc>
          <w:tcPr>
            <w:tcW w:w="2410" w:type="dxa"/>
            <w:vAlign w:val="center"/>
          </w:tcPr>
          <w:p w14:paraId="1C1D648C" w14:textId="77777777" w:rsidR="00B32CF3" w:rsidRDefault="009B2FDA">
            <w:pPr>
              <w:jc w:val="left"/>
            </w:pPr>
            <w:r>
              <w:rPr>
                <w:rFonts w:eastAsiaTheme="minorEastAsia"/>
                <w:color w:val="000000" w:themeColor="text1"/>
                <w:szCs w:val="21"/>
              </w:rPr>
              <w:t>南非</w:t>
            </w:r>
          </w:p>
        </w:tc>
        <w:tc>
          <w:tcPr>
            <w:tcW w:w="3118" w:type="dxa"/>
            <w:vAlign w:val="center"/>
          </w:tcPr>
          <w:p w14:paraId="2EA70D81" w14:textId="77777777" w:rsidR="00B32CF3" w:rsidRDefault="009B2FDA">
            <w:pPr>
              <w:jc w:val="right"/>
            </w:pPr>
            <w:r>
              <w:rPr>
                <w:rFonts w:eastAsiaTheme="minorEastAsia"/>
                <w:color w:val="000000" w:themeColor="text1"/>
                <w:szCs w:val="21"/>
              </w:rPr>
              <w:t>1,854,154.66</w:t>
            </w:r>
          </w:p>
        </w:tc>
        <w:tc>
          <w:tcPr>
            <w:tcW w:w="3076" w:type="dxa"/>
            <w:vAlign w:val="center"/>
          </w:tcPr>
          <w:p w14:paraId="59BDC725" w14:textId="77777777" w:rsidR="00B32CF3" w:rsidRDefault="009B2FDA">
            <w:pPr>
              <w:jc w:val="right"/>
            </w:pPr>
            <w:r>
              <w:rPr>
                <w:rFonts w:eastAsiaTheme="minorEastAsia"/>
                <w:color w:val="000000" w:themeColor="text1"/>
                <w:szCs w:val="21"/>
              </w:rPr>
              <w:t>2.61</w:t>
            </w:r>
          </w:p>
        </w:tc>
      </w:tr>
      <w:tr w:rsidR="00B32CF3" w14:paraId="7574EFB1" w14:textId="77777777">
        <w:trPr>
          <w:jc w:val="center"/>
        </w:trPr>
        <w:tc>
          <w:tcPr>
            <w:tcW w:w="2410" w:type="dxa"/>
            <w:vAlign w:val="center"/>
          </w:tcPr>
          <w:p w14:paraId="38C8A3AC" w14:textId="77777777" w:rsidR="00B32CF3" w:rsidRDefault="009B2FDA">
            <w:pPr>
              <w:jc w:val="left"/>
            </w:pPr>
            <w:r>
              <w:rPr>
                <w:rFonts w:eastAsiaTheme="minorEastAsia"/>
                <w:color w:val="000000" w:themeColor="text1"/>
                <w:szCs w:val="21"/>
              </w:rPr>
              <w:lastRenderedPageBreak/>
              <w:t>土耳其</w:t>
            </w:r>
          </w:p>
        </w:tc>
        <w:tc>
          <w:tcPr>
            <w:tcW w:w="3118" w:type="dxa"/>
            <w:vAlign w:val="center"/>
          </w:tcPr>
          <w:p w14:paraId="043BD215" w14:textId="77777777" w:rsidR="00B32CF3" w:rsidRDefault="009B2FDA">
            <w:pPr>
              <w:jc w:val="right"/>
            </w:pPr>
            <w:r>
              <w:rPr>
                <w:rFonts w:eastAsiaTheme="minorEastAsia"/>
                <w:color w:val="000000" w:themeColor="text1"/>
                <w:szCs w:val="21"/>
              </w:rPr>
              <w:t>1,244,760.92</w:t>
            </w:r>
          </w:p>
        </w:tc>
        <w:tc>
          <w:tcPr>
            <w:tcW w:w="3076" w:type="dxa"/>
            <w:vAlign w:val="center"/>
          </w:tcPr>
          <w:p w14:paraId="05F725E2" w14:textId="77777777" w:rsidR="00B32CF3" w:rsidRDefault="009B2FDA">
            <w:pPr>
              <w:jc w:val="right"/>
            </w:pPr>
            <w:r>
              <w:rPr>
                <w:rFonts w:eastAsiaTheme="minorEastAsia"/>
                <w:color w:val="000000" w:themeColor="text1"/>
                <w:szCs w:val="21"/>
              </w:rPr>
              <w:t>1.75</w:t>
            </w:r>
          </w:p>
        </w:tc>
      </w:tr>
      <w:tr w:rsidR="00B32CF3" w14:paraId="6B9DC851" w14:textId="77777777">
        <w:trPr>
          <w:jc w:val="center"/>
        </w:trPr>
        <w:tc>
          <w:tcPr>
            <w:tcW w:w="2410" w:type="dxa"/>
            <w:vAlign w:val="center"/>
          </w:tcPr>
          <w:p w14:paraId="221C5A08" w14:textId="77777777" w:rsidR="00B32CF3" w:rsidRDefault="009B2FDA">
            <w:pPr>
              <w:jc w:val="left"/>
            </w:pPr>
            <w:r>
              <w:rPr>
                <w:rFonts w:eastAsiaTheme="minorEastAsia"/>
                <w:color w:val="000000" w:themeColor="text1"/>
                <w:szCs w:val="21"/>
              </w:rPr>
              <w:t>泰国</w:t>
            </w:r>
          </w:p>
        </w:tc>
        <w:tc>
          <w:tcPr>
            <w:tcW w:w="3118" w:type="dxa"/>
            <w:vAlign w:val="center"/>
          </w:tcPr>
          <w:p w14:paraId="34B69AC8" w14:textId="77777777" w:rsidR="00B32CF3" w:rsidRDefault="009B2FDA">
            <w:pPr>
              <w:jc w:val="right"/>
            </w:pPr>
            <w:r>
              <w:rPr>
                <w:rFonts w:eastAsiaTheme="minorEastAsia"/>
                <w:color w:val="000000" w:themeColor="text1"/>
                <w:szCs w:val="21"/>
              </w:rPr>
              <w:t>1,169,975.97</w:t>
            </w:r>
          </w:p>
        </w:tc>
        <w:tc>
          <w:tcPr>
            <w:tcW w:w="3076" w:type="dxa"/>
            <w:vAlign w:val="center"/>
          </w:tcPr>
          <w:p w14:paraId="5C5CB522" w14:textId="77777777" w:rsidR="00B32CF3" w:rsidRDefault="009B2FDA">
            <w:pPr>
              <w:jc w:val="right"/>
            </w:pPr>
            <w:r>
              <w:rPr>
                <w:rFonts w:eastAsiaTheme="minorEastAsia"/>
                <w:color w:val="000000" w:themeColor="text1"/>
                <w:szCs w:val="21"/>
              </w:rPr>
              <w:t>1.65</w:t>
            </w:r>
          </w:p>
        </w:tc>
      </w:tr>
      <w:tr w:rsidR="00B32CF3" w14:paraId="52F98EC2" w14:textId="77777777">
        <w:trPr>
          <w:jc w:val="center"/>
        </w:trPr>
        <w:tc>
          <w:tcPr>
            <w:tcW w:w="2410" w:type="dxa"/>
            <w:vAlign w:val="center"/>
          </w:tcPr>
          <w:p w14:paraId="1F1ACC01" w14:textId="77777777" w:rsidR="00B32CF3" w:rsidRDefault="009B2FDA">
            <w:pPr>
              <w:jc w:val="left"/>
            </w:pPr>
            <w:r>
              <w:rPr>
                <w:rFonts w:eastAsiaTheme="minorEastAsia"/>
                <w:color w:val="000000" w:themeColor="text1"/>
                <w:szCs w:val="21"/>
              </w:rPr>
              <w:t>希腊</w:t>
            </w:r>
          </w:p>
        </w:tc>
        <w:tc>
          <w:tcPr>
            <w:tcW w:w="3118" w:type="dxa"/>
            <w:vAlign w:val="center"/>
          </w:tcPr>
          <w:p w14:paraId="62111083" w14:textId="77777777" w:rsidR="00B32CF3" w:rsidRDefault="009B2FDA">
            <w:pPr>
              <w:jc w:val="right"/>
            </w:pPr>
            <w:r>
              <w:rPr>
                <w:rFonts w:eastAsiaTheme="minorEastAsia"/>
                <w:color w:val="000000" w:themeColor="text1"/>
                <w:szCs w:val="21"/>
              </w:rPr>
              <w:t>903,657.51</w:t>
            </w:r>
          </w:p>
        </w:tc>
        <w:tc>
          <w:tcPr>
            <w:tcW w:w="3076" w:type="dxa"/>
            <w:vAlign w:val="center"/>
          </w:tcPr>
          <w:p w14:paraId="43B35CBD" w14:textId="77777777" w:rsidR="00B32CF3" w:rsidRDefault="009B2FDA">
            <w:pPr>
              <w:jc w:val="right"/>
            </w:pPr>
            <w:r>
              <w:rPr>
                <w:rFonts w:eastAsiaTheme="minorEastAsia"/>
                <w:color w:val="000000" w:themeColor="text1"/>
                <w:szCs w:val="21"/>
              </w:rPr>
              <w:t>1.27</w:t>
            </w:r>
          </w:p>
        </w:tc>
      </w:tr>
      <w:tr w:rsidR="00B32CF3" w14:paraId="3CC7F13B" w14:textId="77777777">
        <w:trPr>
          <w:jc w:val="center"/>
        </w:trPr>
        <w:tc>
          <w:tcPr>
            <w:tcW w:w="2410" w:type="dxa"/>
            <w:vAlign w:val="center"/>
          </w:tcPr>
          <w:p w14:paraId="4AE688FC" w14:textId="77777777" w:rsidR="00B32CF3" w:rsidRDefault="009B2FDA">
            <w:pPr>
              <w:jc w:val="left"/>
            </w:pPr>
            <w:r>
              <w:rPr>
                <w:rFonts w:eastAsiaTheme="minorEastAsia"/>
                <w:color w:val="000000" w:themeColor="text1"/>
                <w:szCs w:val="21"/>
              </w:rPr>
              <w:t>匈牙利</w:t>
            </w:r>
          </w:p>
        </w:tc>
        <w:tc>
          <w:tcPr>
            <w:tcW w:w="3118" w:type="dxa"/>
            <w:vAlign w:val="center"/>
          </w:tcPr>
          <w:p w14:paraId="09220397" w14:textId="77777777" w:rsidR="00B32CF3" w:rsidRDefault="009B2FDA">
            <w:pPr>
              <w:jc w:val="right"/>
            </w:pPr>
            <w:r>
              <w:rPr>
                <w:rFonts w:eastAsiaTheme="minorEastAsia"/>
                <w:color w:val="000000" w:themeColor="text1"/>
                <w:szCs w:val="21"/>
              </w:rPr>
              <w:t>796,711.12</w:t>
            </w:r>
          </w:p>
        </w:tc>
        <w:tc>
          <w:tcPr>
            <w:tcW w:w="3076" w:type="dxa"/>
            <w:vAlign w:val="center"/>
          </w:tcPr>
          <w:p w14:paraId="78F07BBD" w14:textId="77777777" w:rsidR="00B32CF3" w:rsidRDefault="009B2FDA">
            <w:pPr>
              <w:jc w:val="right"/>
            </w:pPr>
            <w:r>
              <w:rPr>
                <w:rFonts w:eastAsiaTheme="minorEastAsia"/>
                <w:color w:val="000000" w:themeColor="text1"/>
                <w:szCs w:val="21"/>
              </w:rPr>
              <w:t>1.12</w:t>
            </w:r>
          </w:p>
        </w:tc>
      </w:tr>
      <w:tr w:rsidR="00B32CF3" w14:paraId="5E4F4B68" w14:textId="77777777">
        <w:trPr>
          <w:jc w:val="center"/>
        </w:trPr>
        <w:tc>
          <w:tcPr>
            <w:tcW w:w="2410" w:type="dxa"/>
            <w:vAlign w:val="center"/>
          </w:tcPr>
          <w:p w14:paraId="5D7E29BE" w14:textId="77777777" w:rsidR="00B32CF3" w:rsidRDefault="009B2FDA">
            <w:pPr>
              <w:jc w:val="left"/>
            </w:pPr>
            <w:r>
              <w:rPr>
                <w:rFonts w:eastAsiaTheme="minorEastAsia"/>
                <w:color w:val="000000" w:themeColor="text1"/>
                <w:szCs w:val="21"/>
              </w:rPr>
              <w:t>波兰</w:t>
            </w:r>
          </w:p>
        </w:tc>
        <w:tc>
          <w:tcPr>
            <w:tcW w:w="3118" w:type="dxa"/>
            <w:vAlign w:val="center"/>
          </w:tcPr>
          <w:p w14:paraId="4C143889" w14:textId="77777777" w:rsidR="00B32CF3" w:rsidRDefault="009B2FDA">
            <w:pPr>
              <w:jc w:val="right"/>
            </w:pPr>
            <w:r>
              <w:rPr>
                <w:rFonts w:eastAsiaTheme="minorEastAsia"/>
                <w:color w:val="000000" w:themeColor="text1"/>
                <w:szCs w:val="21"/>
              </w:rPr>
              <w:t>599,056.89</w:t>
            </w:r>
          </w:p>
        </w:tc>
        <w:tc>
          <w:tcPr>
            <w:tcW w:w="3076" w:type="dxa"/>
            <w:vAlign w:val="center"/>
          </w:tcPr>
          <w:p w14:paraId="3EC9C9CB" w14:textId="77777777" w:rsidR="00B32CF3" w:rsidRDefault="009B2FDA">
            <w:pPr>
              <w:jc w:val="right"/>
            </w:pPr>
            <w:r>
              <w:rPr>
                <w:rFonts w:eastAsiaTheme="minorEastAsia"/>
                <w:color w:val="000000" w:themeColor="text1"/>
                <w:szCs w:val="21"/>
              </w:rPr>
              <w:t>0.84</w:t>
            </w:r>
          </w:p>
        </w:tc>
      </w:tr>
      <w:tr w:rsidR="00B32CF3" w14:paraId="7CBBCE37" w14:textId="77777777">
        <w:trPr>
          <w:jc w:val="center"/>
        </w:trPr>
        <w:tc>
          <w:tcPr>
            <w:tcW w:w="2410" w:type="dxa"/>
            <w:vAlign w:val="center"/>
          </w:tcPr>
          <w:p w14:paraId="230CCCBE" w14:textId="77777777" w:rsidR="00B32CF3" w:rsidRDefault="009B2FDA">
            <w:pPr>
              <w:jc w:val="left"/>
            </w:pPr>
            <w:r>
              <w:rPr>
                <w:rFonts w:eastAsiaTheme="minorEastAsia"/>
                <w:color w:val="000000" w:themeColor="text1"/>
                <w:szCs w:val="21"/>
              </w:rPr>
              <w:t>印度尼西亚</w:t>
            </w:r>
          </w:p>
        </w:tc>
        <w:tc>
          <w:tcPr>
            <w:tcW w:w="3118" w:type="dxa"/>
            <w:vAlign w:val="center"/>
          </w:tcPr>
          <w:p w14:paraId="3D176772" w14:textId="77777777" w:rsidR="00B32CF3" w:rsidRDefault="009B2FDA">
            <w:pPr>
              <w:jc w:val="right"/>
            </w:pPr>
            <w:r>
              <w:rPr>
                <w:rFonts w:eastAsiaTheme="minorEastAsia"/>
                <w:color w:val="000000" w:themeColor="text1"/>
                <w:szCs w:val="21"/>
              </w:rPr>
              <w:t>544,655.08</w:t>
            </w:r>
          </w:p>
        </w:tc>
        <w:tc>
          <w:tcPr>
            <w:tcW w:w="3076" w:type="dxa"/>
            <w:vAlign w:val="center"/>
          </w:tcPr>
          <w:p w14:paraId="45E852C3" w14:textId="77777777" w:rsidR="00B32CF3" w:rsidRDefault="009B2FDA">
            <w:pPr>
              <w:jc w:val="right"/>
            </w:pPr>
            <w:r>
              <w:rPr>
                <w:rFonts w:eastAsiaTheme="minorEastAsia"/>
                <w:color w:val="000000" w:themeColor="text1"/>
                <w:szCs w:val="21"/>
              </w:rPr>
              <w:t>0.77</w:t>
            </w:r>
          </w:p>
        </w:tc>
      </w:tr>
      <w:tr w:rsidR="00B32CF3" w14:paraId="3741866E" w14:textId="77777777">
        <w:trPr>
          <w:jc w:val="center"/>
        </w:trPr>
        <w:tc>
          <w:tcPr>
            <w:tcW w:w="2410" w:type="dxa"/>
            <w:vAlign w:val="center"/>
          </w:tcPr>
          <w:p w14:paraId="4BE309D8" w14:textId="77777777" w:rsidR="00B32CF3" w:rsidRDefault="009B2FDA">
            <w:pPr>
              <w:jc w:val="left"/>
            </w:pPr>
            <w:r>
              <w:rPr>
                <w:rFonts w:eastAsiaTheme="minorEastAsia"/>
                <w:color w:val="000000" w:themeColor="text1"/>
                <w:szCs w:val="21"/>
              </w:rPr>
              <w:t>马来西亚</w:t>
            </w:r>
          </w:p>
        </w:tc>
        <w:tc>
          <w:tcPr>
            <w:tcW w:w="3118" w:type="dxa"/>
            <w:vAlign w:val="center"/>
          </w:tcPr>
          <w:p w14:paraId="5FFD72AB" w14:textId="77777777" w:rsidR="00B32CF3" w:rsidRDefault="009B2FDA">
            <w:pPr>
              <w:jc w:val="right"/>
            </w:pPr>
            <w:r>
              <w:rPr>
                <w:rFonts w:eastAsiaTheme="minorEastAsia"/>
                <w:color w:val="000000" w:themeColor="text1"/>
                <w:szCs w:val="21"/>
              </w:rPr>
              <w:t>349,277.41</w:t>
            </w:r>
          </w:p>
        </w:tc>
        <w:tc>
          <w:tcPr>
            <w:tcW w:w="3076" w:type="dxa"/>
            <w:vAlign w:val="center"/>
          </w:tcPr>
          <w:p w14:paraId="1924E3BD" w14:textId="77777777" w:rsidR="00B32CF3" w:rsidRDefault="009B2FDA">
            <w:pPr>
              <w:jc w:val="right"/>
            </w:pPr>
            <w:r>
              <w:rPr>
                <w:rFonts w:eastAsiaTheme="minorEastAsia"/>
                <w:color w:val="000000" w:themeColor="text1"/>
                <w:szCs w:val="21"/>
              </w:rPr>
              <w:t>0.49</w:t>
            </w:r>
          </w:p>
        </w:tc>
      </w:tr>
      <w:tr w:rsidR="00B32CF3" w14:paraId="49ECDF07" w14:textId="77777777">
        <w:trPr>
          <w:jc w:val="center"/>
        </w:trPr>
        <w:tc>
          <w:tcPr>
            <w:tcW w:w="2410" w:type="dxa"/>
            <w:vAlign w:val="center"/>
          </w:tcPr>
          <w:p w14:paraId="67CEE959" w14:textId="77777777" w:rsidR="00B32CF3" w:rsidRDefault="009B2FDA">
            <w:pPr>
              <w:jc w:val="left"/>
            </w:pPr>
            <w:r>
              <w:rPr>
                <w:rFonts w:eastAsiaTheme="minorEastAsia"/>
                <w:color w:val="000000" w:themeColor="text1"/>
                <w:szCs w:val="21"/>
              </w:rPr>
              <w:t>智利</w:t>
            </w:r>
          </w:p>
        </w:tc>
        <w:tc>
          <w:tcPr>
            <w:tcW w:w="3118" w:type="dxa"/>
            <w:vAlign w:val="center"/>
          </w:tcPr>
          <w:p w14:paraId="07DAEECD" w14:textId="77777777" w:rsidR="00B32CF3" w:rsidRDefault="009B2FDA">
            <w:pPr>
              <w:jc w:val="right"/>
            </w:pPr>
            <w:r>
              <w:rPr>
                <w:rFonts w:eastAsiaTheme="minorEastAsia"/>
                <w:color w:val="000000" w:themeColor="text1"/>
                <w:szCs w:val="21"/>
              </w:rPr>
              <w:t>254,597.27</w:t>
            </w:r>
          </w:p>
        </w:tc>
        <w:tc>
          <w:tcPr>
            <w:tcW w:w="3076" w:type="dxa"/>
            <w:vAlign w:val="center"/>
          </w:tcPr>
          <w:p w14:paraId="7507DE6D" w14:textId="77777777" w:rsidR="00B32CF3" w:rsidRDefault="009B2FDA">
            <w:pPr>
              <w:jc w:val="right"/>
            </w:pPr>
            <w:r>
              <w:rPr>
                <w:rFonts w:eastAsiaTheme="minorEastAsia"/>
                <w:color w:val="000000" w:themeColor="text1"/>
                <w:szCs w:val="21"/>
              </w:rPr>
              <w:t>0.36</w:t>
            </w:r>
          </w:p>
        </w:tc>
      </w:tr>
      <w:tr w:rsidR="00B32CF3" w14:paraId="7E469E91" w14:textId="77777777">
        <w:trPr>
          <w:jc w:val="center"/>
        </w:trPr>
        <w:tc>
          <w:tcPr>
            <w:tcW w:w="2410" w:type="dxa"/>
            <w:vAlign w:val="center"/>
          </w:tcPr>
          <w:p w14:paraId="1F34EAE2" w14:textId="77777777" w:rsidR="00B32CF3" w:rsidRDefault="009B2FDA">
            <w:pPr>
              <w:jc w:val="left"/>
            </w:pPr>
            <w:r>
              <w:rPr>
                <w:rFonts w:eastAsiaTheme="minorEastAsia"/>
                <w:color w:val="000000" w:themeColor="text1"/>
                <w:szCs w:val="21"/>
              </w:rPr>
              <w:t>俄罗斯</w:t>
            </w:r>
          </w:p>
        </w:tc>
        <w:tc>
          <w:tcPr>
            <w:tcW w:w="3118" w:type="dxa"/>
            <w:vAlign w:val="center"/>
          </w:tcPr>
          <w:p w14:paraId="4C23A3B0" w14:textId="77777777" w:rsidR="00B32CF3" w:rsidRDefault="009B2FDA">
            <w:pPr>
              <w:jc w:val="right"/>
            </w:pPr>
            <w:r>
              <w:rPr>
                <w:rFonts w:eastAsiaTheme="minorEastAsia"/>
                <w:color w:val="000000" w:themeColor="text1"/>
                <w:szCs w:val="21"/>
              </w:rPr>
              <w:t>0.00</w:t>
            </w:r>
          </w:p>
        </w:tc>
        <w:tc>
          <w:tcPr>
            <w:tcW w:w="3076" w:type="dxa"/>
            <w:vAlign w:val="center"/>
          </w:tcPr>
          <w:p w14:paraId="0E4B6AA3" w14:textId="77777777" w:rsidR="00B32CF3" w:rsidRDefault="009B2FDA">
            <w:pPr>
              <w:jc w:val="right"/>
            </w:pPr>
            <w:r>
              <w:rPr>
                <w:rFonts w:eastAsiaTheme="minorEastAsia"/>
                <w:color w:val="000000" w:themeColor="text1"/>
                <w:szCs w:val="21"/>
              </w:rPr>
              <w:t>0.00</w:t>
            </w:r>
          </w:p>
        </w:tc>
      </w:tr>
      <w:tr w:rsidR="008277FF" w:rsidRPr="00A76A42" w14:paraId="6BCF5CAA" w14:textId="77777777" w:rsidTr="00877D98">
        <w:trPr>
          <w:jc w:val="center"/>
        </w:trPr>
        <w:tc>
          <w:tcPr>
            <w:tcW w:w="2410" w:type="dxa"/>
            <w:vAlign w:val="center"/>
          </w:tcPr>
          <w:p w14:paraId="763E1915" w14:textId="77777777"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14:paraId="475536EF"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63,074,891.49</w:t>
            </w:r>
          </w:p>
        </w:tc>
        <w:tc>
          <w:tcPr>
            <w:tcW w:w="3076" w:type="dxa"/>
            <w:vAlign w:val="center"/>
          </w:tcPr>
          <w:p w14:paraId="2B2955DA"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88.80</w:t>
            </w:r>
          </w:p>
        </w:tc>
      </w:tr>
    </w:tbl>
    <w:p w14:paraId="0D22E91C" w14:textId="77777777"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14:paraId="0F559AB0"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621BF84D" w14:textId="77777777"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14:paraId="49AF26AA" w14:textId="77777777" w:rsidTr="008B2EAD">
        <w:tc>
          <w:tcPr>
            <w:tcW w:w="2787" w:type="dxa"/>
            <w:vAlign w:val="center"/>
          </w:tcPr>
          <w:p w14:paraId="66117BCF"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14:paraId="47C7AC3C"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14:paraId="5227532F"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B32CF3" w14:paraId="56948578" w14:textId="77777777">
        <w:tc>
          <w:tcPr>
            <w:tcW w:w="2787" w:type="dxa"/>
            <w:vAlign w:val="center"/>
          </w:tcPr>
          <w:p w14:paraId="5F6B1382" w14:textId="77777777" w:rsidR="00B32CF3" w:rsidRDefault="009B2FDA">
            <w:pPr>
              <w:jc w:val="left"/>
            </w:pPr>
            <w:r>
              <w:rPr>
                <w:rFonts w:eastAsiaTheme="minorEastAsia"/>
                <w:color w:val="000000" w:themeColor="text1"/>
                <w:szCs w:val="21"/>
              </w:rPr>
              <w:t>信息技术</w:t>
            </w:r>
          </w:p>
        </w:tc>
        <w:tc>
          <w:tcPr>
            <w:tcW w:w="2551" w:type="dxa"/>
            <w:vAlign w:val="center"/>
          </w:tcPr>
          <w:p w14:paraId="29D85492" w14:textId="77777777" w:rsidR="00B32CF3" w:rsidRDefault="009B2FDA">
            <w:pPr>
              <w:jc w:val="right"/>
            </w:pPr>
            <w:r>
              <w:rPr>
                <w:rFonts w:eastAsiaTheme="minorEastAsia"/>
                <w:color w:val="000000" w:themeColor="text1"/>
                <w:szCs w:val="21"/>
              </w:rPr>
              <w:t>17,882,185.94</w:t>
            </w:r>
          </w:p>
        </w:tc>
        <w:tc>
          <w:tcPr>
            <w:tcW w:w="3175" w:type="dxa"/>
            <w:vAlign w:val="center"/>
          </w:tcPr>
          <w:p w14:paraId="6B311F8E" w14:textId="77777777" w:rsidR="00B32CF3" w:rsidRDefault="009B2FDA">
            <w:pPr>
              <w:jc w:val="right"/>
            </w:pPr>
            <w:r>
              <w:rPr>
                <w:rFonts w:eastAsiaTheme="minorEastAsia"/>
                <w:color w:val="000000" w:themeColor="text1"/>
                <w:szCs w:val="21"/>
              </w:rPr>
              <w:t>25.18</w:t>
            </w:r>
          </w:p>
        </w:tc>
      </w:tr>
      <w:tr w:rsidR="00B32CF3" w14:paraId="6B152869" w14:textId="77777777">
        <w:tc>
          <w:tcPr>
            <w:tcW w:w="2787" w:type="dxa"/>
            <w:vAlign w:val="center"/>
          </w:tcPr>
          <w:p w14:paraId="1AD1223D" w14:textId="77777777" w:rsidR="00B32CF3" w:rsidRDefault="009B2FDA">
            <w:pPr>
              <w:jc w:val="left"/>
            </w:pPr>
            <w:r>
              <w:rPr>
                <w:rFonts w:eastAsiaTheme="minorEastAsia"/>
                <w:color w:val="000000" w:themeColor="text1"/>
                <w:szCs w:val="21"/>
              </w:rPr>
              <w:t>金融</w:t>
            </w:r>
          </w:p>
        </w:tc>
        <w:tc>
          <w:tcPr>
            <w:tcW w:w="2551" w:type="dxa"/>
            <w:vAlign w:val="center"/>
          </w:tcPr>
          <w:p w14:paraId="641B493D" w14:textId="77777777" w:rsidR="00B32CF3" w:rsidRDefault="009B2FDA">
            <w:pPr>
              <w:jc w:val="right"/>
            </w:pPr>
            <w:r>
              <w:rPr>
                <w:rFonts w:eastAsiaTheme="minorEastAsia"/>
                <w:color w:val="000000" w:themeColor="text1"/>
                <w:szCs w:val="21"/>
              </w:rPr>
              <w:t>15,942,508.93</w:t>
            </w:r>
          </w:p>
        </w:tc>
        <w:tc>
          <w:tcPr>
            <w:tcW w:w="3175" w:type="dxa"/>
            <w:vAlign w:val="center"/>
          </w:tcPr>
          <w:p w14:paraId="05D58327" w14:textId="77777777" w:rsidR="00B32CF3" w:rsidRDefault="009B2FDA">
            <w:pPr>
              <w:jc w:val="right"/>
            </w:pPr>
            <w:r>
              <w:rPr>
                <w:rFonts w:eastAsiaTheme="minorEastAsia"/>
                <w:color w:val="000000" w:themeColor="text1"/>
                <w:szCs w:val="21"/>
              </w:rPr>
              <w:t>22.45</w:t>
            </w:r>
          </w:p>
        </w:tc>
      </w:tr>
      <w:tr w:rsidR="00B32CF3" w14:paraId="194D2BB6" w14:textId="77777777">
        <w:tc>
          <w:tcPr>
            <w:tcW w:w="2787" w:type="dxa"/>
            <w:vAlign w:val="center"/>
          </w:tcPr>
          <w:p w14:paraId="25BC3BA8" w14:textId="77777777" w:rsidR="00B32CF3" w:rsidRDefault="009B2FDA">
            <w:pPr>
              <w:jc w:val="left"/>
            </w:pPr>
            <w:r>
              <w:rPr>
                <w:rFonts w:eastAsiaTheme="minorEastAsia"/>
                <w:color w:val="000000" w:themeColor="text1"/>
                <w:szCs w:val="21"/>
              </w:rPr>
              <w:t>消费者非必需品</w:t>
            </w:r>
          </w:p>
        </w:tc>
        <w:tc>
          <w:tcPr>
            <w:tcW w:w="2551" w:type="dxa"/>
            <w:vAlign w:val="center"/>
          </w:tcPr>
          <w:p w14:paraId="41496B15" w14:textId="77777777" w:rsidR="00B32CF3" w:rsidRDefault="009B2FDA">
            <w:pPr>
              <w:jc w:val="right"/>
            </w:pPr>
            <w:r>
              <w:rPr>
                <w:rFonts w:eastAsiaTheme="minorEastAsia"/>
                <w:color w:val="000000" w:themeColor="text1"/>
                <w:szCs w:val="21"/>
              </w:rPr>
              <w:t>8,808,195.63</w:t>
            </w:r>
          </w:p>
        </w:tc>
        <w:tc>
          <w:tcPr>
            <w:tcW w:w="3175" w:type="dxa"/>
            <w:vAlign w:val="center"/>
          </w:tcPr>
          <w:p w14:paraId="389DD04F" w14:textId="77777777" w:rsidR="00B32CF3" w:rsidRDefault="009B2FDA">
            <w:pPr>
              <w:jc w:val="right"/>
            </w:pPr>
            <w:r>
              <w:rPr>
                <w:rFonts w:eastAsiaTheme="minorEastAsia"/>
                <w:color w:val="000000" w:themeColor="text1"/>
                <w:szCs w:val="21"/>
              </w:rPr>
              <w:t>12.40</w:t>
            </w:r>
          </w:p>
        </w:tc>
      </w:tr>
      <w:tr w:rsidR="00B32CF3" w14:paraId="70F3A4C7" w14:textId="77777777">
        <w:tc>
          <w:tcPr>
            <w:tcW w:w="2787" w:type="dxa"/>
            <w:vAlign w:val="center"/>
          </w:tcPr>
          <w:p w14:paraId="4092A3C2" w14:textId="77777777" w:rsidR="00B32CF3" w:rsidRDefault="009B2FDA">
            <w:pPr>
              <w:jc w:val="left"/>
            </w:pPr>
            <w:r>
              <w:rPr>
                <w:rFonts w:eastAsiaTheme="minorEastAsia"/>
                <w:color w:val="000000" w:themeColor="text1"/>
                <w:szCs w:val="21"/>
              </w:rPr>
              <w:t>能源</w:t>
            </w:r>
          </w:p>
        </w:tc>
        <w:tc>
          <w:tcPr>
            <w:tcW w:w="2551" w:type="dxa"/>
            <w:vAlign w:val="center"/>
          </w:tcPr>
          <w:p w14:paraId="54A11D9F" w14:textId="77777777" w:rsidR="00B32CF3" w:rsidRDefault="009B2FDA">
            <w:pPr>
              <w:jc w:val="right"/>
            </w:pPr>
            <w:r>
              <w:rPr>
                <w:rFonts w:eastAsiaTheme="minorEastAsia"/>
                <w:color w:val="000000" w:themeColor="text1"/>
                <w:szCs w:val="21"/>
              </w:rPr>
              <w:t>7,310,602.00</w:t>
            </w:r>
          </w:p>
        </w:tc>
        <w:tc>
          <w:tcPr>
            <w:tcW w:w="3175" w:type="dxa"/>
            <w:vAlign w:val="center"/>
          </w:tcPr>
          <w:p w14:paraId="43FA35ED" w14:textId="77777777" w:rsidR="00B32CF3" w:rsidRDefault="009B2FDA">
            <w:pPr>
              <w:jc w:val="right"/>
            </w:pPr>
            <w:r>
              <w:rPr>
                <w:rFonts w:eastAsiaTheme="minorEastAsia"/>
                <w:color w:val="000000" w:themeColor="text1"/>
                <w:szCs w:val="21"/>
              </w:rPr>
              <w:t>10.29</w:t>
            </w:r>
          </w:p>
        </w:tc>
      </w:tr>
      <w:tr w:rsidR="00B32CF3" w14:paraId="372D3F6B" w14:textId="77777777">
        <w:tc>
          <w:tcPr>
            <w:tcW w:w="2787" w:type="dxa"/>
            <w:vAlign w:val="center"/>
          </w:tcPr>
          <w:p w14:paraId="4E0564C5" w14:textId="77777777" w:rsidR="00B32CF3" w:rsidRDefault="009B2FDA">
            <w:pPr>
              <w:jc w:val="left"/>
            </w:pPr>
            <w:r>
              <w:rPr>
                <w:rFonts w:eastAsiaTheme="minorEastAsia"/>
                <w:color w:val="000000" w:themeColor="text1"/>
                <w:szCs w:val="21"/>
              </w:rPr>
              <w:t>电信服务</w:t>
            </w:r>
          </w:p>
        </w:tc>
        <w:tc>
          <w:tcPr>
            <w:tcW w:w="2551" w:type="dxa"/>
            <w:vAlign w:val="center"/>
          </w:tcPr>
          <w:p w14:paraId="3FF7CAC9" w14:textId="77777777" w:rsidR="00B32CF3" w:rsidRDefault="009B2FDA">
            <w:pPr>
              <w:jc w:val="right"/>
            </w:pPr>
            <w:r>
              <w:rPr>
                <w:rFonts w:eastAsiaTheme="minorEastAsia"/>
                <w:color w:val="000000" w:themeColor="text1"/>
                <w:szCs w:val="21"/>
              </w:rPr>
              <w:t>5,867,632.74</w:t>
            </w:r>
          </w:p>
        </w:tc>
        <w:tc>
          <w:tcPr>
            <w:tcW w:w="3175" w:type="dxa"/>
            <w:vAlign w:val="center"/>
          </w:tcPr>
          <w:p w14:paraId="202B461B" w14:textId="77777777" w:rsidR="00B32CF3" w:rsidRDefault="009B2FDA">
            <w:pPr>
              <w:jc w:val="right"/>
            </w:pPr>
            <w:r>
              <w:rPr>
                <w:rFonts w:eastAsiaTheme="minorEastAsia"/>
                <w:color w:val="000000" w:themeColor="text1"/>
                <w:szCs w:val="21"/>
              </w:rPr>
              <w:t>8.26</w:t>
            </w:r>
          </w:p>
        </w:tc>
      </w:tr>
      <w:tr w:rsidR="00B32CF3" w14:paraId="431A3DBE" w14:textId="77777777">
        <w:tc>
          <w:tcPr>
            <w:tcW w:w="2787" w:type="dxa"/>
            <w:vAlign w:val="center"/>
          </w:tcPr>
          <w:p w14:paraId="5DE6BBE5" w14:textId="77777777" w:rsidR="00B32CF3" w:rsidRDefault="009B2FDA">
            <w:pPr>
              <w:jc w:val="left"/>
            </w:pPr>
            <w:r>
              <w:rPr>
                <w:rFonts w:eastAsiaTheme="minorEastAsia"/>
                <w:color w:val="000000" w:themeColor="text1"/>
                <w:szCs w:val="21"/>
              </w:rPr>
              <w:t>工业</w:t>
            </w:r>
          </w:p>
        </w:tc>
        <w:tc>
          <w:tcPr>
            <w:tcW w:w="2551" w:type="dxa"/>
            <w:vAlign w:val="center"/>
          </w:tcPr>
          <w:p w14:paraId="77C319BA" w14:textId="77777777" w:rsidR="00B32CF3" w:rsidRDefault="009B2FDA">
            <w:pPr>
              <w:jc w:val="right"/>
            </w:pPr>
            <w:r>
              <w:rPr>
                <w:rFonts w:eastAsiaTheme="minorEastAsia"/>
                <w:color w:val="000000" w:themeColor="text1"/>
                <w:szCs w:val="21"/>
              </w:rPr>
              <w:t>4,169,571.48</w:t>
            </w:r>
          </w:p>
        </w:tc>
        <w:tc>
          <w:tcPr>
            <w:tcW w:w="3175" w:type="dxa"/>
            <w:vAlign w:val="center"/>
          </w:tcPr>
          <w:p w14:paraId="12BEF719" w14:textId="77777777" w:rsidR="00B32CF3" w:rsidRDefault="009B2FDA">
            <w:pPr>
              <w:jc w:val="right"/>
            </w:pPr>
            <w:r>
              <w:rPr>
                <w:rFonts w:eastAsiaTheme="minorEastAsia"/>
                <w:color w:val="000000" w:themeColor="text1"/>
                <w:szCs w:val="21"/>
              </w:rPr>
              <w:t>5.87</w:t>
            </w:r>
          </w:p>
        </w:tc>
      </w:tr>
      <w:tr w:rsidR="00B32CF3" w14:paraId="6A1DC125" w14:textId="77777777">
        <w:tc>
          <w:tcPr>
            <w:tcW w:w="2787" w:type="dxa"/>
            <w:vAlign w:val="center"/>
          </w:tcPr>
          <w:p w14:paraId="60BF7CAF" w14:textId="77777777" w:rsidR="00B32CF3" w:rsidRDefault="009B2FDA">
            <w:pPr>
              <w:jc w:val="left"/>
            </w:pPr>
            <w:r>
              <w:rPr>
                <w:rFonts w:eastAsiaTheme="minorEastAsia"/>
                <w:color w:val="000000" w:themeColor="text1"/>
                <w:szCs w:val="21"/>
              </w:rPr>
              <w:t>基础材料</w:t>
            </w:r>
          </w:p>
        </w:tc>
        <w:tc>
          <w:tcPr>
            <w:tcW w:w="2551" w:type="dxa"/>
            <w:vAlign w:val="center"/>
          </w:tcPr>
          <w:p w14:paraId="2D1F3D89" w14:textId="77777777" w:rsidR="00B32CF3" w:rsidRDefault="009B2FDA">
            <w:pPr>
              <w:jc w:val="right"/>
            </w:pPr>
            <w:r>
              <w:rPr>
                <w:rFonts w:eastAsiaTheme="minorEastAsia"/>
                <w:color w:val="000000" w:themeColor="text1"/>
                <w:szCs w:val="21"/>
              </w:rPr>
              <w:t>1,341,043.29</w:t>
            </w:r>
          </w:p>
        </w:tc>
        <w:tc>
          <w:tcPr>
            <w:tcW w:w="3175" w:type="dxa"/>
            <w:vAlign w:val="center"/>
          </w:tcPr>
          <w:p w14:paraId="22888331" w14:textId="77777777" w:rsidR="00B32CF3" w:rsidRDefault="009B2FDA">
            <w:pPr>
              <w:jc w:val="right"/>
            </w:pPr>
            <w:r>
              <w:rPr>
                <w:rFonts w:eastAsiaTheme="minorEastAsia"/>
                <w:color w:val="000000" w:themeColor="text1"/>
                <w:szCs w:val="21"/>
              </w:rPr>
              <w:t>1.89</w:t>
            </w:r>
          </w:p>
        </w:tc>
      </w:tr>
      <w:tr w:rsidR="00B32CF3" w14:paraId="6E0AF7B0" w14:textId="77777777">
        <w:tc>
          <w:tcPr>
            <w:tcW w:w="2787" w:type="dxa"/>
            <w:vAlign w:val="center"/>
          </w:tcPr>
          <w:p w14:paraId="12879A30" w14:textId="77777777" w:rsidR="00B32CF3" w:rsidRDefault="009B2FDA">
            <w:pPr>
              <w:jc w:val="left"/>
            </w:pPr>
            <w:r>
              <w:rPr>
                <w:rFonts w:eastAsiaTheme="minorEastAsia"/>
                <w:color w:val="000000" w:themeColor="text1"/>
                <w:szCs w:val="21"/>
              </w:rPr>
              <w:t>消费者常用品</w:t>
            </w:r>
          </w:p>
        </w:tc>
        <w:tc>
          <w:tcPr>
            <w:tcW w:w="2551" w:type="dxa"/>
            <w:vAlign w:val="center"/>
          </w:tcPr>
          <w:p w14:paraId="7732CC92" w14:textId="77777777" w:rsidR="00B32CF3" w:rsidRDefault="009B2FDA">
            <w:pPr>
              <w:jc w:val="right"/>
            </w:pPr>
            <w:r>
              <w:rPr>
                <w:rFonts w:eastAsiaTheme="minorEastAsia"/>
                <w:color w:val="000000" w:themeColor="text1"/>
                <w:szCs w:val="21"/>
              </w:rPr>
              <w:t>954,319.84</w:t>
            </w:r>
          </w:p>
        </w:tc>
        <w:tc>
          <w:tcPr>
            <w:tcW w:w="3175" w:type="dxa"/>
            <w:vAlign w:val="center"/>
          </w:tcPr>
          <w:p w14:paraId="72DEF286" w14:textId="77777777" w:rsidR="00B32CF3" w:rsidRDefault="009B2FDA">
            <w:pPr>
              <w:jc w:val="right"/>
            </w:pPr>
            <w:r>
              <w:rPr>
                <w:rFonts w:eastAsiaTheme="minorEastAsia"/>
                <w:color w:val="000000" w:themeColor="text1"/>
                <w:szCs w:val="21"/>
              </w:rPr>
              <w:t>1.34</w:t>
            </w:r>
          </w:p>
        </w:tc>
      </w:tr>
      <w:tr w:rsidR="00B32CF3" w14:paraId="565D49E0" w14:textId="77777777">
        <w:tc>
          <w:tcPr>
            <w:tcW w:w="2787" w:type="dxa"/>
            <w:vAlign w:val="center"/>
          </w:tcPr>
          <w:p w14:paraId="35CD0244" w14:textId="77777777" w:rsidR="00B32CF3" w:rsidRDefault="009B2FDA">
            <w:pPr>
              <w:jc w:val="left"/>
            </w:pPr>
            <w:r>
              <w:rPr>
                <w:rFonts w:eastAsiaTheme="minorEastAsia"/>
                <w:color w:val="000000" w:themeColor="text1"/>
                <w:szCs w:val="21"/>
              </w:rPr>
              <w:t>医疗保健</w:t>
            </w:r>
          </w:p>
        </w:tc>
        <w:tc>
          <w:tcPr>
            <w:tcW w:w="2551" w:type="dxa"/>
            <w:vAlign w:val="center"/>
          </w:tcPr>
          <w:p w14:paraId="14DCB0C4" w14:textId="77777777" w:rsidR="00B32CF3" w:rsidRDefault="009B2FDA">
            <w:pPr>
              <w:jc w:val="right"/>
            </w:pPr>
            <w:r>
              <w:rPr>
                <w:rFonts w:eastAsiaTheme="minorEastAsia"/>
                <w:color w:val="000000" w:themeColor="text1"/>
                <w:szCs w:val="21"/>
              </w:rPr>
              <w:t>475,473.86</w:t>
            </w:r>
          </w:p>
        </w:tc>
        <w:tc>
          <w:tcPr>
            <w:tcW w:w="3175" w:type="dxa"/>
            <w:vAlign w:val="center"/>
          </w:tcPr>
          <w:p w14:paraId="7175FC4F" w14:textId="77777777" w:rsidR="00B32CF3" w:rsidRDefault="009B2FDA">
            <w:pPr>
              <w:jc w:val="right"/>
            </w:pPr>
            <w:r>
              <w:rPr>
                <w:rFonts w:eastAsiaTheme="minorEastAsia"/>
                <w:color w:val="000000" w:themeColor="text1"/>
                <w:szCs w:val="21"/>
              </w:rPr>
              <w:t>0.67</w:t>
            </w:r>
          </w:p>
        </w:tc>
      </w:tr>
      <w:tr w:rsidR="00B32CF3" w14:paraId="0B305140" w14:textId="77777777">
        <w:tc>
          <w:tcPr>
            <w:tcW w:w="2787" w:type="dxa"/>
            <w:vAlign w:val="center"/>
          </w:tcPr>
          <w:p w14:paraId="53E7F4DC" w14:textId="77777777" w:rsidR="00B32CF3" w:rsidRDefault="009B2FDA">
            <w:pPr>
              <w:jc w:val="left"/>
            </w:pPr>
            <w:r>
              <w:rPr>
                <w:rFonts w:eastAsiaTheme="minorEastAsia"/>
                <w:color w:val="000000" w:themeColor="text1"/>
                <w:szCs w:val="21"/>
              </w:rPr>
              <w:t>公用事业</w:t>
            </w:r>
          </w:p>
        </w:tc>
        <w:tc>
          <w:tcPr>
            <w:tcW w:w="2551" w:type="dxa"/>
            <w:vAlign w:val="center"/>
          </w:tcPr>
          <w:p w14:paraId="04A977A3" w14:textId="77777777" w:rsidR="00B32CF3" w:rsidRDefault="009B2FDA">
            <w:pPr>
              <w:jc w:val="right"/>
            </w:pPr>
            <w:r>
              <w:rPr>
                <w:rFonts w:eastAsiaTheme="minorEastAsia"/>
                <w:color w:val="000000" w:themeColor="text1"/>
                <w:szCs w:val="21"/>
              </w:rPr>
              <w:t>323,357.78</w:t>
            </w:r>
          </w:p>
        </w:tc>
        <w:tc>
          <w:tcPr>
            <w:tcW w:w="3175" w:type="dxa"/>
            <w:vAlign w:val="center"/>
          </w:tcPr>
          <w:p w14:paraId="745F6847" w14:textId="77777777" w:rsidR="00B32CF3" w:rsidRDefault="009B2FDA">
            <w:pPr>
              <w:jc w:val="right"/>
            </w:pPr>
            <w:r>
              <w:rPr>
                <w:rFonts w:eastAsiaTheme="minorEastAsia"/>
                <w:color w:val="000000" w:themeColor="text1"/>
                <w:szCs w:val="21"/>
              </w:rPr>
              <w:t>0.46</w:t>
            </w:r>
          </w:p>
        </w:tc>
      </w:tr>
      <w:tr w:rsidR="008277FF" w:rsidRPr="00A76A42" w14:paraId="6DFC5C8E" w14:textId="77777777" w:rsidTr="00877D98">
        <w:tc>
          <w:tcPr>
            <w:tcW w:w="2787" w:type="dxa"/>
            <w:vAlign w:val="center"/>
          </w:tcPr>
          <w:p w14:paraId="57A9B5A0" w14:textId="77777777"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14:paraId="24A9AFDE"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63,074,891.49</w:t>
            </w:r>
          </w:p>
        </w:tc>
        <w:tc>
          <w:tcPr>
            <w:tcW w:w="3175" w:type="dxa"/>
            <w:vAlign w:val="center"/>
          </w:tcPr>
          <w:p w14:paraId="1CCC8AFA"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88.80</w:t>
            </w:r>
          </w:p>
        </w:tc>
      </w:tr>
    </w:tbl>
    <w:p w14:paraId="05779539" w14:textId="77777777"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14:paraId="57A452E5" w14:textId="77777777"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14:paraId="560CF4F4" w14:textId="77777777"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4"/>
        <w:gridCol w:w="1742"/>
        <w:gridCol w:w="1061"/>
        <w:gridCol w:w="846"/>
        <w:gridCol w:w="603"/>
        <w:gridCol w:w="690"/>
        <w:gridCol w:w="889"/>
        <w:gridCol w:w="1319"/>
        <w:gridCol w:w="889"/>
      </w:tblGrid>
      <w:tr w:rsidR="004D1766" w:rsidRPr="00423D61" w14:paraId="6DF1BDA7" w14:textId="77777777" w:rsidTr="00D913A1">
        <w:tc>
          <w:tcPr>
            <w:tcW w:w="794" w:type="dxa"/>
            <w:vAlign w:val="center"/>
          </w:tcPr>
          <w:p w14:paraId="4A1E25B5"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14:paraId="01996E45"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14:paraId="7627F48D"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14:paraId="75DDBADC"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14:paraId="5656760B"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14:paraId="4DFB6208"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w:t>
            </w:r>
            <w:r w:rsidRPr="00423D61">
              <w:rPr>
                <w:rFonts w:eastAsiaTheme="minorEastAsia"/>
                <w:color w:val="000000" w:themeColor="text1"/>
                <w:kern w:val="0"/>
                <w:szCs w:val="21"/>
              </w:rPr>
              <w:lastRenderedPageBreak/>
              <w:t>市场</w:t>
            </w:r>
          </w:p>
        </w:tc>
        <w:tc>
          <w:tcPr>
            <w:tcW w:w="969" w:type="dxa"/>
            <w:vAlign w:val="center"/>
          </w:tcPr>
          <w:p w14:paraId="3FECA52C"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lastRenderedPageBreak/>
              <w:t>所属国家</w:t>
            </w:r>
          </w:p>
          <w:p w14:paraId="748961C6"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14:paraId="5578CC22"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14:paraId="163C2113"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14:paraId="1BCD9EE3"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14:paraId="3A551ACB"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B32CF3" w14:paraId="72678CF2" w14:textId="77777777">
        <w:tc>
          <w:tcPr>
            <w:tcW w:w="0" w:type="auto"/>
            <w:vAlign w:val="center"/>
          </w:tcPr>
          <w:p w14:paraId="6E059CB0" w14:textId="77777777" w:rsidR="00B32CF3" w:rsidRDefault="009B2FDA">
            <w:pPr>
              <w:jc w:val="center"/>
            </w:pPr>
            <w:r>
              <w:rPr>
                <w:rFonts w:eastAsiaTheme="minorEastAsia"/>
                <w:color w:val="000000" w:themeColor="text1"/>
                <w:szCs w:val="21"/>
              </w:rPr>
              <w:t>1</w:t>
            </w:r>
          </w:p>
        </w:tc>
        <w:tc>
          <w:tcPr>
            <w:tcW w:w="0" w:type="auto"/>
            <w:vAlign w:val="center"/>
          </w:tcPr>
          <w:p w14:paraId="6858F0DD" w14:textId="77777777" w:rsidR="00B32CF3" w:rsidRDefault="009B2FDA">
            <w:pPr>
              <w:jc w:val="center"/>
            </w:pPr>
            <w:r>
              <w:rPr>
                <w:rFonts w:eastAsiaTheme="minorEastAsia"/>
                <w:color w:val="000000" w:themeColor="text1"/>
                <w:szCs w:val="21"/>
              </w:rPr>
              <w:t>Taiwan Semiconductor Manufacturing Co Ltd</w:t>
            </w:r>
          </w:p>
        </w:tc>
        <w:tc>
          <w:tcPr>
            <w:tcW w:w="0" w:type="auto"/>
            <w:vAlign w:val="center"/>
          </w:tcPr>
          <w:p w14:paraId="371D41E6" w14:textId="77777777" w:rsidR="00B32CF3" w:rsidRDefault="009B2FDA">
            <w:pPr>
              <w:jc w:val="center"/>
            </w:pPr>
            <w:r>
              <w:rPr>
                <w:rFonts w:eastAsiaTheme="minorEastAsia"/>
                <w:color w:val="000000" w:themeColor="text1"/>
                <w:szCs w:val="21"/>
              </w:rPr>
              <w:t>台湾集成电路制造股份有限公司</w:t>
            </w:r>
          </w:p>
        </w:tc>
        <w:tc>
          <w:tcPr>
            <w:tcW w:w="0" w:type="auto"/>
            <w:vAlign w:val="center"/>
          </w:tcPr>
          <w:p w14:paraId="7875F8CE" w14:textId="77777777" w:rsidR="00B32CF3" w:rsidRDefault="009B2FDA">
            <w:pPr>
              <w:jc w:val="center"/>
            </w:pPr>
            <w:r>
              <w:rPr>
                <w:rFonts w:eastAsiaTheme="minorEastAsia"/>
                <w:color w:val="000000" w:themeColor="text1"/>
                <w:szCs w:val="21"/>
              </w:rPr>
              <w:t>TSM</w:t>
            </w:r>
          </w:p>
        </w:tc>
        <w:tc>
          <w:tcPr>
            <w:tcW w:w="0" w:type="auto"/>
            <w:vAlign w:val="center"/>
          </w:tcPr>
          <w:p w14:paraId="60D6F863" w14:textId="77777777" w:rsidR="00B32CF3" w:rsidRDefault="009B2FDA">
            <w:pPr>
              <w:jc w:val="center"/>
            </w:pPr>
            <w:r>
              <w:rPr>
                <w:rFonts w:eastAsiaTheme="minorEastAsia"/>
                <w:color w:val="000000" w:themeColor="text1"/>
                <w:szCs w:val="21"/>
              </w:rPr>
              <w:t>纽约证券交易所</w:t>
            </w:r>
          </w:p>
        </w:tc>
        <w:tc>
          <w:tcPr>
            <w:tcW w:w="0" w:type="auto"/>
            <w:vAlign w:val="center"/>
          </w:tcPr>
          <w:p w14:paraId="3203CA0E" w14:textId="77777777" w:rsidR="00B32CF3" w:rsidRDefault="009B2FDA">
            <w:pPr>
              <w:jc w:val="center"/>
            </w:pPr>
            <w:r>
              <w:rPr>
                <w:rFonts w:eastAsiaTheme="minorEastAsia"/>
                <w:color w:val="000000" w:themeColor="text1"/>
                <w:szCs w:val="21"/>
              </w:rPr>
              <w:t>美国</w:t>
            </w:r>
          </w:p>
        </w:tc>
        <w:tc>
          <w:tcPr>
            <w:tcW w:w="0" w:type="auto"/>
            <w:vAlign w:val="center"/>
          </w:tcPr>
          <w:p w14:paraId="566B37A1" w14:textId="77777777" w:rsidR="00B32CF3" w:rsidRDefault="009B2FDA">
            <w:pPr>
              <w:jc w:val="right"/>
            </w:pPr>
            <w:r>
              <w:rPr>
                <w:rFonts w:eastAsiaTheme="minorEastAsia"/>
                <w:color w:val="000000" w:themeColor="text1"/>
                <w:szCs w:val="21"/>
              </w:rPr>
              <w:t>5,607</w:t>
            </w:r>
          </w:p>
        </w:tc>
        <w:tc>
          <w:tcPr>
            <w:tcW w:w="0" w:type="auto"/>
            <w:vAlign w:val="center"/>
          </w:tcPr>
          <w:p w14:paraId="6A41EC55" w14:textId="77777777" w:rsidR="00B32CF3" w:rsidRDefault="009B2FDA">
            <w:pPr>
              <w:jc w:val="right"/>
            </w:pPr>
            <w:r>
              <w:rPr>
                <w:rFonts w:eastAsiaTheme="minorEastAsia"/>
                <w:color w:val="000000" w:themeColor="text1"/>
                <w:szCs w:val="21"/>
              </w:rPr>
              <w:t>6,945,441.97</w:t>
            </w:r>
          </w:p>
        </w:tc>
        <w:tc>
          <w:tcPr>
            <w:tcW w:w="0" w:type="auto"/>
            <w:vAlign w:val="center"/>
          </w:tcPr>
          <w:p w14:paraId="7E1478B4" w14:textId="77777777" w:rsidR="00B32CF3" w:rsidRDefault="009B2FDA">
            <w:pPr>
              <w:jc w:val="right"/>
            </w:pPr>
            <w:r>
              <w:rPr>
                <w:rFonts w:eastAsiaTheme="minorEastAsia"/>
                <w:color w:val="000000" w:themeColor="text1"/>
                <w:szCs w:val="21"/>
              </w:rPr>
              <w:t>9.78</w:t>
            </w:r>
          </w:p>
        </w:tc>
      </w:tr>
      <w:tr w:rsidR="00B32CF3" w14:paraId="42FCAA5A" w14:textId="77777777">
        <w:tc>
          <w:tcPr>
            <w:tcW w:w="0" w:type="auto"/>
            <w:vAlign w:val="center"/>
          </w:tcPr>
          <w:p w14:paraId="09970DFD" w14:textId="77777777" w:rsidR="00B32CF3" w:rsidRDefault="009B2FDA">
            <w:pPr>
              <w:jc w:val="center"/>
            </w:pPr>
            <w:r>
              <w:rPr>
                <w:rFonts w:eastAsiaTheme="minorEastAsia"/>
                <w:color w:val="000000" w:themeColor="text1"/>
                <w:szCs w:val="21"/>
              </w:rPr>
              <w:t>2</w:t>
            </w:r>
          </w:p>
        </w:tc>
        <w:tc>
          <w:tcPr>
            <w:tcW w:w="0" w:type="auto"/>
            <w:vAlign w:val="center"/>
          </w:tcPr>
          <w:p w14:paraId="03004FF2" w14:textId="77777777" w:rsidR="00B32CF3" w:rsidRDefault="009B2FDA">
            <w:pPr>
              <w:jc w:val="center"/>
            </w:pPr>
            <w:r>
              <w:rPr>
                <w:rFonts w:eastAsiaTheme="minorEastAsia"/>
                <w:color w:val="000000" w:themeColor="text1"/>
                <w:szCs w:val="21"/>
              </w:rPr>
              <w:t>Tencent Holdings Ltd</w:t>
            </w:r>
          </w:p>
        </w:tc>
        <w:tc>
          <w:tcPr>
            <w:tcW w:w="0" w:type="auto"/>
            <w:vAlign w:val="center"/>
          </w:tcPr>
          <w:p w14:paraId="3E07B0C2" w14:textId="77777777" w:rsidR="00B32CF3" w:rsidRDefault="009B2FDA">
            <w:pPr>
              <w:jc w:val="center"/>
            </w:pPr>
            <w:r>
              <w:rPr>
                <w:rFonts w:eastAsiaTheme="minorEastAsia"/>
                <w:color w:val="000000" w:themeColor="text1"/>
                <w:szCs w:val="21"/>
              </w:rPr>
              <w:t>腾讯控股有限公司</w:t>
            </w:r>
          </w:p>
        </w:tc>
        <w:tc>
          <w:tcPr>
            <w:tcW w:w="0" w:type="auto"/>
            <w:vAlign w:val="center"/>
          </w:tcPr>
          <w:p w14:paraId="4814E502" w14:textId="77777777" w:rsidR="00B32CF3" w:rsidRDefault="009B2FDA">
            <w:pPr>
              <w:jc w:val="center"/>
            </w:pPr>
            <w:r>
              <w:rPr>
                <w:rFonts w:eastAsiaTheme="minorEastAsia"/>
                <w:color w:val="000000" w:themeColor="text1"/>
                <w:szCs w:val="21"/>
              </w:rPr>
              <w:t>700</w:t>
            </w:r>
          </w:p>
        </w:tc>
        <w:tc>
          <w:tcPr>
            <w:tcW w:w="0" w:type="auto"/>
            <w:vAlign w:val="center"/>
          </w:tcPr>
          <w:p w14:paraId="64A26919" w14:textId="77777777" w:rsidR="00B32CF3" w:rsidRDefault="009B2FDA">
            <w:pPr>
              <w:jc w:val="center"/>
            </w:pPr>
            <w:r>
              <w:rPr>
                <w:rFonts w:eastAsiaTheme="minorEastAsia"/>
                <w:color w:val="000000" w:themeColor="text1"/>
                <w:szCs w:val="21"/>
              </w:rPr>
              <w:t>香港证券交易所</w:t>
            </w:r>
          </w:p>
        </w:tc>
        <w:tc>
          <w:tcPr>
            <w:tcW w:w="0" w:type="auto"/>
            <w:vAlign w:val="center"/>
          </w:tcPr>
          <w:p w14:paraId="45A6C916" w14:textId="77777777" w:rsidR="00B32CF3" w:rsidRDefault="009B2FDA">
            <w:pPr>
              <w:jc w:val="center"/>
            </w:pPr>
            <w:r>
              <w:rPr>
                <w:rFonts w:eastAsiaTheme="minorEastAsia"/>
                <w:color w:val="000000" w:themeColor="text1"/>
                <w:szCs w:val="21"/>
              </w:rPr>
              <w:t>中国香港</w:t>
            </w:r>
          </w:p>
        </w:tc>
        <w:tc>
          <w:tcPr>
            <w:tcW w:w="0" w:type="auto"/>
            <w:vAlign w:val="center"/>
          </w:tcPr>
          <w:p w14:paraId="2A7D2523" w14:textId="77777777" w:rsidR="00B32CF3" w:rsidRDefault="009B2FDA">
            <w:pPr>
              <w:jc w:val="right"/>
            </w:pPr>
            <w:r>
              <w:rPr>
                <w:rFonts w:eastAsiaTheme="minorEastAsia"/>
                <w:color w:val="000000" w:themeColor="text1"/>
                <w:szCs w:val="21"/>
              </w:rPr>
              <w:t>11,700</w:t>
            </w:r>
          </w:p>
        </w:tc>
        <w:tc>
          <w:tcPr>
            <w:tcW w:w="0" w:type="auto"/>
            <w:vAlign w:val="center"/>
          </w:tcPr>
          <w:p w14:paraId="1E0688E2" w14:textId="77777777" w:rsidR="00B32CF3" w:rsidRDefault="009B2FDA">
            <w:pPr>
              <w:jc w:val="right"/>
            </w:pPr>
            <w:r>
              <w:rPr>
                <w:rFonts w:eastAsiaTheme="minorEastAsia"/>
                <w:color w:val="000000" w:themeColor="text1"/>
                <w:szCs w:val="21"/>
              </w:rPr>
              <w:t>3,977,257.18</w:t>
            </w:r>
          </w:p>
        </w:tc>
        <w:tc>
          <w:tcPr>
            <w:tcW w:w="0" w:type="auto"/>
            <w:vAlign w:val="center"/>
          </w:tcPr>
          <w:p w14:paraId="7BBDFF6B" w14:textId="77777777" w:rsidR="00B32CF3" w:rsidRDefault="009B2FDA">
            <w:pPr>
              <w:jc w:val="right"/>
            </w:pPr>
            <w:r>
              <w:rPr>
                <w:rFonts w:eastAsiaTheme="minorEastAsia"/>
                <w:color w:val="000000" w:themeColor="text1"/>
                <w:szCs w:val="21"/>
              </w:rPr>
              <w:t>5.60</w:t>
            </w:r>
          </w:p>
        </w:tc>
      </w:tr>
      <w:tr w:rsidR="00B32CF3" w14:paraId="0F32C827" w14:textId="77777777">
        <w:tc>
          <w:tcPr>
            <w:tcW w:w="0" w:type="auto"/>
            <w:vAlign w:val="center"/>
          </w:tcPr>
          <w:p w14:paraId="7220098C" w14:textId="77777777" w:rsidR="00B32CF3" w:rsidRDefault="009B2FDA">
            <w:pPr>
              <w:jc w:val="center"/>
            </w:pPr>
            <w:r>
              <w:rPr>
                <w:rFonts w:eastAsiaTheme="minorEastAsia"/>
                <w:color w:val="000000" w:themeColor="text1"/>
                <w:szCs w:val="21"/>
              </w:rPr>
              <w:t>3</w:t>
            </w:r>
          </w:p>
        </w:tc>
        <w:tc>
          <w:tcPr>
            <w:tcW w:w="0" w:type="auto"/>
            <w:vAlign w:val="center"/>
          </w:tcPr>
          <w:p w14:paraId="521B2B4E" w14:textId="77777777" w:rsidR="00B32CF3" w:rsidRDefault="009B2FDA">
            <w:pPr>
              <w:jc w:val="center"/>
            </w:pPr>
            <w:r>
              <w:rPr>
                <w:rFonts w:eastAsiaTheme="minorEastAsia"/>
                <w:color w:val="000000" w:themeColor="text1"/>
                <w:szCs w:val="21"/>
              </w:rPr>
              <w:t>Samsung Electronics Co Ltd</w:t>
            </w:r>
          </w:p>
        </w:tc>
        <w:tc>
          <w:tcPr>
            <w:tcW w:w="0" w:type="auto"/>
            <w:vAlign w:val="center"/>
          </w:tcPr>
          <w:p w14:paraId="77593B74" w14:textId="77777777" w:rsidR="00B32CF3" w:rsidRDefault="009B2FDA">
            <w:pPr>
              <w:jc w:val="center"/>
            </w:pPr>
            <w:r>
              <w:rPr>
                <w:rFonts w:eastAsiaTheme="minorEastAsia"/>
                <w:color w:val="000000" w:themeColor="text1"/>
                <w:szCs w:val="21"/>
              </w:rPr>
              <w:t>三星电子有限公司</w:t>
            </w:r>
          </w:p>
        </w:tc>
        <w:tc>
          <w:tcPr>
            <w:tcW w:w="0" w:type="auto"/>
            <w:vAlign w:val="center"/>
          </w:tcPr>
          <w:p w14:paraId="354AD577" w14:textId="77777777" w:rsidR="00B32CF3" w:rsidRDefault="009B2FDA">
            <w:pPr>
              <w:jc w:val="center"/>
            </w:pPr>
            <w:r>
              <w:rPr>
                <w:rFonts w:eastAsiaTheme="minorEastAsia"/>
                <w:color w:val="000000" w:themeColor="text1"/>
                <w:szCs w:val="21"/>
              </w:rPr>
              <w:t>005930</w:t>
            </w:r>
          </w:p>
        </w:tc>
        <w:tc>
          <w:tcPr>
            <w:tcW w:w="0" w:type="auto"/>
            <w:vAlign w:val="center"/>
          </w:tcPr>
          <w:p w14:paraId="12EC07AE" w14:textId="77777777" w:rsidR="00B32CF3" w:rsidRDefault="009B2FDA">
            <w:pPr>
              <w:jc w:val="center"/>
            </w:pPr>
            <w:r>
              <w:rPr>
                <w:rFonts w:eastAsiaTheme="minorEastAsia"/>
                <w:color w:val="000000" w:themeColor="text1"/>
                <w:szCs w:val="21"/>
              </w:rPr>
              <w:t>韩国证券交易所</w:t>
            </w:r>
          </w:p>
        </w:tc>
        <w:tc>
          <w:tcPr>
            <w:tcW w:w="0" w:type="auto"/>
            <w:vAlign w:val="center"/>
          </w:tcPr>
          <w:p w14:paraId="03EF62B3" w14:textId="77777777" w:rsidR="00B32CF3" w:rsidRDefault="009B2FDA">
            <w:pPr>
              <w:jc w:val="center"/>
            </w:pPr>
            <w:r>
              <w:rPr>
                <w:rFonts w:eastAsiaTheme="minorEastAsia"/>
                <w:color w:val="000000" w:themeColor="text1"/>
                <w:szCs w:val="21"/>
              </w:rPr>
              <w:t>韩国</w:t>
            </w:r>
          </w:p>
        </w:tc>
        <w:tc>
          <w:tcPr>
            <w:tcW w:w="0" w:type="auto"/>
            <w:vAlign w:val="center"/>
          </w:tcPr>
          <w:p w14:paraId="11AA2141" w14:textId="77777777" w:rsidR="00B32CF3" w:rsidRDefault="009B2FDA">
            <w:pPr>
              <w:jc w:val="right"/>
            </w:pPr>
            <w:r>
              <w:rPr>
                <w:rFonts w:eastAsiaTheme="minorEastAsia"/>
                <w:color w:val="000000" w:themeColor="text1"/>
                <w:szCs w:val="21"/>
              </w:rPr>
              <w:t>9,400</w:t>
            </w:r>
          </w:p>
        </w:tc>
        <w:tc>
          <w:tcPr>
            <w:tcW w:w="0" w:type="auto"/>
            <w:vAlign w:val="center"/>
          </w:tcPr>
          <w:p w14:paraId="46CA853E" w14:textId="77777777" w:rsidR="00B32CF3" w:rsidRDefault="009B2FDA">
            <w:pPr>
              <w:jc w:val="right"/>
            </w:pPr>
            <w:r>
              <w:rPr>
                <w:rFonts w:eastAsiaTheme="minorEastAsia"/>
                <w:color w:val="000000" w:themeColor="text1"/>
                <w:szCs w:val="21"/>
              </w:rPr>
              <w:t>3,966,466.75</w:t>
            </w:r>
          </w:p>
        </w:tc>
        <w:tc>
          <w:tcPr>
            <w:tcW w:w="0" w:type="auto"/>
            <w:vAlign w:val="center"/>
          </w:tcPr>
          <w:p w14:paraId="62667210" w14:textId="77777777" w:rsidR="00B32CF3" w:rsidRDefault="009B2FDA">
            <w:pPr>
              <w:jc w:val="right"/>
            </w:pPr>
            <w:r>
              <w:rPr>
                <w:rFonts w:eastAsiaTheme="minorEastAsia"/>
                <w:color w:val="000000" w:themeColor="text1"/>
                <w:szCs w:val="21"/>
              </w:rPr>
              <w:t>5.58</w:t>
            </w:r>
          </w:p>
        </w:tc>
      </w:tr>
      <w:tr w:rsidR="00B32CF3" w14:paraId="1E3EE6D6" w14:textId="77777777">
        <w:tc>
          <w:tcPr>
            <w:tcW w:w="0" w:type="auto"/>
            <w:vAlign w:val="center"/>
          </w:tcPr>
          <w:p w14:paraId="2A3528B5" w14:textId="77777777" w:rsidR="00B32CF3" w:rsidRDefault="009B2FDA">
            <w:pPr>
              <w:jc w:val="center"/>
            </w:pPr>
            <w:r>
              <w:rPr>
                <w:rFonts w:eastAsiaTheme="minorEastAsia"/>
                <w:color w:val="000000" w:themeColor="text1"/>
                <w:szCs w:val="21"/>
              </w:rPr>
              <w:t>4</w:t>
            </w:r>
          </w:p>
        </w:tc>
        <w:tc>
          <w:tcPr>
            <w:tcW w:w="0" w:type="auto"/>
            <w:vAlign w:val="center"/>
          </w:tcPr>
          <w:p w14:paraId="5467657E" w14:textId="77777777" w:rsidR="00B32CF3" w:rsidRDefault="009B2FDA">
            <w:pPr>
              <w:jc w:val="center"/>
            </w:pPr>
            <w:r>
              <w:rPr>
                <w:rFonts w:eastAsiaTheme="minorEastAsia"/>
                <w:color w:val="000000" w:themeColor="text1"/>
                <w:szCs w:val="21"/>
              </w:rPr>
              <w:t>Reliance Industries Ltd</w:t>
            </w:r>
          </w:p>
        </w:tc>
        <w:tc>
          <w:tcPr>
            <w:tcW w:w="0" w:type="auto"/>
            <w:vAlign w:val="center"/>
          </w:tcPr>
          <w:p w14:paraId="1DAD8664" w14:textId="77777777" w:rsidR="00B32CF3" w:rsidRDefault="009B2FDA">
            <w:pPr>
              <w:jc w:val="center"/>
            </w:pPr>
            <w:r>
              <w:rPr>
                <w:rFonts w:eastAsiaTheme="minorEastAsia"/>
                <w:color w:val="000000" w:themeColor="text1"/>
                <w:szCs w:val="21"/>
              </w:rPr>
              <w:t>印度信实工业公司</w:t>
            </w:r>
          </w:p>
        </w:tc>
        <w:tc>
          <w:tcPr>
            <w:tcW w:w="0" w:type="auto"/>
            <w:vAlign w:val="center"/>
          </w:tcPr>
          <w:p w14:paraId="25096839" w14:textId="77777777" w:rsidR="00B32CF3" w:rsidRDefault="009B2FDA">
            <w:pPr>
              <w:jc w:val="center"/>
            </w:pPr>
            <w:r>
              <w:rPr>
                <w:rFonts w:eastAsiaTheme="minorEastAsia"/>
                <w:color w:val="000000" w:themeColor="text1"/>
                <w:szCs w:val="21"/>
              </w:rPr>
              <w:t>RIGD</w:t>
            </w:r>
          </w:p>
        </w:tc>
        <w:tc>
          <w:tcPr>
            <w:tcW w:w="0" w:type="auto"/>
            <w:vAlign w:val="center"/>
          </w:tcPr>
          <w:p w14:paraId="74F00787" w14:textId="77777777" w:rsidR="00B32CF3" w:rsidRDefault="009B2FDA">
            <w:pPr>
              <w:jc w:val="center"/>
            </w:pPr>
            <w:r>
              <w:rPr>
                <w:rFonts w:eastAsiaTheme="minorEastAsia"/>
                <w:color w:val="000000" w:themeColor="text1"/>
                <w:szCs w:val="21"/>
              </w:rPr>
              <w:t>伦敦国际金融交易所</w:t>
            </w:r>
          </w:p>
        </w:tc>
        <w:tc>
          <w:tcPr>
            <w:tcW w:w="0" w:type="auto"/>
            <w:vAlign w:val="center"/>
          </w:tcPr>
          <w:p w14:paraId="375DC86B" w14:textId="77777777" w:rsidR="00B32CF3" w:rsidRDefault="009B2FDA">
            <w:pPr>
              <w:jc w:val="center"/>
            </w:pPr>
            <w:r>
              <w:rPr>
                <w:rFonts w:eastAsiaTheme="minorEastAsia"/>
                <w:color w:val="000000" w:themeColor="text1"/>
                <w:szCs w:val="21"/>
              </w:rPr>
              <w:t>英国</w:t>
            </w:r>
          </w:p>
        </w:tc>
        <w:tc>
          <w:tcPr>
            <w:tcW w:w="0" w:type="auto"/>
            <w:vAlign w:val="center"/>
          </w:tcPr>
          <w:p w14:paraId="23DE8CCF" w14:textId="77777777" w:rsidR="00B32CF3" w:rsidRDefault="009B2FDA">
            <w:pPr>
              <w:jc w:val="right"/>
            </w:pPr>
            <w:r>
              <w:rPr>
                <w:rFonts w:eastAsiaTheme="minorEastAsia"/>
                <w:color w:val="000000" w:themeColor="text1"/>
                <w:szCs w:val="21"/>
              </w:rPr>
              <w:t>4,211</w:t>
            </w:r>
          </w:p>
        </w:tc>
        <w:tc>
          <w:tcPr>
            <w:tcW w:w="0" w:type="auto"/>
            <w:vAlign w:val="center"/>
          </w:tcPr>
          <w:p w14:paraId="2BCCB62B" w14:textId="77777777" w:rsidR="00B32CF3" w:rsidRDefault="009B2FDA">
            <w:pPr>
              <w:jc w:val="right"/>
            </w:pPr>
            <w:r>
              <w:rPr>
                <w:rFonts w:eastAsiaTheme="minorEastAsia"/>
                <w:color w:val="000000" w:themeColor="text1"/>
                <w:szCs w:val="21"/>
              </w:rPr>
              <w:t>2,238,817.23</w:t>
            </w:r>
          </w:p>
        </w:tc>
        <w:tc>
          <w:tcPr>
            <w:tcW w:w="0" w:type="auto"/>
            <w:vAlign w:val="center"/>
          </w:tcPr>
          <w:p w14:paraId="677568B5" w14:textId="77777777" w:rsidR="00B32CF3" w:rsidRDefault="009B2FDA">
            <w:pPr>
              <w:jc w:val="right"/>
            </w:pPr>
            <w:r>
              <w:rPr>
                <w:rFonts w:eastAsiaTheme="minorEastAsia"/>
                <w:color w:val="000000" w:themeColor="text1"/>
                <w:szCs w:val="21"/>
              </w:rPr>
              <w:t>3.15</w:t>
            </w:r>
          </w:p>
        </w:tc>
      </w:tr>
      <w:tr w:rsidR="00B32CF3" w14:paraId="21332028" w14:textId="77777777">
        <w:tc>
          <w:tcPr>
            <w:tcW w:w="0" w:type="auto"/>
            <w:vAlign w:val="center"/>
          </w:tcPr>
          <w:p w14:paraId="6E2A559D" w14:textId="77777777" w:rsidR="00B32CF3" w:rsidRDefault="009B2FDA">
            <w:pPr>
              <w:jc w:val="center"/>
            </w:pPr>
            <w:r>
              <w:rPr>
                <w:rFonts w:eastAsiaTheme="minorEastAsia"/>
                <w:color w:val="000000" w:themeColor="text1"/>
                <w:szCs w:val="21"/>
              </w:rPr>
              <w:t>5</w:t>
            </w:r>
          </w:p>
        </w:tc>
        <w:tc>
          <w:tcPr>
            <w:tcW w:w="0" w:type="auto"/>
            <w:vAlign w:val="center"/>
          </w:tcPr>
          <w:p w14:paraId="692358E0" w14:textId="77777777" w:rsidR="00B32CF3" w:rsidRDefault="009B2FDA">
            <w:pPr>
              <w:jc w:val="center"/>
            </w:pPr>
            <w:r>
              <w:rPr>
                <w:rFonts w:eastAsiaTheme="minorEastAsia"/>
                <w:color w:val="000000" w:themeColor="text1"/>
                <w:szCs w:val="21"/>
              </w:rPr>
              <w:t>Alibaba Group Holding Ltd</w:t>
            </w:r>
          </w:p>
        </w:tc>
        <w:tc>
          <w:tcPr>
            <w:tcW w:w="0" w:type="auto"/>
            <w:vAlign w:val="center"/>
          </w:tcPr>
          <w:p w14:paraId="0C15787F" w14:textId="77777777" w:rsidR="00B32CF3" w:rsidRDefault="009B2FDA">
            <w:pPr>
              <w:jc w:val="center"/>
            </w:pPr>
            <w:r>
              <w:rPr>
                <w:rFonts w:eastAsiaTheme="minorEastAsia"/>
                <w:color w:val="000000" w:themeColor="text1"/>
                <w:szCs w:val="21"/>
              </w:rPr>
              <w:t>阿里巴巴集团控股有限公司</w:t>
            </w:r>
          </w:p>
        </w:tc>
        <w:tc>
          <w:tcPr>
            <w:tcW w:w="0" w:type="auto"/>
            <w:vAlign w:val="center"/>
          </w:tcPr>
          <w:p w14:paraId="2EBC61ED" w14:textId="77777777" w:rsidR="00B32CF3" w:rsidRDefault="009B2FDA">
            <w:pPr>
              <w:jc w:val="center"/>
            </w:pPr>
            <w:r>
              <w:rPr>
                <w:rFonts w:eastAsiaTheme="minorEastAsia"/>
                <w:color w:val="000000" w:themeColor="text1"/>
                <w:szCs w:val="21"/>
              </w:rPr>
              <w:t>9988</w:t>
            </w:r>
          </w:p>
        </w:tc>
        <w:tc>
          <w:tcPr>
            <w:tcW w:w="0" w:type="auto"/>
            <w:vAlign w:val="center"/>
          </w:tcPr>
          <w:p w14:paraId="0C058702" w14:textId="77777777" w:rsidR="00B32CF3" w:rsidRDefault="009B2FDA">
            <w:pPr>
              <w:jc w:val="center"/>
            </w:pPr>
            <w:r>
              <w:rPr>
                <w:rFonts w:eastAsiaTheme="minorEastAsia"/>
                <w:color w:val="000000" w:themeColor="text1"/>
                <w:szCs w:val="21"/>
              </w:rPr>
              <w:t>香港证券交易所</w:t>
            </w:r>
          </w:p>
        </w:tc>
        <w:tc>
          <w:tcPr>
            <w:tcW w:w="0" w:type="auto"/>
            <w:vAlign w:val="center"/>
          </w:tcPr>
          <w:p w14:paraId="4B191D42" w14:textId="77777777" w:rsidR="00B32CF3" w:rsidRDefault="009B2FDA">
            <w:pPr>
              <w:jc w:val="center"/>
            </w:pPr>
            <w:r>
              <w:rPr>
                <w:rFonts w:eastAsiaTheme="minorEastAsia"/>
                <w:color w:val="000000" w:themeColor="text1"/>
                <w:szCs w:val="21"/>
              </w:rPr>
              <w:t>中国香港</w:t>
            </w:r>
          </w:p>
        </w:tc>
        <w:tc>
          <w:tcPr>
            <w:tcW w:w="0" w:type="auto"/>
            <w:vAlign w:val="center"/>
          </w:tcPr>
          <w:p w14:paraId="1D845C66" w14:textId="77777777" w:rsidR="00B32CF3" w:rsidRDefault="009B2FDA">
            <w:pPr>
              <w:jc w:val="right"/>
            </w:pPr>
            <w:r>
              <w:rPr>
                <w:rFonts w:eastAsiaTheme="minorEastAsia"/>
                <w:color w:val="000000" w:themeColor="text1"/>
                <w:szCs w:val="21"/>
              </w:rPr>
              <w:t>31,900</w:t>
            </w:r>
          </w:p>
        </w:tc>
        <w:tc>
          <w:tcPr>
            <w:tcW w:w="0" w:type="auto"/>
            <w:vAlign w:val="center"/>
          </w:tcPr>
          <w:p w14:paraId="79D96C59" w14:textId="77777777" w:rsidR="00B32CF3" w:rsidRDefault="009B2FDA">
            <w:pPr>
              <w:jc w:val="right"/>
            </w:pPr>
            <w:r>
              <w:rPr>
                <w:rFonts w:eastAsiaTheme="minorEastAsia"/>
                <w:color w:val="000000" w:themeColor="text1"/>
                <w:szCs w:val="21"/>
              </w:rPr>
              <w:t>2,052,900.69</w:t>
            </w:r>
          </w:p>
        </w:tc>
        <w:tc>
          <w:tcPr>
            <w:tcW w:w="0" w:type="auto"/>
            <w:vAlign w:val="center"/>
          </w:tcPr>
          <w:p w14:paraId="251E947C" w14:textId="77777777" w:rsidR="00B32CF3" w:rsidRDefault="009B2FDA">
            <w:pPr>
              <w:jc w:val="right"/>
            </w:pPr>
            <w:r>
              <w:rPr>
                <w:rFonts w:eastAsiaTheme="minorEastAsia"/>
                <w:color w:val="000000" w:themeColor="text1"/>
                <w:szCs w:val="21"/>
              </w:rPr>
              <w:t>2.89</w:t>
            </w:r>
          </w:p>
        </w:tc>
      </w:tr>
      <w:tr w:rsidR="00B32CF3" w14:paraId="4793B768" w14:textId="77777777">
        <w:tc>
          <w:tcPr>
            <w:tcW w:w="0" w:type="auto"/>
            <w:vAlign w:val="center"/>
          </w:tcPr>
          <w:p w14:paraId="41656078" w14:textId="77777777" w:rsidR="00B32CF3" w:rsidRDefault="009B2FDA">
            <w:pPr>
              <w:jc w:val="center"/>
            </w:pPr>
            <w:r>
              <w:rPr>
                <w:rFonts w:eastAsiaTheme="minorEastAsia"/>
                <w:color w:val="000000" w:themeColor="text1"/>
                <w:szCs w:val="21"/>
              </w:rPr>
              <w:t>6</w:t>
            </w:r>
          </w:p>
        </w:tc>
        <w:tc>
          <w:tcPr>
            <w:tcW w:w="0" w:type="auto"/>
            <w:vAlign w:val="center"/>
          </w:tcPr>
          <w:p w14:paraId="6932AF70" w14:textId="77777777" w:rsidR="00B32CF3" w:rsidRDefault="009B2FDA">
            <w:pPr>
              <w:jc w:val="center"/>
            </w:pPr>
            <w:r>
              <w:rPr>
                <w:rFonts w:eastAsiaTheme="minorEastAsia"/>
                <w:color w:val="000000" w:themeColor="text1"/>
                <w:szCs w:val="21"/>
              </w:rPr>
              <w:t>ICICI Bank Ltd</w:t>
            </w:r>
          </w:p>
        </w:tc>
        <w:tc>
          <w:tcPr>
            <w:tcW w:w="0" w:type="auto"/>
            <w:vAlign w:val="center"/>
          </w:tcPr>
          <w:p w14:paraId="58813F57" w14:textId="77777777" w:rsidR="00B32CF3" w:rsidRDefault="009B2FDA">
            <w:pPr>
              <w:jc w:val="center"/>
            </w:pPr>
            <w:r>
              <w:rPr>
                <w:rFonts w:eastAsiaTheme="minorEastAsia"/>
                <w:color w:val="000000" w:themeColor="text1"/>
                <w:szCs w:val="21"/>
              </w:rPr>
              <w:t>爱西爱西爱银行有限公司</w:t>
            </w:r>
          </w:p>
        </w:tc>
        <w:tc>
          <w:tcPr>
            <w:tcW w:w="0" w:type="auto"/>
            <w:vAlign w:val="center"/>
          </w:tcPr>
          <w:p w14:paraId="7167DCC5" w14:textId="77777777" w:rsidR="00B32CF3" w:rsidRDefault="009B2FDA">
            <w:pPr>
              <w:jc w:val="center"/>
            </w:pPr>
            <w:r>
              <w:rPr>
                <w:rFonts w:eastAsiaTheme="minorEastAsia"/>
                <w:color w:val="000000" w:themeColor="text1"/>
                <w:szCs w:val="21"/>
              </w:rPr>
              <w:t>IBN</w:t>
            </w:r>
          </w:p>
        </w:tc>
        <w:tc>
          <w:tcPr>
            <w:tcW w:w="0" w:type="auto"/>
            <w:vAlign w:val="center"/>
          </w:tcPr>
          <w:p w14:paraId="388D6E8C" w14:textId="77777777" w:rsidR="00B32CF3" w:rsidRDefault="009B2FDA">
            <w:pPr>
              <w:jc w:val="center"/>
            </w:pPr>
            <w:r>
              <w:rPr>
                <w:rFonts w:eastAsiaTheme="minorEastAsia"/>
                <w:color w:val="000000" w:themeColor="text1"/>
                <w:szCs w:val="21"/>
              </w:rPr>
              <w:t>纽约证券</w:t>
            </w:r>
            <w:r>
              <w:rPr>
                <w:rFonts w:eastAsiaTheme="minorEastAsia"/>
                <w:color w:val="000000" w:themeColor="text1"/>
                <w:szCs w:val="21"/>
              </w:rPr>
              <w:lastRenderedPageBreak/>
              <w:t>交易所</w:t>
            </w:r>
          </w:p>
        </w:tc>
        <w:tc>
          <w:tcPr>
            <w:tcW w:w="0" w:type="auto"/>
            <w:vAlign w:val="center"/>
          </w:tcPr>
          <w:p w14:paraId="24D6C9CD" w14:textId="77777777" w:rsidR="00B32CF3" w:rsidRDefault="009B2FDA">
            <w:pPr>
              <w:jc w:val="center"/>
            </w:pPr>
            <w:r>
              <w:rPr>
                <w:rFonts w:eastAsiaTheme="minorEastAsia"/>
                <w:color w:val="000000" w:themeColor="text1"/>
                <w:szCs w:val="21"/>
              </w:rPr>
              <w:lastRenderedPageBreak/>
              <w:t>美国</w:t>
            </w:r>
          </w:p>
        </w:tc>
        <w:tc>
          <w:tcPr>
            <w:tcW w:w="0" w:type="auto"/>
            <w:vAlign w:val="center"/>
          </w:tcPr>
          <w:p w14:paraId="5F088840" w14:textId="77777777" w:rsidR="00B32CF3" w:rsidRDefault="009B2FDA">
            <w:pPr>
              <w:jc w:val="right"/>
            </w:pPr>
            <w:r>
              <w:rPr>
                <w:rFonts w:eastAsiaTheme="minorEastAsia"/>
                <w:color w:val="000000" w:themeColor="text1"/>
                <w:szCs w:val="21"/>
              </w:rPr>
              <w:t>9,984</w:t>
            </w:r>
          </w:p>
        </w:tc>
        <w:tc>
          <w:tcPr>
            <w:tcW w:w="0" w:type="auto"/>
            <w:vAlign w:val="center"/>
          </w:tcPr>
          <w:p w14:paraId="655FE3BA" w14:textId="77777777" w:rsidR="00B32CF3" w:rsidRDefault="009B2FDA">
            <w:pPr>
              <w:jc w:val="right"/>
            </w:pPr>
            <w:r>
              <w:rPr>
                <w:rFonts w:eastAsiaTheme="minorEastAsia"/>
                <w:color w:val="000000" w:themeColor="text1"/>
                <w:szCs w:val="21"/>
              </w:rPr>
              <w:t>2,049,945.91</w:t>
            </w:r>
          </w:p>
        </w:tc>
        <w:tc>
          <w:tcPr>
            <w:tcW w:w="0" w:type="auto"/>
            <w:vAlign w:val="center"/>
          </w:tcPr>
          <w:p w14:paraId="2AB046AA" w14:textId="77777777" w:rsidR="00B32CF3" w:rsidRDefault="009B2FDA">
            <w:pPr>
              <w:jc w:val="right"/>
            </w:pPr>
            <w:r>
              <w:rPr>
                <w:rFonts w:eastAsiaTheme="minorEastAsia"/>
                <w:color w:val="000000" w:themeColor="text1"/>
                <w:szCs w:val="21"/>
              </w:rPr>
              <w:t>2.89</w:t>
            </w:r>
          </w:p>
        </w:tc>
      </w:tr>
      <w:tr w:rsidR="00B32CF3" w14:paraId="7792A4C1" w14:textId="77777777">
        <w:tc>
          <w:tcPr>
            <w:tcW w:w="0" w:type="auto"/>
            <w:vAlign w:val="center"/>
          </w:tcPr>
          <w:p w14:paraId="08EFEDD9" w14:textId="77777777" w:rsidR="00B32CF3" w:rsidRDefault="009B2FDA">
            <w:pPr>
              <w:jc w:val="center"/>
            </w:pPr>
            <w:r>
              <w:rPr>
                <w:rFonts w:eastAsiaTheme="minorEastAsia"/>
                <w:color w:val="000000" w:themeColor="text1"/>
                <w:szCs w:val="21"/>
              </w:rPr>
              <w:t>7</w:t>
            </w:r>
          </w:p>
        </w:tc>
        <w:tc>
          <w:tcPr>
            <w:tcW w:w="0" w:type="auto"/>
            <w:vAlign w:val="center"/>
          </w:tcPr>
          <w:p w14:paraId="778441DF" w14:textId="77777777" w:rsidR="00B32CF3" w:rsidRDefault="009B2FDA">
            <w:pPr>
              <w:jc w:val="center"/>
            </w:pPr>
            <w:r>
              <w:rPr>
                <w:rFonts w:eastAsiaTheme="minorEastAsia"/>
                <w:color w:val="000000" w:themeColor="text1"/>
                <w:szCs w:val="21"/>
              </w:rPr>
              <w:t>Infosys Ltd</w:t>
            </w:r>
          </w:p>
        </w:tc>
        <w:tc>
          <w:tcPr>
            <w:tcW w:w="0" w:type="auto"/>
            <w:vAlign w:val="center"/>
          </w:tcPr>
          <w:p w14:paraId="27DFF004" w14:textId="77777777" w:rsidR="00B32CF3" w:rsidRDefault="009B2FDA">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0" w:type="auto"/>
            <w:vAlign w:val="center"/>
          </w:tcPr>
          <w:p w14:paraId="5507816C" w14:textId="77777777" w:rsidR="00B32CF3" w:rsidRDefault="009B2FDA">
            <w:pPr>
              <w:jc w:val="center"/>
            </w:pPr>
            <w:r>
              <w:rPr>
                <w:rFonts w:eastAsiaTheme="minorEastAsia"/>
                <w:color w:val="000000" w:themeColor="text1"/>
                <w:szCs w:val="21"/>
              </w:rPr>
              <w:t>INFY</w:t>
            </w:r>
          </w:p>
        </w:tc>
        <w:tc>
          <w:tcPr>
            <w:tcW w:w="0" w:type="auto"/>
            <w:vAlign w:val="center"/>
          </w:tcPr>
          <w:p w14:paraId="1BFD0060" w14:textId="77777777" w:rsidR="00B32CF3" w:rsidRDefault="009B2FDA">
            <w:pPr>
              <w:jc w:val="center"/>
            </w:pPr>
            <w:r>
              <w:rPr>
                <w:rFonts w:eastAsiaTheme="minorEastAsia"/>
                <w:color w:val="000000" w:themeColor="text1"/>
                <w:szCs w:val="21"/>
              </w:rPr>
              <w:t>纽约证券交易所</w:t>
            </w:r>
          </w:p>
        </w:tc>
        <w:tc>
          <w:tcPr>
            <w:tcW w:w="0" w:type="auto"/>
            <w:vAlign w:val="center"/>
          </w:tcPr>
          <w:p w14:paraId="54042B2E" w14:textId="77777777" w:rsidR="00B32CF3" w:rsidRDefault="009B2FDA">
            <w:pPr>
              <w:jc w:val="center"/>
            </w:pPr>
            <w:r>
              <w:rPr>
                <w:rFonts w:eastAsiaTheme="minorEastAsia"/>
                <w:color w:val="000000" w:themeColor="text1"/>
                <w:szCs w:val="21"/>
              </w:rPr>
              <w:t>美国</w:t>
            </w:r>
          </w:p>
        </w:tc>
        <w:tc>
          <w:tcPr>
            <w:tcW w:w="0" w:type="auto"/>
            <w:vAlign w:val="center"/>
          </w:tcPr>
          <w:p w14:paraId="3EF9686A" w14:textId="77777777" w:rsidR="00B32CF3" w:rsidRDefault="009B2FDA">
            <w:pPr>
              <w:jc w:val="right"/>
            </w:pPr>
            <w:r>
              <w:rPr>
                <w:rFonts w:eastAsiaTheme="minorEastAsia"/>
                <w:color w:val="000000" w:themeColor="text1"/>
                <w:szCs w:val="21"/>
              </w:rPr>
              <w:t>11,682</w:t>
            </w:r>
          </w:p>
        </w:tc>
        <w:tc>
          <w:tcPr>
            <w:tcW w:w="0" w:type="auto"/>
            <w:vAlign w:val="center"/>
          </w:tcPr>
          <w:p w14:paraId="01278925" w14:textId="77777777" w:rsidR="00B32CF3" w:rsidRDefault="009B2FDA">
            <w:pPr>
              <w:jc w:val="right"/>
            </w:pPr>
            <w:r>
              <w:rPr>
                <w:rFonts w:eastAsiaTheme="minorEastAsia"/>
                <w:color w:val="000000" w:themeColor="text1"/>
                <w:szCs w:val="21"/>
              </w:rPr>
              <w:t>1,550,213.27</w:t>
            </w:r>
          </w:p>
        </w:tc>
        <w:tc>
          <w:tcPr>
            <w:tcW w:w="0" w:type="auto"/>
            <w:vAlign w:val="center"/>
          </w:tcPr>
          <w:p w14:paraId="64C513BA" w14:textId="77777777" w:rsidR="00B32CF3" w:rsidRDefault="009B2FDA">
            <w:pPr>
              <w:jc w:val="right"/>
            </w:pPr>
            <w:r>
              <w:rPr>
                <w:rFonts w:eastAsiaTheme="minorEastAsia"/>
                <w:color w:val="000000" w:themeColor="text1"/>
                <w:szCs w:val="21"/>
              </w:rPr>
              <w:t>2.18</w:t>
            </w:r>
          </w:p>
        </w:tc>
      </w:tr>
      <w:tr w:rsidR="00B32CF3" w14:paraId="3EA14C27" w14:textId="77777777">
        <w:tc>
          <w:tcPr>
            <w:tcW w:w="0" w:type="auto"/>
            <w:vAlign w:val="center"/>
          </w:tcPr>
          <w:p w14:paraId="4FC771C7" w14:textId="77777777" w:rsidR="00B32CF3" w:rsidRDefault="009B2FDA">
            <w:pPr>
              <w:jc w:val="center"/>
            </w:pPr>
            <w:r>
              <w:rPr>
                <w:rFonts w:eastAsiaTheme="minorEastAsia"/>
                <w:color w:val="000000" w:themeColor="text1"/>
                <w:szCs w:val="21"/>
              </w:rPr>
              <w:t>8</w:t>
            </w:r>
          </w:p>
        </w:tc>
        <w:tc>
          <w:tcPr>
            <w:tcW w:w="0" w:type="auto"/>
            <w:vAlign w:val="center"/>
          </w:tcPr>
          <w:p w14:paraId="3164CE43" w14:textId="77777777" w:rsidR="00B32CF3" w:rsidRDefault="009B2FDA">
            <w:pPr>
              <w:jc w:val="center"/>
            </w:pPr>
            <w:r>
              <w:rPr>
                <w:rFonts w:eastAsiaTheme="minorEastAsia"/>
                <w:color w:val="000000" w:themeColor="text1"/>
                <w:szCs w:val="21"/>
              </w:rPr>
              <w:t>SK Hynix Inc</w:t>
            </w:r>
          </w:p>
        </w:tc>
        <w:tc>
          <w:tcPr>
            <w:tcW w:w="0" w:type="auto"/>
            <w:vAlign w:val="center"/>
          </w:tcPr>
          <w:p w14:paraId="0349BA8F" w14:textId="77777777" w:rsidR="00B32CF3" w:rsidRDefault="009B2FDA">
            <w:pPr>
              <w:jc w:val="center"/>
            </w:pPr>
            <w:r>
              <w:rPr>
                <w:rFonts w:eastAsiaTheme="minorEastAsia"/>
                <w:color w:val="000000" w:themeColor="text1"/>
                <w:szCs w:val="21"/>
              </w:rPr>
              <w:t>SK</w:t>
            </w:r>
            <w:r>
              <w:rPr>
                <w:rFonts w:eastAsiaTheme="minorEastAsia"/>
                <w:color w:val="000000" w:themeColor="text1"/>
                <w:szCs w:val="21"/>
              </w:rPr>
              <w:t>海力士株式会社</w:t>
            </w:r>
          </w:p>
        </w:tc>
        <w:tc>
          <w:tcPr>
            <w:tcW w:w="0" w:type="auto"/>
            <w:vAlign w:val="center"/>
          </w:tcPr>
          <w:p w14:paraId="3E86A7BD" w14:textId="77777777" w:rsidR="00B32CF3" w:rsidRDefault="009B2FDA">
            <w:pPr>
              <w:jc w:val="center"/>
            </w:pPr>
            <w:r>
              <w:rPr>
                <w:rFonts w:eastAsiaTheme="minorEastAsia"/>
                <w:color w:val="000000" w:themeColor="text1"/>
                <w:szCs w:val="21"/>
              </w:rPr>
              <w:t>000660</w:t>
            </w:r>
          </w:p>
        </w:tc>
        <w:tc>
          <w:tcPr>
            <w:tcW w:w="0" w:type="auto"/>
            <w:vAlign w:val="center"/>
          </w:tcPr>
          <w:p w14:paraId="4EDDC272" w14:textId="77777777" w:rsidR="00B32CF3" w:rsidRDefault="009B2FDA">
            <w:pPr>
              <w:jc w:val="center"/>
            </w:pPr>
            <w:r>
              <w:rPr>
                <w:rFonts w:eastAsiaTheme="minorEastAsia"/>
                <w:color w:val="000000" w:themeColor="text1"/>
                <w:szCs w:val="21"/>
              </w:rPr>
              <w:t>韩国证券交易所</w:t>
            </w:r>
          </w:p>
        </w:tc>
        <w:tc>
          <w:tcPr>
            <w:tcW w:w="0" w:type="auto"/>
            <w:vAlign w:val="center"/>
          </w:tcPr>
          <w:p w14:paraId="2C797684" w14:textId="77777777" w:rsidR="00B32CF3" w:rsidRDefault="009B2FDA">
            <w:pPr>
              <w:jc w:val="center"/>
            </w:pPr>
            <w:r>
              <w:rPr>
                <w:rFonts w:eastAsiaTheme="minorEastAsia"/>
                <w:color w:val="000000" w:themeColor="text1"/>
                <w:szCs w:val="21"/>
              </w:rPr>
              <w:t>韩国</w:t>
            </w:r>
          </w:p>
        </w:tc>
        <w:tc>
          <w:tcPr>
            <w:tcW w:w="0" w:type="auto"/>
            <w:vAlign w:val="center"/>
          </w:tcPr>
          <w:p w14:paraId="4AC47D65" w14:textId="77777777" w:rsidR="00B32CF3" w:rsidRDefault="009B2FDA">
            <w:pPr>
              <w:jc w:val="right"/>
            </w:pPr>
            <w:r>
              <w:rPr>
                <w:rFonts w:eastAsiaTheme="minorEastAsia"/>
                <w:color w:val="000000" w:themeColor="text1"/>
                <w:szCs w:val="21"/>
              </w:rPr>
              <w:t>1,168</w:t>
            </w:r>
          </w:p>
        </w:tc>
        <w:tc>
          <w:tcPr>
            <w:tcW w:w="0" w:type="auto"/>
            <w:vAlign w:val="center"/>
          </w:tcPr>
          <w:p w14:paraId="6F0B648E" w14:textId="77777777" w:rsidR="00B32CF3" w:rsidRDefault="009B2FDA">
            <w:pPr>
              <w:jc w:val="right"/>
            </w:pPr>
            <w:r>
              <w:rPr>
                <w:rFonts w:eastAsiaTheme="minorEastAsia"/>
                <w:color w:val="000000" w:themeColor="text1"/>
                <w:szCs w:val="21"/>
              </w:rPr>
              <w:t>1,430,185.41</w:t>
            </w:r>
          </w:p>
        </w:tc>
        <w:tc>
          <w:tcPr>
            <w:tcW w:w="0" w:type="auto"/>
            <w:vAlign w:val="center"/>
          </w:tcPr>
          <w:p w14:paraId="231D85C3" w14:textId="77777777" w:rsidR="00B32CF3" w:rsidRDefault="009B2FDA">
            <w:pPr>
              <w:jc w:val="right"/>
            </w:pPr>
            <w:r>
              <w:rPr>
                <w:rFonts w:eastAsiaTheme="minorEastAsia"/>
                <w:color w:val="000000" w:themeColor="text1"/>
                <w:szCs w:val="21"/>
              </w:rPr>
              <w:t>2.01</w:t>
            </w:r>
          </w:p>
        </w:tc>
      </w:tr>
      <w:tr w:rsidR="00B32CF3" w14:paraId="3E1A3B38" w14:textId="77777777">
        <w:tc>
          <w:tcPr>
            <w:tcW w:w="0" w:type="auto"/>
            <w:vAlign w:val="center"/>
          </w:tcPr>
          <w:p w14:paraId="4CF3447E" w14:textId="77777777" w:rsidR="00B32CF3" w:rsidRDefault="009B2FDA">
            <w:pPr>
              <w:jc w:val="center"/>
            </w:pPr>
            <w:r>
              <w:rPr>
                <w:rFonts w:eastAsiaTheme="minorEastAsia"/>
                <w:color w:val="000000" w:themeColor="text1"/>
                <w:szCs w:val="21"/>
              </w:rPr>
              <w:t>9</w:t>
            </w:r>
          </w:p>
        </w:tc>
        <w:tc>
          <w:tcPr>
            <w:tcW w:w="0" w:type="auto"/>
            <w:vAlign w:val="center"/>
          </w:tcPr>
          <w:p w14:paraId="2B9764D3" w14:textId="77777777" w:rsidR="00B32CF3" w:rsidRDefault="009B2FDA">
            <w:pPr>
              <w:jc w:val="center"/>
            </w:pPr>
            <w:r>
              <w:rPr>
                <w:rFonts w:eastAsiaTheme="minorEastAsia"/>
                <w:color w:val="000000" w:themeColor="text1"/>
                <w:szCs w:val="21"/>
              </w:rPr>
              <w:t>Petroleo Brasileiro SA</w:t>
            </w:r>
          </w:p>
        </w:tc>
        <w:tc>
          <w:tcPr>
            <w:tcW w:w="0" w:type="auto"/>
            <w:vAlign w:val="center"/>
          </w:tcPr>
          <w:p w14:paraId="6A03BE54" w14:textId="77777777" w:rsidR="00B32CF3" w:rsidRDefault="009B2FDA">
            <w:pPr>
              <w:jc w:val="center"/>
            </w:pPr>
            <w:r>
              <w:rPr>
                <w:rFonts w:eastAsiaTheme="minorEastAsia"/>
                <w:color w:val="000000" w:themeColor="text1"/>
                <w:szCs w:val="21"/>
              </w:rPr>
              <w:t>巴西石油公司</w:t>
            </w:r>
          </w:p>
        </w:tc>
        <w:tc>
          <w:tcPr>
            <w:tcW w:w="0" w:type="auto"/>
            <w:vAlign w:val="center"/>
          </w:tcPr>
          <w:p w14:paraId="2CA987E4" w14:textId="77777777" w:rsidR="00B32CF3" w:rsidRDefault="009B2FDA">
            <w:pPr>
              <w:jc w:val="center"/>
            </w:pPr>
            <w:r>
              <w:rPr>
                <w:rFonts w:eastAsiaTheme="minorEastAsia"/>
                <w:color w:val="000000" w:themeColor="text1"/>
                <w:szCs w:val="21"/>
              </w:rPr>
              <w:t>PETR4</w:t>
            </w:r>
          </w:p>
        </w:tc>
        <w:tc>
          <w:tcPr>
            <w:tcW w:w="0" w:type="auto"/>
            <w:vAlign w:val="center"/>
          </w:tcPr>
          <w:p w14:paraId="7ECEF477" w14:textId="77777777" w:rsidR="00B32CF3" w:rsidRDefault="009B2FDA">
            <w:pPr>
              <w:jc w:val="center"/>
            </w:pPr>
            <w:r>
              <w:rPr>
                <w:rFonts w:eastAsiaTheme="minorEastAsia"/>
                <w:color w:val="000000" w:themeColor="text1"/>
                <w:szCs w:val="21"/>
              </w:rPr>
              <w:t>巴西交易所</w:t>
            </w:r>
          </w:p>
        </w:tc>
        <w:tc>
          <w:tcPr>
            <w:tcW w:w="0" w:type="auto"/>
            <w:vAlign w:val="center"/>
          </w:tcPr>
          <w:p w14:paraId="648573BC" w14:textId="77777777" w:rsidR="00B32CF3" w:rsidRDefault="009B2FDA">
            <w:pPr>
              <w:jc w:val="center"/>
            </w:pPr>
            <w:r>
              <w:rPr>
                <w:rFonts w:eastAsiaTheme="minorEastAsia"/>
                <w:color w:val="000000" w:themeColor="text1"/>
                <w:szCs w:val="21"/>
              </w:rPr>
              <w:t>巴西</w:t>
            </w:r>
          </w:p>
        </w:tc>
        <w:tc>
          <w:tcPr>
            <w:tcW w:w="0" w:type="auto"/>
            <w:vAlign w:val="center"/>
          </w:tcPr>
          <w:p w14:paraId="6EB5F2E6" w14:textId="77777777" w:rsidR="00B32CF3" w:rsidRDefault="009B2FDA">
            <w:pPr>
              <w:jc w:val="right"/>
            </w:pPr>
            <w:r>
              <w:rPr>
                <w:rFonts w:eastAsiaTheme="minorEastAsia"/>
                <w:color w:val="000000" w:themeColor="text1"/>
                <w:szCs w:val="21"/>
              </w:rPr>
              <w:t>27,494</w:t>
            </w:r>
          </w:p>
        </w:tc>
        <w:tc>
          <w:tcPr>
            <w:tcW w:w="0" w:type="auto"/>
            <w:vAlign w:val="center"/>
          </w:tcPr>
          <w:p w14:paraId="55344835" w14:textId="77777777" w:rsidR="00B32CF3" w:rsidRDefault="009B2FDA">
            <w:pPr>
              <w:jc w:val="right"/>
            </w:pPr>
            <w:r>
              <w:rPr>
                <w:rFonts w:eastAsiaTheme="minorEastAsia"/>
                <w:color w:val="000000" w:themeColor="text1"/>
                <w:szCs w:val="21"/>
              </w:rPr>
              <w:t>1,342,289.21</w:t>
            </w:r>
          </w:p>
        </w:tc>
        <w:tc>
          <w:tcPr>
            <w:tcW w:w="0" w:type="auto"/>
            <w:vAlign w:val="center"/>
          </w:tcPr>
          <w:p w14:paraId="51C2ED66" w14:textId="77777777" w:rsidR="00B32CF3" w:rsidRDefault="009B2FDA">
            <w:pPr>
              <w:jc w:val="right"/>
            </w:pPr>
            <w:r>
              <w:rPr>
                <w:rFonts w:eastAsiaTheme="minorEastAsia"/>
                <w:color w:val="000000" w:themeColor="text1"/>
                <w:szCs w:val="21"/>
              </w:rPr>
              <w:t>1.89</w:t>
            </w:r>
          </w:p>
        </w:tc>
      </w:tr>
      <w:tr w:rsidR="00B32CF3" w14:paraId="1E6A19B6" w14:textId="77777777">
        <w:tc>
          <w:tcPr>
            <w:tcW w:w="0" w:type="auto"/>
            <w:vAlign w:val="center"/>
          </w:tcPr>
          <w:p w14:paraId="0F5EB308" w14:textId="77777777" w:rsidR="00B32CF3" w:rsidRDefault="009B2FDA">
            <w:pPr>
              <w:jc w:val="center"/>
            </w:pPr>
            <w:r>
              <w:rPr>
                <w:rFonts w:eastAsiaTheme="minorEastAsia"/>
                <w:color w:val="000000" w:themeColor="text1"/>
                <w:szCs w:val="21"/>
              </w:rPr>
              <w:t>10</w:t>
            </w:r>
          </w:p>
        </w:tc>
        <w:tc>
          <w:tcPr>
            <w:tcW w:w="0" w:type="auto"/>
            <w:vAlign w:val="center"/>
          </w:tcPr>
          <w:p w14:paraId="3F06EBA9" w14:textId="77777777" w:rsidR="00B32CF3" w:rsidRDefault="009B2FDA">
            <w:pPr>
              <w:jc w:val="center"/>
            </w:pPr>
            <w:r>
              <w:rPr>
                <w:rFonts w:eastAsiaTheme="minorEastAsia"/>
                <w:color w:val="000000" w:themeColor="text1"/>
                <w:szCs w:val="21"/>
              </w:rPr>
              <w:t>HDFC Bank Ltd</w:t>
            </w:r>
          </w:p>
        </w:tc>
        <w:tc>
          <w:tcPr>
            <w:tcW w:w="0" w:type="auto"/>
            <w:vAlign w:val="center"/>
          </w:tcPr>
          <w:p w14:paraId="078B7D40" w14:textId="77777777" w:rsidR="00B32CF3" w:rsidRDefault="009B2FDA">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0" w:type="auto"/>
            <w:vAlign w:val="center"/>
          </w:tcPr>
          <w:p w14:paraId="0D50C556" w14:textId="77777777" w:rsidR="00B32CF3" w:rsidRDefault="009B2FDA">
            <w:pPr>
              <w:jc w:val="center"/>
            </w:pPr>
            <w:r>
              <w:rPr>
                <w:rFonts w:eastAsiaTheme="minorEastAsia"/>
                <w:color w:val="000000" w:themeColor="text1"/>
                <w:szCs w:val="21"/>
              </w:rPr>
              <w:t>HDB</w:t>
            </w:r>
          </w:p>
        </w:tc>
        <w:tc>
          <w:tcPr>
            <w:tcW w:w="0" w:type="auto"/>
            <w:vAlign w:val="center"/>
          </w:tcPr>
          <w:p w14:paraId="6EAF39D9" w14:textId="77777777" w:rsidR="00B32CF3" w:rsidRDefault="009B2FDA">
            <w:pPr>
              <w:jc w:val="center"/>
            </w:pPr>
            <w:r>
              <w:rPr>
                <w:rFonts w:eastAsiaTheme="minorEastAsia"/>
                <w:color w:val="000000" w:themeColor="text1"/>
                <w:szCs w:val="21"/>
              </w:rPr>
              <w:t>纽约证券交易所</w:t>
            </w:r>
          </w:p>
        </w:tc>
        <w:tc>
          <w:tcPr>
            <w:tcW w:w="0" w:type="auto"/>
            <w:vAlign w:val="center"/>
          </w:tcPr>
          <w:p w14:paraId="534B3038" w14:textId="77777777" w:rsidR="00B32CF3" w:rsidRDefault="009B2FDA">
            <w:pPr>
              <w:jc w:val="center"/>
            </w:pPr>
            <w:r>
              <w:rPr>
                <w:rFonts w:eastAsiaTheme="minorEastAsia"/>
                <w:color w:val="000000" w:themeColor="text1"/>
                <w:szCs w:val="21"/>
              </w:rPr>
              <w:t>美国</w:t>
            </w:r>
          </w:p>
        </w:tc>
        <w:tc>
          <w:tcPr>
            <w:tcW w:w="0" w:type="auto"/>
            <w:vAlign w:val="center"/>
          </w:tcPr>
          <w:p w14:paraId="0685ADE3" w14:textId="77777777" w:rsidR="00B32CF3" w:rsidRDefault="009B2FDA">
            <w:pPr>
              <w:jc w:val="right"/>
            </w:pPr>
            <w:r>
              <w:rPr>
                <w:rFonts w:eastAsiaTheme="minorEastAsia"/>
                <w:color w:val="000000" w:themeColor="text1"/>
                <w:szCs w:val="21"/>
              </w:rPr>
              <w:t>2,822</w:t>
            </w:r>
          </w:p>
        </w:tc>
        <w:tc>
          <w:tcPr>
            <w:tcW w:w="0" w:type="auto"/>
            <w:vAlign w:val="center"/>
          </w:tcPr>
          <w:p w14:paraId="516C9343" w14:textId="77777777" w:rsidR="00B32CF3" w:rsidRDefault="009B2FDA">
            <w:pPr>
              <w:jc w:val="right"/>
            </w:pPr>
            <w:r>
              <w:rPr>
                <w:rFonts w:eastAsiaTheme="minorEastAsia"/>
                <w:color w:val="000000" w:themeColor="text1"/>
                <w:szCs w:val="21"/>
              </w:rPr>
              <w:t>1,293,794.00</w:t>
            </w:r>
          </w:p>
        </w:tc>
        <w:tc>
          <w:tcPr>
            <w:tcW w:w="0" w:type="auto"/>
            <w:vAlign w:val="center"/>
          </w:tcPr>
          <w:p w14:paraId="4D5A5B37" w14:textId="77777777" w:rsidR="00B32CF3" w:rsidRDefault="009B2FDA">
            <w:pPr>
              <w:jc w:val="right"/>
            </w:pPr>
            <w:r>
              <w:rPr>
                <w:rFonts w:eastAsiaTheme="minorEastAsia"/>
                <w:color w:val="000000" w:themeColor="text1"/>
                <w:szCs w:val="21"/>
              </w:rPr>
              <w:t>1.82</w:t>
            </w:r>
          </w:p>
        </w:tc>
      </w:tr>
    </w:tbl>
    <w:p w14:paraId="67690E97" w14:textId="77777777"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14:paraId="4461AEE4" w14:textId="77777777"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14:paraId="727F3A37"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14:paraId="15E94492"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30F860CB"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43A617B9"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14:paraId="55E8F517"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650F47DF"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6453205"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14:paraId="779CB4E4"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本基金本报告期末未持有资产支持证券。</w:t>
      </w:r>
    </w:p>
    <w:p w14:paraId="51D48F2E" w14:textId="77777777"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6285B765"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14:paraId="3ED975CF"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14:paraId="3789510E"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9F74B2C" w14:textId="77777777"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14:paraId="0F0B9C99"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14:paraId="4B83433E"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05B77B11" w14:textId="77777777"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14:paraId="6AF8F0F9" w14:textId="77777777"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6B416A54" w14:textId="77777777"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14:paraId="47990BAE" w14:textId="77777777"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14:paraId="623D72EA" w14:textId="77777777" w:rsidTr="004C05F3">
        <w:tc>
          <w:tcPr>
            <w:tcW w:w="802" w:type="dxa"/>
            <w:vAlign w:val="center"/>
          </w:tcPr>
          <w:p w14:paraId="5561F318"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14:paraId="29B7B43D"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14:paraId="078A5DCF"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14:paraId="3E120C3F" w14:textId="77777777" w:rsidTr="009E3391">
        <w:tc>
          <w:tcPr>
            <w:tcW w:w="802" w:type="dxa"/>
            <w:vAlign w:val="center"/>
          </w:tcPr>
          <w:p w14:paraId="6A6E54FF"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14:paraId="25BF9A3F"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14:paraId="428D3409"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64CB740D" w14:textId="77777777" w:rsidTr="009E3391">
        <w:tc>
          <w:tcPr>
            <w:tcW w:w="802" w:type="dxa"/>
            <w:vAlign w:val="center"/>
          </w:tcPr>
          <w:p w14:paraId="556C9198"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14:paraId="411A63B6"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14:paraId="2C7021BF"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5B08C459" w14:textId="77777777" w:rsidTr="009E3391">
        <w:tc>
          <w:tcPr>
            <w:tcW w:w="802" w:type="dxa"/>
            <w:vAlign w:val="center"/>
          </w:tcPr>
          <w:p w14:paraId="6C30047D"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14:paraId="09293396"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14:paraId="0CACC4DB"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361,258.01</w:t>
            </w:r>
          </w:p>
        </w:tc>
      </w:tr>
      <w:tr w:rsidR="008277FF" w:rsidRPr="00A76A42" w14:paraId="5B6506C3" w14:textId="77777777" w:rsidTr="009E3391">
        <w:tc>
          <w:tcPr>
            <w:tcW w:w="802" w:type="dxa"/>
            <w:vAlign w:val="center"/>
          </w:tcPr>
          <w:p w14:paraId="7A616C69"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14:paraId="0688EF6F"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14:paraId="4E562F65"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5493468E" w14:textId="77777777" w:rsidTr="009E3391">
        <w:tc>
          <w:tcPr>
            <w:tcW w:w="802" w:type="dxa"/>
            <w:vAlign w:val="center"/>
          </w:tcPr>
          <w:p w14:paraId="4DC15535"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14:paraId="0CEEC173"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14:paraId="3E802188"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371,771.71</w:t>
            </w:r>
          </w:p>
        </w:tc>
      </w:tr>
      <w:tr w:rsidR="008277FF" w:rsidRPr="00A76A42" w14:paraId="6987429B" w14:textId="77777777" w:rsidTr="009E3391">
        <w:tc>
          <w:tcPr>
            <w:tcW w:w="802" w:type="dxa"/>
            <w:vAlign w:val="center"/>
          </w:tcPr>
          <w:p w14:paraId="3106A1DC"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14:paraId="667C3A74"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14:paraId="46DB638F"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324CBF6F" w14:textId="77777777" w:rsidTr="009E3391">
        <w:tc>
          <w:tcPr>
            <w:tcW w:w="802" w:type="dxa"/>
            <w:vAlign w:val="center"/>
          </w:tcPr>
          <w:p w14:paraId="05133677"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14:paraId="4D1D13E6"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14:paraId="6F913FE2"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46819A3" w14:textId="77777777" w:rsidTr="009E3391">
        <w:tc>
          <w:tcPr>
            <w:tcW w:w="802" w:type="dxa"/>
            <w:vAlign w:val="center"/>
          </w:tcPr>
          <w:p w14:paraId="4558C264"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14:paraId="79265196"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14:paraId="4E14F0D6"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3538C69F" w14:textId="77777777" w:rsidTr="009E3391">
        <w:tc>
          <w:tcPr>
            <w:tcW w:w="802" w:type="dxa"/>
            <w:vAlign w:val="center"/>
          </w:tcPr>
          <w:p w14:paraId="78AC3829"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14:paraId="01F374B6"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14:paraId="73D1084F"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733,029.72</w:t>
            </w:r>
          </w:p>
        </w:tc>
      </w:tr>
    </w:tbl>
    <w:p w14:paraId="5E289F58" w14:textId="77777777"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14:paraId="5775EE26"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14:paraId="623E1952"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14:paraId="035E3FC0" w14:textId="77777777"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14:paraId="51C05DE0"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14:paraId="5BDE2BE5"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14:paraId="7546E201" w14:textId="77777777"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14:paraId="3B593D32"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14:paraId="698D7251" w14:textId="77777777"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14:paraId="72676E61"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14:paraId="05028118"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14:paraId="6FC24F28"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4C1F20F4"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6140030F"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59,060,223.94</w:t>
            </w:r>
          </w:p>
        </w:tc>
      </w:tr>
      <w:tr w:rsidR="008277FF" w:rsidRPr="00A76A42" w14:paraId="4E86D053"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0C63A347"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657B8414"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12,456,733.63</w:t>
            </w:r>
          </w:p>
        </w:tc>
      </w:tr>
      <w:tr w:rsidR="008277FF" w:rsidRPr="00A76A42" w14:paraId="0E1ECDDA"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24F2F0EC"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17114F60"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6,865,988.81</w:t>
            </w:r>
          </w:p>
        </w:tc>
      </w:tr>
      <w:tr w:rsidR="008277FF" w:rsidRPr="00A76A42" w14:paraId="1D264687"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4ECBCB9B"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7B4EE7F9"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D0CDB4D"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606C6150"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8DE23B6"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64,650,968.76</w:t>
            </w:r>
          </w:p>
        </w:tc>
      </w:tr>
    </w:tbl>
    <w:p w14:paraId="3145FF2D" w14:textId="77777777"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14:paraId="655B31E5" w14:textId="77777777"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14:paraId="76960225"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73DD2B1E"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14:paraId="06CC0A79" w14:textId="77777777"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14:paraId="5CBA7F13" w14:textId="77777777"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79A9E1CD"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14:paraId="054876E1"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14:paraId="48053D86"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0C1628D5"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14:paraId="49291D1D"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14:paraId="494EC20B"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6D76F809"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8165B86" w14:textId="77777777" w:rsidR="00B32CF3" w:rsidRDefault="009B2FD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6</w:t>
      </w:r>
      <w:r>
        <w:rPr>
          <w:rFonts w:eastAsiaTheme="minorEastAsia"/>
          <w:color w:val="000000" w:themeColor="text1"/>
          <w:szCs w:val="21"/>
        </w:rPr>
        <w:t>、基金托管人业务资格批件、营业执照；</w:t>
      </w:r>
    </w:p>
    <w:p w14:paraId="5CC1C6AB"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14:paraId="10EF87A8" w14:textId="77777777" w:rsidR="008A2EC6" w:rsidRPr="00A76A42" w:rsidRDefault="008A2EC6" w:rsidP="000C7596">
      <w:pPr>
        <w:spacing w:line="360" w:lineRule="auto"/>
        <w:ind w:firstLineChars="200" w:firstLine="480"/>
        <w:rPr>
          <w:rFonts w:eastAsiaTheme="minorEastAsia"/>
          <w:color w:val="000000" w:themeColor="text1"/>
          <w:sz w:val="24"/>
        </w:rPr>
      </w:pPr>
    </w:p>
    <w:p w14:paraId="50340355"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14:paraId="7670C2C5"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14:paraId="5EECF92C" w14:textId="77777777" w:rsidR="008A2EC6" w:rsidRPr="00A76A42" w:rsidRDefault="008A2EC6" w:rsidP="000C7596">
      <w:pPr>
        <w:spacing w:line="360" w:lineRule="auto"/>
        <w:ind w:firstLineChars="200" w:firstLine="480"/>
        <w:rPr>
          <w:rFonts w:eastAsiaTheme="minorEastAsia"/>
          <w:color w:val="000000" w:themeColor="text1"/>
          <w:sz w:val="24"/>
        </w:rPr>
      </w:pPr>
    </w:p>
    <w:p w14:paraId="442005B2"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14:paraId="1B87490B"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14:paraId="3009FA7F" w14:textId="77777777" w:rsidR="0076518F" w:rsidRPr="00A76A42" w:rsidRDefault="0076518F" w:rsidP="008B6A4A">
      <w:pPr>
        <w:spacing w:line="360" w:lineRule="auto"/>
        <w:ind w:firstLineChars="200" w:firstLine="480"/>
        <w:rPr>
          <w:rFonts w:eastAsiaTheme="minorEastAsia"/>
          <w:color w:val="000000" w:themeColor="text1"/>
          <w:sz w:val="24"/>
        </w:rPr>
      </w:pPr>
    </w:p>
    <w:p w14:paraId="09DBA944" w14:textId="77777777" w:rsidR="008A2EC6" w:rsidRPr="00A76A42" w:rsidRDefault="008A2EC6" w:rsidP="008B6A4A">
      <w:pPr>
        <w:spacing w:line="360" w:lineRule="auto"/>
        <w:ind w:firstLineChars="200" w:firstLine="480"/>
        <w:rPr>
          <w:rFonts w:eastAsiaTheme="minorEastAsia"/>
          <w:color w:val="000000" w:themeColor="text1"/>
          <w:sz w:val="24"/>
        </w:rPr>
      </w:pPr>
    </w:p>
    <w:p w14:paraId="4AF941FC" w14:textId="77777777" w:rsidR="000C7596" w:rsidRPr="00A76A42" w:rsidRDefault="000C7596" w:rsidP="008B6A4A">
      <w:pPr>
        <w:spacing w:line="360" w:lineRule="auto"/>
        <w:ind w:firstLineChars="200" w:firstLine="480"/>
        <w:rPr>
          <w:rFonts w:eastAsiaTheme="minorEastAsia"/>
          <w:color w:val="000000" w:themeColor="text1"/>
          <w:sz w:val="24"/>
        </w:rPr>
      </w:pPr>
    </w:p>
    <w:p w14:paraId="576547CC" w14:textId="77777777" w:rsidR="000C7596" w:rsidRPr="00A76A42" w:rsidRDefault="000C7596" w:rsidP="008B6A4A">
      <w:pPr>
        <w:spacing w:line="360" w:lineRule="auto"/>
        <w:ind w:firstLineChars="200" w:firstLine="480"/>
        <w:rPr>
          <w:rFonts w:eastAsiaTheme="minorEastAsia"/>
          <w:color w:val="000000" w:themeColor="text1"/>
          <w:sz w:val="24"/>
        </w:rPr>
      </w:pPr>
    </w:p>
    <w:p w14:paraId="6380427C" w14:textId="77777777" w:rsidR="000C7596" w:rsidRPr="00A76A42" w:rsidRDefault="000C7596" w:rsidP="008B6A4A">
      <w:pPr>
        <w:spacing w:line="360" w:lineRule="auto"/>
        <w:ind w:firstLineChars="200" w:firstLine="480"/>
        <w:rPr>
          <w:rFonts w:eastAsiaTheme="minorEastAsia"/>
          <w:color w:val="000000" w:themeColor="text1"/>
          <w:sz w:val="24"/>
        </w:rPr>
      </w:pPr>
    </w:p>
    <w:p w14:paraId="4A838608" w14:textId="77777777" w:rsidR="000C7596" w:rsidRPr="00A76A42" w:rsidRDefault="000C7596" w:rsidP="008B6A4A">
      <w:pPr>
        <w:spacing w:line="360" w:lineRule="auto"/>
        <w:ind w:firstLineChars="200" w:firstLine="480"/>
        <w:rPr>
          <w:rFonts w:eastAsiaTheme="minorEastAsia"/>
          <w:color w:val="000000" w:themeColor="text1"/>
          <w:sz w:val="24"/>
        </w:rPr>
      </w:pPr>
    </w:p>
    <w:p w14:paraId="32B9CBD4" w14:textId="77777777" w:rsidR="0076518F" w:rsidRPr="00A76A42" w:rsidRDefault="0076518F" w:rsidP="008B6A4A">
      <w:pPr>
        <w:spacing w:line="360" w:lineRule="auto"/>
        <w:ind w:firstLineChars="200" w:firstLine="480"/>
        <w:rPr>
          <w:rFonts w:eastAsiaTheme="minorEastAsia"/>
          <w:color w:val="000000" w:themeColor="text1"/>
          <w:sz w:val="24"/>
        </w:rPr>
      </w:pPr>
    </w:p>
    <w:p w14:paraId="1CCD6593" w14:textId="77777777"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14:paraId="0EBE7EEA" w14:textId="77777777"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二〇二四年七月十九日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0855" w14:textId="77777777" w:rsidR="002C5A21" w:rsidRDefault="002C5A21">
      <w:r>
        <w:separator/>
      </w:r>
    </w:p>
  </w:endnote>
  <w:endnote w:type="continuationSeparator" w:id="0">
    <w:p w14:paraId="29A67A4C" w14:textId="77777777"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4282" w14:textId="53A082AF"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F613A4">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F613A4">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8855" w14:textId="77777777"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14:paraId="70A001DD" w14:textId="77777777"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C2C1" w14:textId="4D675115"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F613A4">
      <w:rPr>
        <w:rStyle w:val="a8"/>
        <w:noProof/>
      </w:rPr>
      <w:t>15</w:t>
    </w:r>
    <w:r>
      <w:rPr>
        <w:rStyle w:val="a8"/>
      </w:rPr>
      <w:fldChar w:fldCharType="end"/>
    </w:r>
  </w:p>
  <w:p w14:paraId="247A1DB6" w14:textId="77777777"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3946" w14:textId="77777777"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B280" w14:textId="77777777" w:rsidR="002C5A21" w:rsidRDefault="002C5A21">
      <w:r>
        <w:separator/>
      </w:r>
    </w:p>
  </w:footnote>
  <w:footnote w:type="continuationSeparator" w:id="0">
    <w:p w14:paraId="2443728B" w14:textId="77777777"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3C75" w14:textId="77777777" w:rsidR="00F512C0" w:rsidRPr="006669C9" w:rsidRDefault="00F512C0" w:rsidP="001D1356">
    <w:pPr>
      <w:pStyle w:val="aa"/>
      <w:pBdr>
        <w:bottom w:val="single" w:sz="6" w:space="0" w:color="auto"/>
      </w:pBdr>
      <w:jc w:val="right"/>
    </w:pPr>
    <w:r w:rsidRPr="006669C9">
      <w:t>摩根全球新兴市场混合型证券投资基金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924A" w14:textId="77777777"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DF6B" w14:textId="77777777"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3753"/>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6793"/>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B2FDA"/>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2CF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0E84"/>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26EE3"/>
    <w:rsid w:val="00F36130"/>
    <w:rsid w:val="00F40444"/>
    <w:rsid w:val="00F423BD"/>
    <w:rsid w:val="00F432FF"/>
    <w:rsid w:val="00F4715C"/>
    <w:rsid w:val="00F512C0"/>
    <w:rsid w:val="00F54869"/>
    <w:rsid w:val="00F556B2"/>
    <w:rsid w:val="00F57187"/>
    <w:rsid w:val="00F574E5"/>
    <w:rsid w:val="00F5754B"/>
    <w:rsid w:val="00F576DE"/>
    <w:rsid w:val="00F613A4"/>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4EE0A345"/>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41</TotalTime>
  <Pages>15</Pages>
  <Words>1236</Words>
  <Characters>7046</Characters>
  <Application>Microsoft Office Word</Application>
  <DocSecurity>0</DocSecurity>
  <Lines>58</Lines>
  <Paragraphs>16</Paragraphs>
  <ScaleCrop>false</ScaleCrop>
  <Company>TRT. Ltd. Co.</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26</cp:revision>
  <cp:lastPrinted>2007-07-19T00:46:00Z</cp:lastPrinted>
  <dcterms:created xsi:type="dcterms:W3CDTF">2014-12-16T02:40:00Z</dcterms:created>
  <dcterms:modified xsi:type="dcterms:W3CDTF">2024-07-18T06:06:00Z</dcterms:modified>
</cp:coreProperties>
</file>