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AC5349" w:rsidRDefault="00AC5349">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AC5349" w:rsidRDefault="00AC5349">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AC5349" w:rsidRDefault="00AC5349">
      <w:pPr>
        <w:spacing w:line="360" w:lineRule="auto"/>
        <w:jc w:val="center"/>
        <w:rPr>
          <w:rFonts w:hint="eastAsia"/>
        </w:rPr>
      </w:pPr>
      <w:r>
        <w:rPr>
          <w:rFonts w:ascii="宋体" w:hAnsi="宋体" w:hint="eastAsia"/>
          <w:b/>
          <w:bCs/>
          <w:color w:val="000000" w:themeColor="text1"/>
          <w:sz w:val="48"/>
          <w:szCs w:val="30"/>
        </w:rPr>
        <w:t>摩根行业轮动混合型证券投资基金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AC5349" w:rsidRDefault="00AC534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AC5349" w:rsidRDefault="00AC534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AC5349" w:rsidRDefault="00AC5349">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AC5349" w:rsidRDefault="00AC5349">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招商银行股份有限公</w:t>
      </w:r>
      <w:r>
        <w:rPr>
          <w:rFonts w:ascii="宋体" w:hAnsi="宋体" w:hint="eastAsia"/>
          <w:b/>
          <w:bCs/>
          <w:sz w:val="28"/>
          <w:szCs w:val="30"/>
        </w:rPr>
        <w:t>司</w:t>
      </w:r>
    </w:p>
    <w:p w:rsidR="00AC5349" w:rsidRDefault="00AC5349">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AC5349" w:rsidRDefault="00AC5349">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AC5349" w:rsidRDefault="00AC5349">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基金托管人招商银行股份有限公司根据本基金合同约定，于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基金乃依据中港基金互认安排已获香港证券及期货事务监察委员会（下称“香港证监会”）之认可在香港公开发售的内地基金。香港证监会认可不等于对该产品作出推介或认许，亦不是对该产品的商业利弊或表现作出保证，更不代表该产品适合所有投资者，或认许该产品适合任何个别投资者或任何类别的投资者。</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AC5349" w:rsidRDefault="00AC5349">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1719"/>
        <w:gridCol w:w="1719"/>
        <w:gridCol w:w="1719"/>
      </w:tblGrid>
      <w:tr w:rsidR="00000000">
        <w:trPr>
          <w:divId w:val="408501082"/>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AC5349" w:rsidRDefault="00AC5349">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szCs w:val="24"/>
                <w:lang w:eastAsia="zh-Hans"/>
              </w:rPr>
              <w:t>摩根行业轮动混</w:t>
            </w:r>
            <w:r>
              <w:rPr>
                <w:rFonts w:ascii="宋体" w:hAnsi="宋体" w:hint="eastAsia"/>
                <w:szCs w:val="24"/>
                <w:lang w:eastAsia="zh-Hans"/>
              </w:rPr>
              <w:t>合</w:t>
            </w:r>
            <w:r>
              <w:rPr>
                <w:rFonts w:ascii="宋体" w:hAnsi="宋体" w:hint="eastAsia"/>
                <w:lang w:eastAsia="zh-Hans"/>
              </w:rPr>
              <w:t xml:space="preserve"> </w:t>
            </w:r>
          </w:p>
        </w:tc>
      </w:tr>
      <w:tr w:rsidR="00000000">
        <w:trPr>
          <w:divId w:val="40850108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基金主代码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lang w:eastAsia="zh-Hans"/>
              </w:rPr>
              <w:t>37753</w:t>
            </w:r>
            <w:r>
              <w:rPr>
                <w:rFonts w:ascii="宋体" w:hAnsi="宋体" w:hint="eastAsia"/>
                <w:lang w:eastAsia="zh-Hans"/>
              </w:rPr>
              <w:t>0</w:t>
            </w:r>
          </w:p>
        </w:tc>
      </w:tr>
      <w:tr w:rsidR="00000000">
        <w:trPr>
          <w:divId w:val="40850108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lang w:eastAsia="zh-Hans"/>
              </w:rPr>
              <w:t>契约型开放</w:t>
            </w:r>
            <w:r>
              <w:rPr>
                <w:rFonts w:ascii="宋体" w:hAnsi="宋体" w:hint="eastAsia"/>
                <w:lang w:eastAsia="zh-Hans"/>
              </w:rPr>
              <w:t>式</w:t>
            </w:r>
          </w:p>
        </w:tc>
      </w:tr>
      <w:tr w:rsidR="00000000">
        <w:trPr>
          <w:divId w:val="40850108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基金合同生效日</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lang w:eastAsia="zh-Hans"/>
              </w:rPr>
              <w:t>2010</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28</w:t>
            </w:r>
            <w:r>
              <w:rPr>
                <w:rFonts w:ascii="宋体" w:hAnsi="宋体" w:hint="eastAsia"/>
                <w:lang w:eastAsia="zh-Hans"/>
              </w:rPr>
              <w:t>日</w:t>
            </w:r>
          </w:p>
        </w:tc>
      </w:tr>
      <w:tr w:rsidR="00000000">
        <w:trPr>
          <w:divId w:val="40850108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lang w:eastAsia="zh-Hans"/>
              </w:rPr>
              <w:t>148,743,215.7</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40850108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投资目标</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lang w:eastAsia="zh-Hans"/>
              </w:rPr>
              <w:t>本基金通过把握资产轮动、产业策略与经济周期相联系的规律，挖掘经济周期波动中强势行业中具有核心竞争优势的上市公司，力求在景气的多空变化中追求基金资产长期稳健的超额收益</w:t>
            </w:r>
            <w:r>
              <w:rPr>
                <w:rFonts w:ascii="宋体" w:hAnsi="宋体" w:hint="eastAsia"/>
                <w:lang w:eastAsia="zh-Hans"/>
              </w:rPr>
              <w:t>。</w:t>
            </w:r>
          </w:p>
        </w:tc>
      </w:tr>
      <w:tr w:rsidR="00000000">
        <w:trPr>
          <w:divId w:val="40850108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投资策略</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lang w:eastAsia="zh-Hans"/>
              </w:rPr>
              <w:t>国际经验表明，受宏观经济周期波动的影响，产业发展存在周期轮动的现象。某些行业能够在经济周期的特定阶段获得更好的表现，从而形成阶段性的强势行业。在股票市场中表现为行业投资收益的中长期轮动，处于各行业的不同企业也面临不同的投资机会。本基金通过把握经济周期变化，依据对宏观经济、产业政策、行业景气度及市场波动等因素的综合判断，采取自上而下的资产配置策略、行业配置策略与自下而上的个股选择策略相结合，精选强势行业中具有核心竞争优势的个股，力求无论在多空市场环境下均能获取稳健的超额回报。</w:t>
            </w:r>
            <w:r>
              <w:rPr>
                <w:rFonts w:ascii="宋体" w:hAnsi="宋体" w:hint="eastAsia"/>
                <w:lang w:eastAsia="zh-Hans"/>
              </w:rPr>
              <w:b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本基金对大类资产的配置是从宏观层面出发，采用定量分析和定性分析相结合的手段，综合宏观经济环境、政策形势、行业景气度和证券市场走势的综合分析，积极进行大类资产配置。</w:t>
            </w:r>
            <w:r>
              <w:rPr>
                <w:rFonts w:ascii="宋体" w:hAnsi="宋体" w:hint="eastAsia"/>
                <w:lang w:eastAsia="zh-Hans"/>
              </w:rPr>
              <w:br/>
              <w:t>2</w:t>
            </w:r>
            <w:r>
              <w:rPr>
                <w:rFonts w:ascii="宋体" w:hAnsi="宋体" w:hint="eastAsia"/>
                <w:lang w:eastAsia="zh-Hans"/>
              </w:rPr>
              <w:t>、行业配置策略</w:t>
            </w:r>
            <w:r>
              <w:rPr>
                <w:rFonts w:ascii="宋体" w:hAnsi="宋体" w:hint="eastAsia"/>
                <w:lang w:eastAsia="zh-Hans"/>
              </w:rPr>
              <w:br/>
            </w:r>
            <w:r>
              <w:rPr>
                <w:rFonts w:ascii="宋体" w:hAnsi="宋体" w:hint="eastAsia"/>
                <w:lang w:eastAsia="zh-Hans"/>
              </w:rPr>
              <w:t>本基金运用</w:t>
            </w:r>
            <w:r>
              <w:rPr>
                <w:rFonts w:ascii="宋体" w:hAnsi="宋体" w:hint="eastAsia"/>
                <w:lang w:eastAsia="zh-Hans"/>
              </w:rPr>
              <w:t>"</w:t>
            </w:r>
            <w:r>
              <w:rPr>
                <w:rFonts w:ascii="宋体" w:hAnsi="宋体" w:hint="eastAsia"/>
                <w:lang w:eastAsia="zh-Hans"/>
              </w:rPr>
              <w:t>投资时钟理论</w:t>
            </w:r>
            <w:r>
              <w:rPr>
                <w:rFonts w:ascii="宋体" w:hAnsi="宋体" w:hint="eastAsia"/>
                <w:lang w:eastAsia="zh-Hans"/>
              </w:rPr>
              <w:t>"</w:t>
            </w:r>
            <w:r>
              <w:rPr>
                <w:rFonts w:ascii="宋体" w:hAnsi="宋体" w:hint="eastAsia"/>
                <w:lang w:eastAsia="zh-Hans"/>
              </w:rPr>
              <w:t>，对行业的配置以宏观经济周期分析为基础，挖掘每一经济周期阶段下处于景气复苏以及景气上升阶段的行业，考察经济周期中行业轮动与市场波动的规律，把握行业间的相对强弱关系与强势行业的持续周期，增加预期收益率较高的行业配置，减少或者不配置预期收益率较低的行业。</w:t>
            </w:r>
            <w:r>
              <w:rPr>
                <w:rFonts w:ascii="宋体" w:hAnsi="宋体" w:hint="eastAsia"/>
                <w:lang w:eastAsia="zh-Hans"/>
              </w:rPr>
              <w:br/>
              <w:t>3</w:t>
            </w:r>
            <w:r>
              <w:rPr>
                <w:rFonts w:ascii="宋体" w:hAnsi="宋体" w:hint="eastAsia"/>
                <w:lang w:eastAsia="zh-Hans"/>
              </w:rPr>
              <w:t>、个股选择</w:t>
            </w:r>
            <w:r>
              <w:rPr>
                <w:rFonts w:ascii="宋体" w:hAnsi="宋体" w:hint="eastAsia"/>
                <w:lang w:eastAsia="zh-Hans"/>
              </w:rPr>
              <w:br/>
            </w:r>
            <w:r>
              <w:rPr>
                <w:rFonts w:ascii="宋体" w:hAnsi="宋体" w:hint="eastAsia"/>
                <w:lang w:eastAsia="zh-Hans"/>
              </w:rPr>
              <w:t>本基金重点投资于强势行业中获益程度最高且具有核心竞争优势的上市公司。</w:t>
            </w:r>
            <w:r>
              <w:rPr>
                <w:rFonts w:ascii="宋体" w:hAnsi="宋体" w:hint="eastAsia"/>
                <w:lang w:eastAsia="zh-Hans"/>
              </w:rPr>
              <w:br/>
              <w:t>4</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对于固定收益类资产的选择，本基金将以价值分析为主线，在综合研究的基础上实施积极主动的组合管理。</w:t>
            </w:r>
            <w:r>
              <w:rPr>
                <w:rFonts w:ascii="宋体" w:hAnsi="宋体" w:hint="eastAsia"/>
                <w:lang w:eastAsia="zh-Hans"/>
              </w:rPr>
              <w:br/>
              <w:t>5</w:t>
            </w:r>
            <w:r>
              <w:rPr>
                <w:rFonts w:ascii="宋体" w:hAnsi="宋体" w:hint="eastAsia"/>
                <w:lang w:eastAsia="zh-Hans"/>
              </w:rPr>
              <w:t>、其他投资策略：包括可转换债券投资策略、权证投资策略、存托凭证投资策略</w:t>
            </w:r>
            <w:r>
              <w:rPr>
                <w:rFonts w:ascii="宋体" w:hAnsi="宋体" w:hint="eastAsia"/>
                <w:lang w:eastAsia="zh-Hans"/>
              </w:rPr>
              <w:t>。</w:t>
            </w:r>
          </w:p>
        </w:tc>
      </w:tr>
      <w:tr w:rsidR="00000000">
        <w:trPr>
          <w:divId w:val="40850108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业绩比较基准</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上证国债指数收益率×</w:t>
            </w:r>
            <w:r>
              <w:rPr>
                <w:rFonts w:ascii="宋体" w:hAnsi="宋体" w:hint="eastAsia"/>
                <w:lang w:eastAsia="zh-Hans"/>
              </w:rPr>
              <w:t>20</w:t>
            </w:r>
            <w:r>
              <w:rPr>
                <w:rFonts w:ascii="宋体" w:hAnsi="宋体" w:hint="eastAsia"/>
                <w:lang w:eastAsia="zh-Hans"/>
              </w:rPr>
              <w:t>%</w:t>
            </w:r>
          </w:p>
        </w:tc>
      </w:tr>
      <w:tr w:rsidR="00000000">
        <w:trPr>
          <w:divId w:val="40850108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风险收益特征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lang w:eastAsia="zh-Hans"/>
              </w:rPr>
              <w:t>本基金是主动管理的混合型证券投资基金，属于证券投资基金的较高风险品种，预期风险收益水平风险高于债券基金和货币市场基金，低于股票基金。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40850108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基金管理人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40850108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基金托管人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lang w:eastAsia="zh-Hans"/>
              </w:rPr>
              <w:t>招商银行股份有限公</w:t>
            </w:r>
            <w:r>
              <w:rPr>
                <w:rFonts w:ascii="宋体" w:hAnsi="宋体" w:hint="eastAsia"/>
                <w:lang w:eastAsia="zh-Hans"/>
              </w:rPr>
              <w:t>司</w:t>
            </w:r>
          </w:p>
        </w:tc>
      </w:tr>
      <w:tr w:rsidR="00000000">
        <w:trPr>
          <w:divId w:val="40850108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bookmarkStart w:id="33" w:name="m02_01" w:colFirst="1" w:colLast="3"/>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lang w:eastAsia="zh-Hans"/>
              </w:rPr>
              <w:t>摩根行业轮动混合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lang w:eastAsia="zh-Hans"/>
              </w:rPr>
              <w:t>摩根行业轮动混合</w:t>
            </w:r>
            <w:r>
              <w:rPr>
                <w:rFonts w:ascii="宋体" w:hAnsi="宋体" w:hint="eastAsia"/>
                <w:lang w:eastAsia="zh-Hans"/>
              </w:rPr>
              <w:t>C</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lang w:eastAsia="zh-Hans"/>
              </w:rPr>
              <w:t>摩根行业轮动混合</w:t>
            </w:r>
            <w:r>
              <w:rPr>
                <w:rFonts w:ascii="宋体" w:hAnsi="宋体" w:hint="eastAsia"/>
                <w:lang w:eastAsia="zh-Hans"/>
              </w:rPr>
              <w:t>H</w:t>
            </w:r>
            <w:r>
              <w:rPr>
                <w:rFonts w:ascii="宋体" w:hAnsi="宋体" w:hint="eastAsia"/>
                <w:kern w:val="0"/>
                <w:sz w:val="20"/>
                <w:lang w:eastAsia="zh-Hans"/>
              </w:rPr>
              <w:t xml:space="preserve"> </w:t>
            </w:r>
          </w:p>
        </w:tc>
      </w:tr>
      <w:tr w:rsidR="00000000">
        <w:trPr>
          <w:divId w:val="40850108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lang w:eastAsia="zh-Hans"/>
              </w:rPr>
              <w:t>37753</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lang w:eastAsia="zh-Hans"/>
              </w:rPr>
              <w:t>01464</w:t>
            </w:r>
            <w:r>
              <w:rPr>
                <w:rFonts w:ascii="宋体" w:hAnsi="宋体" w:hint="eastAsia"/>
                <w:lang w:eastAsia="zh-Hans"/>
              </w:rPr>
              <w:t>1</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lang w:eastAsia="zh-Hans"/>
              </w:rPr>
              <w:t>96000</w:t>
            </w:r>
            <w:r>
              <w:rPr>
                <w:rFonts w:ascii="宋体" w:hAnsi="宋体" w:hint="eastAsia"/>
                <w:lang w:eastAsia="zh-Hans"/>
              </w:rPr>
              <w:t>6</w:t>
            </w:r>
            <w:r>
              <w:rPr>
                <w:rFonts w:ascii="宋体" w:hAnsi="宋体" w:hint="eastAsia"/>
                <w:kern w:val="0"/>
                <w:sz w:val="20"/>
                <w:lang w:eastAsia="zh-Hans"/>
              </w:rPr>
              <w:t xml:space="preserve"> </w:t>
            </w:r>
          </w:p>
        </w:tc>
      </w:tr>
      <w:bookmarkEnd w:id="32"/>
      <w:bookmarkEnd w:id="33"/>
      <w:tr w:rsidR="00000000">
        <w:trPr>
          <w:divId w:val="40850108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AC5349" w:rsidRDefault="00AC5349">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lang w:eastAsia="zh-Hans"/>
              </w:rPr>
              <w:t>129,188,249.5</w:t>
            </w:r>
            <w:r>
              <w:rPr>
                <w:rFonts w:ascii="宋体" w:hAnsi="宋体" w:hint="eastAsia"/>
                <w:lang w:eastAsia="zh-Hans"/>
              </w:rPr>
              <w:t>8</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lang w:eastAsia="zh-Hans"/>
              </w:rPr>
              <w:t>2,055,933.5</w:t>
            </w:r>
            <w:r>
              <w:rPr>
                <w:rFonts w:ascii="宋体" w:hAnsi="宋体" w:hint="eastAsia"/>
                <w:lang w:eastAsia="zh-Hans"/>
              </w:rPr>
              <w:t>6</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lang w:eastAsia="zh-Hans"/>
              </w:rPr>
              <w:t>17,499,032.6</w:t>
            </w:r>
            <w:r>
              <w:rPr>
                <w:rFonts w:ascii="宋体" w:hAnsi="宋体" w:hint="eastAsia"/>
                <w:lang w:eastAsia="zh-Hans"/>
              </w:rPr>
              <w:t>3</w:t>
            </w:r>
            <w:r>
              <w:rPr>
                <w:rFonts w:hint="eastAsia"/>
              </w:rPr>
              <w:t>份</w:t>
            </w:r>
            <w:r>
              <w:rPr>
                <w:rFonts w:ascii="宋体" w:hAnsi="宋体" w:hint="eastAsia"/>
                <w:lang w:eastAsia="zh-Hans"/>
              </w:rPr>
              <w:t xml:space="preserve"> </w:t>
            </w:r>
          </w:p>
        </w:tc>
      </w:tr>
    </w:tbl>
    <w:p w:rsidR="00AC5349" w:rsidRDefault="00AC5349">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AC5349" w:rsidRDefault="00AC5349">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AC5349" w:rsidRDefault="00AC5349">
      <w:pPr>
        <w:jc w:val="right"/>
        <w:divId w:val="187357462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2"/>
        <w:gridCol w:w="1971"/>
        <w:gridCol w:w="1971"/>
        <w:gridCol w:w="1971"/>
      </w:tblGrid>
      <w:tr w:rsidR="00000000">
        <w:trPr>
          <w:divId w:val="187357462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AC5349" w:rsidRDefault="00AC5349">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AC5349" w:rsidRDefault="00AC5349">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87357462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5349" w:rsidRDefault="00AC5349">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AC5349" w:rsidRDefault="00AC5349">
            <w:pPr>
              <w:jc w:val="center"/>
              <w:rPr>
                <w:rFonts w:hint="eastAsia"/>
              </w:rPr>
            </w:pPr>
            <w:r>
              <w:rPr>
                <w:rFonts w:ascii="宋体" w:hAnsi="宋体" w:hint="eastAsia"/>
                <w:szCs w:val="24"/>
                <w:lang w:eastAsia="zh-Hans"/>
              </w:rPr>
              <w:t>摩根行业轮动混合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AC5349" w:rsidRDefault="00AC5349">
            <w:pPr>
              <w:jc w:val="center"/>
            </w:pPr>
            <w:r>
              <w:rPr>
                <w:rFonts w:ascii="宋体" w:hAnsi="宋体" w:hint="eastAsia"/>
                <w:szCs w:val="24"/>
                <w:lang w:eastAsia="zh-Hans"/>
              </w:rPr>
              <w:t>摩根行业轮动混合</w:t>
            </w:r>
            <w:r>
              <w:rPr>
                <w:rFonts w:ascii="宋体" w:hAnsi="宋体" w:hint="eastAsia"/>
                <w:szCs w:val="24"/>
                <w:lang w:eastAsia="zh-Hans"/>
              </w:rPr>
              <w:t>C</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AC5349" w:rsidRDefault="00AC5349">
            <w:pPr>
              <w:jc w:val="center"/>
            </w:pPr>
            <w:r>
              <w:rPr>
                <w:rFonts w:ascii="宋体" w:hAnsi="宋体" w:hint="eastAsia"/>
                <w:szCs w:val="24"/>
                <w:lang w:eastAsia="zh-Hans"/>
              </w:rPr>
              <w:t>摩根行业轮动混合</w:t>
            </w:r>
            <w:r>
              <w:rPr>
                <w:rFonts w:ascii="宋体" w:hAnsi="宋体" w:hint="eastAsia"/>
                <w:szCs w:val="24"/>
                <w:lang w:eastAsia="zh-Hans"/>
              </w:rPr>
              <w:t>H</w:t>
            </w:r>
          </w:p>
        </w:tc>
      </w:tr>
      <w:tr w:rsidR="00000000">
        <w:trPr>
          <w:divId w:val="187357462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rPr>
                <w:rFonts w:hint="eastAsia"/>
              </w:rPr>
            </w:pPr>
            <w:r>
              <w:rPr>
                <w:rFonts w:ascii="宋体" w:hAnsi="宋体" w:hint="eastAsia"/>
                <w:szCs w:val="24"/>
                <w:lang w:eastAsia="zh-Hans"/>
              </w:rPr>
              <w:t>22,137,769.7</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pPr>
            <w:r>
              <w:rPr>
                <w:rFonts w:ascii="宋体" w:hAnsi="宋体" w:hint="eastAsia"/>
                <w:szCs w:val="24"/>
                <w:lang w:eastAsia="zh-Hans"/>
              </w:rPr>
              <w:t>346,436.4</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pPr>
            <w:r>
              <w:rPr>
                <w:rFonts w:ascii="宋体" w:hAnsi="宋体" w:hint="eastAsia"/>
                <w:szCs w:val="24"/>
                <w:lang w:eastAsia="zh-Hans"/>
              </w:rPr>
              <w:t>3,118,324.8</w:t>
            </w:r>
            <w:r>
              <w:rPr>
                <w:rFonts w:ascii="宋体" w:hAnsi="宋体" w:hint="eastAsia"/>
                <w:szCs w:val="24"/>
                <w:lang w:eastAsia="zh-Hans"/>
              </w:rPr>
              <w:t>3</w:t>
            </w:r>
          </w:p>
        </w:tc>
      </w:tr>
      <w:tr w:rsidR="00000000">
        <w:trPr>
          <w:divId w:val="187357462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rPr>
                <w:rFonts w:hint="eastAsia"/>
              </w:rPr>
            </w:pPr>
            <w:r>
              <w:rPr>
                <w:rFonts w:ascii="宋体" w:hAnsi="宋体" w:hint="eastAsia"/>
                <w:szCs w:val="24"/>
                <w:lang w:eastAsia="zh-Hans"/>
              </w:rPr>
              <w:t>1,284,610.7</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pPr>
            <w:r>
              <w:rPr>
                <w:rFonts w:ascii="宋体" w:hAnsi="宋体" w:hint="eastAsia"/>
                <w:szCs w:val="24"/>
                <w:lang w:eastAsia="zh-Hans"/>
              </w:rPr>
              <w:t>30,169.2</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pPr>
            <w:r>
              <w:rPr>
                <w:rFonts w:ascii="宋体" w:hAnsi="宋体" w:hint="eastAsia"/>
                <w:szCs w:val="24"/>
                <w:lang w:eastAsia="zh-Hans"/>
              </w:rPr>
              <w:t>317,632.2</w:t>
            </w:r>
            <w:r>
              <w:rPr>
                <w:rFonts w:ascii="宋体" w:hAnsi="宋体" w:hint="eastAsia"/>
                <w:szCs w:val="24"/>
                <w:lang w:eastAsia="zh-Hans"/>
              </w:rPr>
              <w:t>5</w:t>
            </w:r>
          </w:p>
        </w:tc>
      </w:tr>
      <w:tr w:rsidR="00000000">
        <w:trPr>
          <w:divId w:val="187357462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rPr>
                <w:rFonts w:hint="eastAsia"/>
              </w:rPr>
            </w:pPr>
            <w:r>
              <w:rPr>
                <w:rFonts w:ascii="宋体" w:hAnsi="宋体" w:hint="eastAsia"/>
                <w:szCs w:val="24"/>
                <w:lang w:eastAsia="zh-Hans"/>
              </w:rPr>
              <w:t>0.009</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pPr>
            <w:r>
              <w:rPr>
                <w:rFonts w:ascii="宋体" w:hAnsi="宋体" w:hint="eastAsia"/>
                <w:szCs w:val="24"/>
                <w:lang w:eastAsia="zh-Hans"/>
              </w:rPr>
              <w:t>0.014</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pPr>
            <w:r>
              <w:rPr>
                <w:rFonts w:ascii="宋体" w:hAnsi="宋体" w:hint="eastAsia"/>
                <w:szCs w:val="24"/>
                <w:lang w:eastAsia="zh-Hans"/>
              </w:rPr>
              <w:t>0.017</w:t>
            </w:r>
            <w:r>
              <w:rPr>
                <w:rFonts w:ascii="宋体" w:hAnsi="宋体" w:hint="eastAsia"/>
                <w:szCs w:val="24"/>
                <w:lang w:eastAsia="zh-Hans"/>
              </w:rPr>
              <w:t>0</w:t>
            </w:r>
          </w:p>
        </w:tc>
      </w:tr>
      <w:tr w:rsidR="00000000">
        <w:trPr>
          <w:divId w:val="187357462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rPr>
                <w:rFonts w:hint="eastAsia"/>
              </w:rPr>
            </w:pPr>
            <w:r>
              <w:rPr>
                <w:rFonts w:ascii="宋体" w:hAnsi="宋体" w:hint="eastAsia"/>
                <w:szCs w:val="24"/>
                <w:lang w:eastAsia="zh-Hans"/>
              </w:rPr>
              <w:t>349,799,450.2</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pPr>
            <w:r>
              <w:rPr>
                <w:rFonts w:ascii="宋体" w:hAnsi="宋体" w:hint="eastAsia"/>
                <w:szCs w:val="24"/>
                <w:lang w:eastAsia="zh-Hans"/>
              </w:rPr>
              <w:t>5,822,815.9</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pPr>
            <w:r>
              <w:rPr>
                <w:rFonts w:ascii="宋体" w:hAnsi="宋体" w:hint="eastAsia"/>
                <w:szCs w:val="24"/>
                <w:lang w:eastAsia="zh-Hans"/>
              </w:rPr>
              <w:t>47,631,614.4</w:t>
            </w:r>
            <w:r>
              <w:rPr>
                <w:rFonts w:ascii="宋体" w:hAnsi="宋体" w:hint="eastAsia"/>
                <w:szCs w:val="24"/>
                <w:lang w:eastAsia="zh-Hans"/>
              </w:rPr>
              <w:t>8</w:t>
            </w:r>
          </w:p>
        </w:tc>
      </w:tr>
      <w:tr w:rsidR="00000000">
        <w:trPr>
          <w:divId w:val="187357462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rPr>
                <w:rFonts w:hint="eastAsia"/>
              </w:rPr>
            </w:pPr>
            <w:r>
              <w:rPr>
                <w:rFonts w:ascii="宋体" w:hAnsi="宋体" w:hint="eastAsia"/>
                <w:szCs w:val="24"/>
                <w:lang w:eastAsia="zh-Hans"/>
              </w:rPr>
              <w:t>2.707</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pPr>
            <w:r>
              <w:rPr>
                <w:rFonts w:ascii="宋体" w:hAnsi="宋体" w:hint="eastAsia"/>
                <w:szCs w:val="24"/>
                <w:lang w:eastAsia="zh-Hans"/>
              </w:rPr>
              <w:t>2.832</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AC5349" w:rsidRDefault="00AC5349">
            <w:pPr>
              <w:jc w:val="right"/>
            </w:pPr>
            <w:r>
              <w:rPr>
                <w:rFonts w:ascii="宋体" w:hAnsi="宋体" w:hint="eastAsia"/>
                <w:szCs w:val="24"/>
                <w:lang w:eastAsia="zh-Hans"/>
              </w:rPr>
              <w:t>2.722</w:t>
            </w:r>
            <w:r>
              <w:rPr>
                <w:rFonts w:ascii="宋体" w:hAnsi="宋体" w:hint="eastAsia"/>
                <w:szCs w:val="24"/>
                <w:lang w:eastAsia="zh-Hans"/>
              </w:rPr>
              <w:t>0</w:t>
            </w:r>
          </w:p>
        </w:tc>
      </w:tr>
    </w:tbl>
    <w:p w:rsidR="00AC5349" w:rsidRDefault="00AC5349">
      <w:pPr>
        <w:wordWrap w:val="0"/>
        <w:spacing w:line="360" w:lineRule="auto"/>
        <w:jc w:val="left"/>
        <w:divId w:val="36798964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AC5349" w:rsidRDefault="00AC5349">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AC5349" w:rsidRDefault="00AC5349">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AC5349" w:rsidRDefault="00AC5349">
      <w:pPr>
        <w:spacing w:line="360" w:lineRule="auto"/>
        <w:jc w:val="center"/>
        <w:divId w:val="1602758778"/>
        <w:rPr>
          <w:rFonts w:hint="eastAsia"/>
        </w:rPr>
      </w:pPr>
      <w:r>
        <w:rPr>
          <w:rFonts w:ascii="宋体" w:hAnsi="宋体" w:hint="eastAsia"/>
        </w:rPr>
        <w:t>摩根行业轮动混合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60275877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②－④</w:t>
            </w:r>
            <w:r>
              <w:rPr>
                <w:rFonts w:ascii="宋体" w:hAnsi="宋体" w:hint="eastAsia"/>
              </w:rPr>
              <w:t xml:space="preserve"> </w:t>
            </w:r>
          </w:p>
        </w:tc>
      </w:tr>
      <w:tr w:rsidR="00000000">
        <w:trPr>
          <w:divId w:val="16027587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9.7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-9.9</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0.7</w:t>
            </w:r>
            <w:r>
              <w:rPr>
                <w:rFonts w:ascii="宋体" w:hAnsi="宋体" w:hint="eastAsia"/>
              </w:rPr>
              <w:t>1</w:t>
            </w:r>
            <w:r>
              <w:rPr>
                <w:rFonts w:ascii="宋体" w:hAnsi="宋体" w:hint="eastAsia"/>
              </w:rPr>
              <w:t xml:space="preserve">% </w:t>
            </w:r>
          </w:p>
        </w:tc>
      </w:tr>
      <w:tr w:rsidR="00000000">
        <w:trPr>
          <w:divId w:val="16027587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6.3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-6.1</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r>
      <w:tr w:rsidR="00000000">
        <w:trPr>
          <w:divId w:val="16027587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30.6</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1.4</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21.4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9.2</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8</w:t>
            </w:r>
            <w:r>
              <w:rPr>
                <w:rFonts w:ascii="宋体" w:hAnsi="宋体" w:hint="eastAsia"/>
              </w:rPr>
              <w:t xml:space="preserve">% </w:t>
            </w:r>
          </w:p>
        </w:tc>
      </w:tr>
      <w:tr w:rsidR="00000000">
        <w:trPr>
          <w:divId w:val="16027587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8.8</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26.1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-17.3</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0.4</w:t>
            </w:r>
            <w:r>
              <w:rPr>
                <w:rFonts w:ascii="宋体" w:hAnsi="宋体" w:hint="eastAsia"/>
              </w:rPr>
              <w:t>9</w:t>
            </w:r>
            <w:r>
              <w:rPr>
                <w:rFonts w:ascii="宋体" w:hAnsi="宋体" w:hint="eastAsia"/>
              </w:rPr>
              <w:t xml:space="preserve">% </w:t>
            </w:r>
          </w:p>
        </w:tc>
      </w:tr>
      <w:tr w:rsidR="00000000">
        <w:trPr>
          <w:divId w:val="16027587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-35.4</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1.5</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-36.1</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1</w:t>
            </w:r>
            <w:r>
              <w:rPr>
                <w:rFonts w:ascii="宋体" w:hAnsi="宋体" w:hint="eastAsia"/>
              </w:rPr>
              <w:t xml:space="preserve">% </w:t>
            </w:r>
          </w:p>
        </w:tc>
      </w:tr>
      <w:tr w:rsidR="00000000">
        <w:trPr>
          <w:divId w:val="16027587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73.7</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30.4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43.3</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7</w:t>
            </w:r>
            <w:r>
              <w:rPr>
                <w:rFonts w:ascii="宋体" w:hAnsi="宋体" w:hint="eastAsia"/>
              </w:rPr>
              <w:t xml:space="preserve">% </w:t>
            </w:r>
          </w:p>
        </w:tc>
      </w:tr>
      <w:tr w:rsidR="00000000">
        <w:trPr>
          <w:divId w:val="16027587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71.4</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1.5</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55.2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16.1</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4</w:t>
            </w:r>
            <w:r>
              <w:rPr>
                <w:rFonts w:ascii="宋体" w:hAnsi="宋体" w:hint="eastAsia"/>
              </w:rPr>
              <w:t xml:space="preserve">% </w:t>
            </w:r>
          </w:p>
        </w:tc>
      </w:tr>
      <w:tr w:rsidR="00000000">
        <w:trPr>
          <w:divId w:val="160275877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219.8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61.8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158.0</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0.5</w:t>
            </w:r>
            <w:r>
              <w:rPr>
                <w:rFonts w:ascii="宋体" w:hAnsi="宋体" w:hint="eastAsia"/>
              </w:rPr>
              <w:t>6</w:t>
            </w:r>
            <w:r>
              <w:rPr>
                <w:rFonts w:ascii="宋体" w:hAnsi="宋体" w:hint="eastAsia"/>
              </w:rPr>
              <w:t xml:space="preserve">% </w:t>
            </w:r>
          </w:p>
        </w:tc>
      </w:tr>
    </w:tbl>
    <w:p w:rsidR="00AC5349" w:rsidRDefault="00AC5349">
      <w:pPr>
        <w:spacing w:line="360" w:lineRule="auto"/>
        <w:jc w:val="center"/>
        <w:divId w:val="2130583805"/>
      </w:pPr>
      <w:r>
        <w:rPr>
          <w:rFonts w:ascii="宋体" w:hAnsi="宋体" w:hint="eastAsia"/>
        </w:rPr>
        <w:t>摩根行业轮动混合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13058380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1305838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-0.3</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9.7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-10.0</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0.7</w:t>
            </w:r>
            <w:r>
              <w:rPr>
                <w:rFonts w:ascii="宋体" w:hAnsi="宋体" w:hint="eastAsia"/>
              </w:rPr>
              <w:t>1</w:t>
            </w:r>
            <w:r>
              <w:rPr>
                <w:rFonts w:ascii="宋体" w:hAnsi="宋体" w:hint="eastAsia"/>
              </w:rPr>
              <w:t>%</w:t>
            </w:r>
            <w:r>
              <w:rPr>
                <w:rFonts w:ascii="宋体" w:hAnsi="宋体" w:hint="eastAsia"/>
              </w:rPr>
              <w:t xml:space="preserve"> </w:t>
            </w:r>
          </w:p>
        </w:tc>
      </w:tr>
      <w:tr w:rsidR="00000000">
        <w:trPr>
          <w:divId w:val="21305838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6.3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-6.4</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0</w:t>
            </w:r>
            <w:r>
              <w:rPr>
                <w:rFonts w:ascii="宋体" w:hAnsi="宋体" w:hint="eastAsia"/>
              </w:rPr>
              <w:t>%</w:t>
            </w:r>
            <w:r>
              <w:rPr>
                <w:rFonts w:ascii="宋体" w:hAnsi="宋体" w:hint="eastAsia"/>
              </w:rPr>
              <w:t xml:space="preserve"> </w:t>
            </w:r>
          </w:p>
        </w:tc>
      </w:tr>
      <w:tr w:rsidR="00000000">
        <w:trPr>
          <w:divId w:val="21305838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30.0</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21.4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8.6</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r>
      <w:tr w:rsidR="00000000">
        <w:trPr>
          <w:divId w:val="21305838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7.3</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26.1</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-18.8</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0.4</w:t>
            </w:r>
            <w:r>
              <w:rPr>
                <w:rFonts w:ascii="宋体" w:hAnsi="宋体" w:hint="eastAsia"/>
              </w:rPr>
              <w:t>9</w:t>
            </w:r>
            <w:r>
              <w:rPr>
                <w:rFonts w:ascii="宋体" w:hAnsi="宋体" w:hint="eastAsia"/>
              </w:rPr>
              <w:t>%</w:t>
            </w:r>
            <w:r>
              <w:rPr>
                <w:rFonts w:ascii="宋体" w:hAnsi="宋体" w:hint="eastAsia"/>
              </w:rPr>
              <w:t xml:space="preserve"> </w:t>
            </w:r>
          </w:p>
        </w:tc>
      </w:tr>
      <w:tr w:rsidR="00000000">
        <w:trPr>
          <w:divId w:val="21305838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-32.2</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4.8</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-37.0</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0.5</w:t>
            </w:r>
            <w:r>
              <w:rPr>
                <w:rFonts w:ascii="宋体" w:hAnsi="宋体" w:hint="eastAsia"/>
              </w:rPr>
              <w:t>4</w:t>
            </w:r>
            <w:r>
              <w:rPr>
                <w:rFonts w:ascii="宋体" w:hAnsi="宋体" w:hint="eastAsia"/>
              </w:rPr>
              <w:t>%</w:t>
            </w:r>
            <w:r>
              <w:rPr>
                <w:rFonts w:ascii="宋体" w:hAnsi="宋体" w:hint="eastAsia"/>
              </w:rPr>
              <w:t xml:space="preserve"> </w:t>
            </w:r>
          </w:p>
        </w:tc>
      </w:tr>
    </w:tbl>
    <w:p w:rsidR="00AC5349" w:rsidRDefault="00AC5349">
      <w:pPr>
        <w:spacing w:line="360" w:lineRule="auto"/>
        <w:jc w:val="center"/>
        <w:divId w:val="644968367"/>
      </w:pPr>
      <w:r>
        <w:rPr>
          <w:rFonts w:ascii="宋体" w:hAnsi="宋体" w:hint="eastAsia"/>
        </w:rPr>
        <w:t>摩根行业轮动混合</w:t>
      </w:r>
      <w:r>
        <w:rPr>
          <w:rFonts w:ascii="宋体" w:hAnsi="宋体" w:hint="eastAsia"/>
        </w:rPr>
        <w:t>H</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64496836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6449683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-0.3</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9.7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-10.0</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0.7</w:t>
            </w:r>
            <w:r>
              <w:rPr>
                <w:rFonts w:ascii="宋体" w:hAnsi="宋体" w:hint="eastAsia"/>
              </w:rPr>
              <w:t>1</w:t>
            </w:r>
            <w:r>
              <w:rPr>
                <w:rFonts w:ascii="宋体" w:hAnsi="宋体" w:hint="eastAsia"/>
              </w:rPr>
              <w:t>%</w:t>
            </w:r>
            <w:r>
              <w:rPr>
                <w:rFonts w:ascii="宋体" w:hAnsi="宋体" w:hint="eastAsia"/>
              </w:rPr>
              <w:t xml:space="preserve"> </w:t>
            </w:r>
          </w:p>
        </w:tc>
      </w:tr>
      <w:tr w:rsidR="00000000">
        <w:trPr>
          <w:divId w:val="6449683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0.1</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6.3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-6.2</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0</w:t>
            </w:r>
            <w:r>
              <w:rPr>
                <w:rFonts w:ascii="宋体" w:hAnsi="宋体" w:hint="eastAsia"/>
              </w:rPr>
              <w:t>%</w:t>
            </w:r>
            <w:r>
              <w:rPr>
                <w:rFonts w:ascii="宋体" w:hAnsi="宋体" w:hint="eastAsia"/>
              </w:rPr>
              <w:t xml:space="preserve"> </w:t>
            </w:r>
          </w:p>
        </w:tc>
      </w:tr>
      <w:tr w:rsidR="00000000">
        <w:trPr>
          <w:divId w:val="6449683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30.6</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21.4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9.2</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r>
      <w:tr w:rsidR="00000000">
        <w:trPr>
          <w:divId w:val="6449683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8.9</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26.1</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-17.2</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0.4</w:t>
            </w:r>
            <w:r>
              <w:rPr>
                <w:rFonts w:ascii="宋体" w:hAnsi="宋体" w:hint="eastAsia"/>
              </w:rPr>
              <w:t>9</w:t>
            </w:r>
            <w:r>
              <w:rPr>
                <w:rFonts w:ascii="宋体" w:hAnsi="宋体" w:hint="eastAsia"/>
              </w:rPr>
              <w:t>%</w:t>
            </w:r>
            <w:r>
              <w:rPr>
                <w:rFonts w:ascii="宋体" w:hAnsi="宋体" w:hint="eastAsia"/>
              </w:rPr>
              <w:t xml:space="preserve"> </w:t>
            </w:r>
          </w:p>
        </w:tc>
      </w:tr>
      <w:tr w:rsidR="00000000">
        <w:trPr>
          <w:divId w:val="6449683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-35.4</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1.5</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-36.1</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1</w:t>
            </w:r>
            <w:r>
              <w:rPr>
                <w:rFonts w:ascii="宋体" w:hAnsi="宋体" w:hint="eastAsia"/>
              </w:rPr>
              <w:t>%</w:t>
            </w:r>
            <w:r>
              <w:rPr>
                <w:rFonts w:ascii="宋体" w:hAnsi="宋体" w:hint="eastAsia"/>
              </w:rPr>
              <w:t xml:space="preserve"> </w:t>
            </w:r>
          </w:p>
        </w:tc>
      </w:tr>
      <w:tr w:rsidR="00000000">
        <w:trPr>
          <w:divId w:val="6449683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73.8</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30.4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43.3</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7</w:t>
            </w:r>
            <w:r>
              <w:rPr>
                <w:rFonts w:ascii="宋体" w:hAnsi="宋体" w:hint="eastAsia"/>
              </w:rPr>
              <w:t>%</w:t>
            </w:r>
            <w:r>
              <w:rPr>
                <w:rFonts w:ascii="宋体" w:hAnsi="宋体" w:hint="eastAsia"/>
              </w:rPr>
              <w:t xml:space="preserve"> </w:t>
            </w:r>
          </w:p>
        </w:tc>
      </w:tr>
      <w:tr w:rsidR="00000000">
        <w:trPr>
          <w:divId w:val="6449683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72.4</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1.5</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55.2</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17.1</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4</w:t>
            </w:r>
            <w:r>
              <w:rPr>
                <w:rFonts w:ascii="宋体" w:hAnsi="宋体" w:hint="eastAsia"/>
              </w:rPr>
              <w:t>%</w:t>
            </w:r>
            <w:r>
              <w:rPr>
                <w:rFonts w:ascii="宋体" w:hAnsi="宋体" w:hint="eastAsia"/>
              </w:rPr>
              <w:t xml:space="preserve"> </w:t>
            </w:r>
          </w:p>
        </w:tc>
      </w:tr>
      <w:tr w:rsidR="00000000">
        <w:trPr>
          <w:divId w:val="6449683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82.0</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1.5</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56.7</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AC5349" w:rsidRDefault="00AC5349">
            <w:pPr>
              <w:spacing w:line="360" w:lineRule="auto"/>
              <w:jc w:val="right"/>
            </w:pPr>
            <w:r>
              <w:rPr>
                <w:rFonts w:ascii="宋体" w:hAnsi="宋体" w:hint="eastAsia"/>
              </w:rPr>
              <w:t>25.3</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spacing w:line="360" w:lineRule="auto"/>
              <w:jc w:val="right"/>
            </w:pPr>
            <w:r>
              <w:rPr>
                <w:rFonts w:ascii="宋体" w:hAnsi="宋体" w:hint="eastAsia"/>
              </w:rPr>
              <w:t>0.6</w:t>
            </w:r>
            <w:r>
              <w:rPr>
                <w:rFonts w:ascii="宋体" w:hAnsi="宋体" w:hint="eastAsia"/>
              </w:rPr>
              <w:t>6</w:t>
            </w:r>
            <w:r>
              <w:rPr>
                <w:rFonts w:ascii="宋体" w:hAnsi="宋体" w:hint="eastAsia"/>
              </w:rPr>
              <w:t>%</w:t>
            </w:r>
            <w:r>
              <w:rPr>
                <w:rFonts w:ascii="宋体" w:hAnsi="宋体" w:hint="eastAsia"/>
              </w:rPr>
              <w:t xml:space="preserve"> </w:t>
            </w:r>
          </w:p>
        </w:tc>
      </w:tr>
    </w:tbl>
    <w:p w:rsidR="00AC5349" w:rsidRDefault="00AC5349">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AC5349" w:rsidRDefault="00AC5349">
      <w:pPr>
        <w:spacing w:line="360" w:lineRule="auto"/>
        <w:jc w:val="left"/>
        <w:divId w:val="1437404950"/>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AC5349" w:rsidRDefault="00AC5349">
      <w:pPr>
        <w:spacing w:line="360" w:lineRule="auto"/>
        <w:jc w:val="left"/>
        <w:divId w:val="973292926"/>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AC5349" w:rsidRDefault="00AC5349">
      <w:pPr>
        <w:spacing w:line="360" w:lineRule="auto"/>
        <w:jc w:val="left"/>
        <w:divId w:val="211966137"/>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AC5349" w:rsidRDefault="00AC5349">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2010</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28</w:t>
      </w:r>
      <w:r>
        <w:rPr>
          <w:rFonts w:ascii="宋体" w:hAnsi="宋体" w:hint="eastAsia"/>
          <w:lang w:eastAsia="zh-Hans"/>
        </w:rPr>
        <w:t xml:space="preserve">日，图示的时间段为合同生效日至本报告期末。　　</w:t>
      </w:r>
      <w:r>
        <w:rPr>
          <w:rFonts w:ascii="宋体" w:hAnsi="宋体" w:hint="eastAsia"/>
          <w:lang w:eastAsia="zh-Hans"/>
        </w:rPr>
        <w:br/>
      </w:r>
      <w:r>
        <w:rPr>
          <w:rFonts w:ascii="宋体" w:hAnsi="宋体" w:hint="eastAsia"/>
          <w:lang w:eastAsia="zh-Hans"/>
        </w:rPr>
        <w:t xml:space="preserve">　　本基金</w:t>
      </w:r>
      <w:r>
        <w:rPr>
          <w:rFonts w:ascii="宋体" w:hAnsi="宋体" w:hint="eastAsia"/>
          <w:lang w:eastAsia="zh-Hans"/>
        </w:rPr>
        <w:t>H</w:t>
      </w:r>
      <w:r>
        <w:rPr>
          <w:rFonts w:ascii="宋体" w:hAnsi="宋体" w:hint="eastAsia"/>
          <w:lang w:eastAsia="zh-Hans"/>
        </w:rPr>
        <w:t>类份额生效日为</w:t>
      </w:r>
      <w:r>
        <w:rPr>
          <w:rFonts w:ascii="宋体" w:hAnsi="宋体" w:hint="eastAsia"/>
          <w:lang w:eastAsia="zh-Hans"/>
        </w:rPr>
        <w:t>2016</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26</w:t>
      </w:r>
      <w:r>
        <w:rPr>
          <w:rFonts w:ascii="宋体" w:hAnsi="宋体" w:hint="eastAsia"/>
          <w:lang w:eastAsia="zh-Hans"/>
        </w:rPr>
        <w:t xml:space="preserve">日，图示的时间段为本类份额生效日至本报告期末。　　</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2021</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24</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 xml:space="preserve">类份额，相关数据按实际存续期计算。　　</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AC5349" w:rsidRDefault="00AC5349">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AC5349" w:rsidRDefault="00AC5349">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783013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783013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5349" w:rsidRDefault="00AC534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5349" w:rsidRDefault="00AC5349">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5349" w:rsidRDefault="00AC534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5349" w:rsidRDefault="00AC5349">
            <w:pPr>
              <w:widowControl/>
              <w:jc w:val="left"/>
            </w:pPr>
          </w:p>
        </w:tc>
      </w:tr>
      <w:tr w:rsidR="00000000">
        <w:trPr>
          <w:divId w:val="783013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梁</w:t>
            </w:r>
            <w:r>
              <w:rPr>
                <w:rFonts w:ascii="宋体" w:hAnsi="宋体" w:hint="eastAsia"/>
                <w:szCs w:val="24"/>
                <w:lang w:eastAsia="zh-Hans"/>
              </w:rPr>
              <w:t>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2</w:t>
            </w:r>
            <w:r>
              <w:rPr>
                <w:rFonts w:ascii="宋体" w:hAnsi="宋体" w:hint="eastAsia"/>
                <w:szCs w:val="24"/>
                <w:lang w:eastAsia="zh-Hans"/>
              </w:rPr>
              <w:t>月</w:t>
            </w:r>
            <w:r>
              <w:rPr>
                <w:rFonts w:ascii="宋体" w:hAnsi="宋体" w:hint="eastAsia"/>
                <w:szCs w:val="24"/>
                <w:lang w:eastAsia="zh-Hans"/>
              </w:rPr>
              <w:t>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left"/>
            </w:pPr>
            <w:r>
              <w:rPr>
                <w:rFonts w:ascii="宋体" w:hAnsi="宋体" w:hint="eastAsia"/>
                <w:szCs w:val="24"/>
                <w:lang w:eastAsia="zh-Hans"/>
              </w:rPr>
              <w:t>梁鹏先生曾任上海申银万国证券研究所行业分析师，新活力资本投资公司投资副总监，太平基金管理有限公司基金经理；自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，现任国内权益投资部高级基金经理</w:t>
            </w:r>
            <w:r>
              <w:rPr>
                <w:rFonts w:ascii="宋体" w:hAnsi="宋体" w:hint="eastAsia"/>
                <w:szCs w:val="24"/>
                <w:lang w:eastAsia="zh-Hans"/>
              </w:rPr>
              <w:t>。</w:t>
            </w:r>
          </w:p>
        </w:tc>
      </w:tr>
    </w:tbl>
    <w:p w:rsidR="00AC5349" w:rsidRDefault="00AC5349">
      <w:pPr>
        <w:wordWrap w:val="0"/>
        <w:spacing w:line="360" w:lineRule="auto"/>
        <w:jc w:val="left"/>
        <w:divId w:val="243347251"/>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AC5349" w:rsidRDefault="00AC5349">
      <w:pPr>
        <w:pStyle w:val="XBRLTitle3"/>
        <w:spacing w:before="156"/>
        <w:ind w:left="0"/>
        <w:divId w:val="1641885122"/>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816680210"/>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AC5349" w:rsidRDefault="00AC5349">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AC5349" w:rsidRDefault="00AC5349">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AC5349" w:rsidRDefault="00AC5349">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AC5349" w:rsidRDefault="00AC5349">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AC5349" w:rsidRDefault="00AC5349">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816680210"/>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center"/>
            </w:pPr>
            <w:r>
              <w:rPr>
                <w:rFonts w:ascii="宋体" w:hAnsi="宋体" w:hint="eastAsia"/>
                <w:szCs w:val="24"/>
              </w:rPr>
              <w:t>梁</w:t>
            </w:r>
            <w:r>
              <w:rPr>
                <w:rFonts w:ascii="宋体" w:hAnsi="宋体" w:hint="eastAsia"/>
                <w:szCs w:val="24"/>
              </w:rPr>
              <w:t>鹏</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right"/>
            </w:pPr>
            <w:r>
              <w:rPr>
                <w:rFonts w:ascii="宋体" w:hAnsi="宋体" w:hint="eastAsia"/>
                <w:szCs w:val="24"/>
              </w:rPr>
              <w:t>3</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right"/>
            </w:pPr>
            <w:r>
              <w:rPr>
                <w:rFonts w:ascii="宋体" w:hAnsi="宋体" w:hint="eastAsia"/>
                <w:szCs w:val="24"/>
              </w:rPr>
              <w:t>1,058,654,170.5</w:t>
            </w:r>
            <w:r>
              <w:rPr>
                <w:rFonts w:ascii="宋体" w:hAnsi="宋体" w:hint="eastAsia"/>
                <w:szCs w:val="24"/>
              </w:rPr>
              <w:t>7</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center"/>
            </w:pPr>
            <w:r>
              <w:rPr>
                <w:rFonts w:ascii="宋体" w:hAnsi="宋体" w:hint="eastAsia"/>
                <w:szCs w:val="24"/>
              </w:rPr>
              <w:t>2017-12-0</w:t>
            </w:r>
            <w:r>
              <w:rPr>
                <w:rFonts w:ascii="宋体" w:hAnsi="宋体" w:hint="eastAsia"/>
                <w:szCs w:val="24"/>
              </w:rPr>
              <w:t>1</w:t>
            </w:r>
          </w:p>
        </w:tc>
      </w:tr>
      <w:tr w:rsidR="00000000">
        <w:trPr>
          <w:divId w:val="1816680210"/>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AC5349" w:rsidRDefault="00AC5349">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right"/>
            </w:pPr>
            <w:r>
              <w:rPr>
                <w:rFonts w:ascii="宋体" w:hAnsi="宋体" w:hint="eastAsia"/>
                <w:szCs w:val="24"/>
              </w:rPr>
              <w:t>4</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right"/>
            </w:pPr>
            <w:r>
              <w:rPr>
                <w:rFonts w:ascii="宋体" w:hAnsi="宋体" w:hint="eastAsia"/>
                <w:szCs w:val="24"/>
              </w:rPr>
              <w:t>418,540,366.0</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center"/>
            </w:pPr>
            <w:r>
              <w:rPr>
                <w:rFonts w:ascii="宋体" w:hAnsi="宋体" w:hint="eastAsia"/>
                <w:szCs w:val="24"/>
              </w:rPr>
              <w:t>2024-07-0</w:t>
            </w:r>
            <w:r>
              <w:rPr>
                <w:rFonts w:ascii="宋体" w:hAnsi="宋体" w:hint="eastAsia"/>
                <w:szCs w:val="24"/>
              </w:rPr>
              <w:t>4</w:t>
            </w:r>
          </w:p>
        </w:tc>
      </w:tr>
      <w:tr w:rsidR="00000000">
        <w:trPr>
          <w:divId w:val="1816680210"/>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AC5349" w:rsidRDefault="00AC5349">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center"/>
            </w:pPr>
            <w:r>
              <w:rPr>
                <w:rFonts w:ascii="宋体" w:hAnsi="宋体" w:hint="eastAsia"/>
                <w:szCs w:val="24"/>
              </w:rPr>
              <w:t>-</w:t>
            </w:r>
          </w:p>
        </w:tc>
      </w:tr>
      <w:tr w:rsidR="00000000">
        <w:trPr>
          <w:divId w:val="1816680210"/>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AC5349" w:rsidRDefault="00AC5349">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right"/>
            </w:pPr>
            <w:r>
              <w:rPr>
                <w:rFonts w:ascii="宋体" w:hAnsi="宋体" w:hint="eastAsia"/>
                <w:szCs w:val="24"/>
              </w:rPr>
              <w:t>7</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right"/>
            </w:pPr>
            <w:r>
              <w:rPr>
                <w:rFonts w:ascii="宋体" w:hAnsi="宋体" w:hint="eastAsia"/>
                <w:szCs w:val="24"/>
              </w:rPr>
              <w:t>1,477,194,536.5</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C5349" w:rsidRDefault="00AC5349">
            <w:pPr>
              <w:jc w:val="center"/>
            </w:pPr>
            <w:r>
              <w:rPr>
                <w:rFonts w:ascii="宋体" w:hAnsi="宋体" w:hint="eastAsia"/>
                <w:szCs w:val="24"/>
              </w:rPr>
              <w:t xml:space="preserve">- </w:t>
            </w:r>
          </w:p>
        </w:tc>
      </w:tr>
    </w:tbl>
    <w:p w:rsidR="00AC5349" w:rsidRDefault="00AC5349">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AC5349" w:rsidRDefault="00AC5349">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AC5349" w:rsidRDefault="00AC5349">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AC5349" w:rsidRDefault="00AC5349">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AC5349" w:rsidRDefault="00AC5349">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AC5349" w:rsidRDefault="00AC5349">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AC5349" w:rsidRDefault="00AC5349">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AC5349" w:rsidRDefault="00AC5349">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AC5349" w:rsidRDefault="00AC5349">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年二季度市场演绎了极致的结构性行情，“寒暑两重天”。一方面，</w:t>
      </w:r>
      <w:r>
        <w:rPr>
          <w:rFonts w:ascii="宋体" w:hAnsi="宋体" w:cs="宋体" w:hint="eastAsia"/>
          <w:color w:val="000000"/>
          <w:kern w:val="0"/>
        </w:rPr>
        <w:t>AI</w:t>
      </w:r>
      <w:r>
        <w:rPr>
          <w:rFonts w:ascii="宋体" w:hAnsi="宋体" w:cs="宋体" w:hint="eastAsia"/>
          <w:color w:val="000000"/>
          <w:kern w:val="0"/>
        </w:rPr>
        <w:t>相关板块（通信，电子及上游材料等行业）“暑热似火烧”；另一方面，非</w:t>
      </w:r>
      <w:r>
        <w:rPr>
          <w:rFonts w:ascii="宋体" w:hAnsi="宋体" w:cs="宋体" w:hint="eastAsia"/>
          <w:color w:val="000000"/>
          <w:kern w:val="0"/>
        </w:rPr>
        <w:t>AI</w:t>
      </w:r>
      <w:r>
        <w:rPr>
          <w:rFonts w:ascii="宋体" w:hAnsi="宋体" w:cs="宋体" w:hint="eastAsia"/>
          <w:color w:val="000000"/>
          <w:kern w:val="0"/>
        </w:rPr>
        <w:t>板块（消费，周期等行业）“寒风如刀割”。行业间收益差持续拉大，最大今年以来正负差达到</w:t>
      </w:r>
      <w:r>
        <w:rPr>
          <w:rFonts w:ascii="宋体" w:hAnsi="宋体" w:cs="宋体" w:hint="eastAsia"/>
          <w:color w:val="000000"/>
          <w:kern w:val="0"/>
        </w:rPr>
        <w:t>115%</w:t>
      </w:r>
      <w:r>
        <w:rPr>
          <w:rFonts w:ascii="宋体" w:hAnsi="宋体" w:cs="宋体" w:hint="eastAsia"/>
          <w:color w:val="000000"/>
          <w:kern w:val="0"/>
        </w:rPr>
        <w:t>。甚至同一板块内部，</w:t>
      </w:r>
      <w:r>
        <w:rPr>
          <w:rFonts w:ascii="宋体" w:hAnsi="宋体" w:cs="宋体" w:hint="eastAsia"/>
          <w:color w:val="000000"/>
          <w:kern w:val="0"/>
        </w:rPr>
        <w:t>AI</w:t>
      </w:r>
      <w:r>
        <w:rPr>
          <w:rFonts w:ascii="宋体" w:hAnsi="宋体" w:cs="宋体" w:hint="eastAsia"/>
          <w:color w:val="000000"/>
          <w:kern w:val="0"/>
        </w:rPr>
        <w:t>相关公司与非</w:t>
      </w:r>
      <w:r>
        <w:rPr>
          <w:rFonts w:ascii="宋体" w:hAnsi="宋体" w:cs="宋体" w:hint="eastAsia"/>
          <w:color w:val="000000"/>
          <w:kern w:val="0"/>
        </w:rPr>
        <w:t>AI</w:t>
      </w:r>
      <w:r>
        <w:rPr>
          <w:rFonts w:ascii="宋体" w:hAnsi="宋体" w:cs="宋体" w:hint="eastAsia"/>
          <w:color w:val="000000"/>
          <w:kern w:val="0"/>
        </w:rPr>
        <w:t>公司的走势呈云泥之别。此外，市场“抽水效应”明显，</w:t>
      </w:r>
      <w:r>
        <w:rPr>
          <w:rFonts w:ascii="宋体" w:hAnsi="宋体" w:cs="宋体" w:hint="eastAsia"/>
          <w:color w:val="000000"/>
          <w:kern w:val="0"/>
        </w:rPr>
        <w:t>AI</w:t>
      </w:r>
      <w:r>
        <w:rPr>
          <w:rFonts w:ascii="宋体" w:hAnsi="宋体" w:cs="宋体" w:hint="eastAsia"/>
          <w:color w:val="000000"/>
          <w:kern w:val="0"/>
        </w:rPr>
        <w:t>板块迭创新高之际，同期市场近五分之一的公司股价跌破了</w:t>
      </w:r>
      <w:r>
        <w:rPr>
          <w:rFonts w:ascii="宋体" w:hAnsi="宋体" w:cs="宋体" w:hint="eastAsia"/>
          <w:color w:val="000000"/>
          <w:kern w:val="0"/>
        </w:rPr>
        <w:t>2024</w:t>
      </w:r>
      <w:r>
        <w:rPr>
          <w:rFonts w:ascii="宋体" w:hAnsi="宋体" w:cs="宋体" w:hint="eastAsia"/>
          <w:color w:val="000000"/>
          <w:kern w:val="0"/>
        </w:rPr>
        <w:t>年</w:t>
      </w:r>
      <w:r>
        <w:rPr>
          <w:rFonts w:ascii="宋体" w:hAnsi="宋体" w:cs="宋体" w:hint="eastAsia"/>
          <w:color w:val="000000"/>
          <w:kern w:val="0"/>
        </w:rPr>
        <w:t>9</w:t>
      </w:r>
      <w:r>
        <w:rPr>
          <w:rFonts w:ascii="宋体" w:hAnsi="宋体" w:cs="宋体" w:hint="eastAsia"/>
          <w:color w:val="000000"/>
          <w:kern w:val="0"/>
        </w:rPr>
        <w:t>月市场启动之初时的价格。二季度基金净值走势与一季度相似，</w:t>
      </w:r>
      <w:r>
        <w:rPr>
          <w:rFonts w:ascii="宋体" w:hAnsi="宋体" w:cs="宋体" w:hint="eastAsia"/>
          <w:color w:val="000000"/>
          <w:kern w:val="0"/>
        </w:rPr>
        <w:t>5-6</w:t>
      </w:r>
      <w:r>
        <w:rPr>
          <w:rFonts w:ascii="宋体" w:hAnsi="宋体" w:cs="宋体" w:hint="eastAsia"/>
          <w:color w:val="000000"/>
          <w:kern w:val="0"/>
        </w:rPr>
        <w:t>月份基本抹平了</w:t>
      </w:r>
      <w:r>
        <w:rPr>
          <w:rFonts w:ascii="宋体" w:hAnsi="宋体" w:cs="宋体" w:hint="eastAsia"/>
          <w:color w:val="000000"/>
          <w:kern w:val="0"/>
        </w:rPr>
        <w:t>4</w:t>
      </w:r>
      <w:r>
        <w:rPr>
          <w:rFonts w:ascii="宋体" w:hAnsi="宋体" w:cs="宋体" w:hint="eastAsia"/>
          <w:color w:val="000000"/>
          <w:kern w:val="0"/>
        </w:rPr>
        <w:t>月份的涨幅。</w:t>
      </w:r>
      <w:r>
        <w:rPr>
          <w:rFonts w:ascii="宋体" w:hAnsi="宋体" w:cs="宋体" w:hint="eastAsia"/>
          <w:color w:val="000000"/>
          <w:kern w:val="0"/>
        </w:rPr>
        <w:br/>
      </w:r>
      <w:r>
        <w:rPr>
          <w:rFonts w:ascii="宋体" w:hAnsi="宋体" w:cs="宋体" w:hint="eastAsia"/>
          <w:color w:val="000000"/>
          <w:kern w:val="0"/>
        </w:rPr>
        <w:t xml:space="preserve">　　本基金仍将坚持风险控制置于收益追求之上的基本原则，首先力求预防买错的风险和买贵的风险。在注重风险控制的同时，多维度进行研究分析比较，不偏离选择配置优良风险收益比资产的根本策略。在投资组合的运作上，本基金报告期未作过多的调整，保持了化工和锂电池产业链持仓。</w:t>
      </w:r>
      <w:r>
        <w:rPr>
          <w:rFonts w:ascii="宋体" w:hAnsi="宋体" w:cs="宋体" w:hint="eastAsia"/>
          <w:color w:val="000000"/>
          <w:kern w:val="0"/>
        </w:rPr>
        <w:br/>
      </w:r>
      <w:r>
        <w:rPr>
          <w:rFonts w:ascii="宋体" w:hAnsi="宋体" w:cs="宋体" w:hint="eastAsia"/>
          <w:color w:val="000000"/>
          <w:kern w:val="0"/>
        </w:rPr>
        <w:t xml:space="preserve">　　化工行业在建工程增速于</w:t>
      </w:r>
      <w:r>
        <w:rPr>
          <w:rFonts w:ascii="宋体" w:hAnsi="宋体" w:cs="宋体" w:hint="eastAsia"/>
          <w:color w:val="000000"/>
          <w:kern w:val="0"/>
        </w:rPr>
        <w:t>23</w:t>
      </w:r>
      <w:r>
        <w:rPr>
          <w:rFonts w:ascii="宋体" w:hAnsi="宋体" w:cs="宋体" w:hint="eastAsia"/>
          <w:color w:val="000000"/>
          <w:kern w:val="0"/>
        </w:rPr>
        <w:t>年</w:t>
      </w:r>
      <w:r>
        <w:rPr>
          <w:rFonts w:ascii="宋体" w:hAnsi="宋体" w:cs="宋体" w:hint="eastAsia"/>
          <w:color w:val="000000"/>
          <w:kern w:val="0"/>
        </w:rPr>
        <w:t>Q3</w:t>
      </w:r>
      <w:r>
        <w:rPr>
          <w:rFonts w:ascii="宋体" w:hAnsi="宋体" w:cs="宋体" w:hint="eastAsia"/>
          <w:color w:val="000000"/>
          <w:kern w:val="0"/>
        </w:rPr>
        <w:t>见顶，同比转负也已经</w:t>
      </w:r>
      <w:r>
        <w:rPr>
          <w:rFonts w:ascii="宋体" w:hAnsi="宋体" w:cs="宋体" w:hint="eastAsia"/>
          <w:color w:val="000000"/>
          <w:kern w:val="0"/>
        </w:rPr>
        <w:t>4</w:t>
      </w:r>
      <w:r>
        <w:rPr>
          <w:rFonts w:ascii="宋体" w:hAnsi="宋体" w:cs="宋体" w:hint="eastAsia"/>
          <w:color w:val="000000"/>
          <w:kern w:val="0"/>
        </w:rPr>
        <w:t>个季度，行业资产周转率也跌至历史底部区域。诸多子行业处于低价格和低库存，而需求端逐渐进入了补库周期。历史经验来看</w:t>
      </w:r>
      <w:r>
        <w:rPr>
          <w:rFonts w:ascii="宋体" w:hAnsi="宋体" w:cs="宋体" w:hint="eastAsia"/>
          <w:color w:val="000000"/>
          <w:kern w:val="0"/>
        </w:rPr>
        <w:t>PPI</w:t>
      </w:r>
      <w:r>
        <w:rPr>
          <w:rFonts w:ascii="宋体" w:hAnsi="宋体" w:cs="宋体" w:hint="eastAsia"/>
          <w:color w:val="000000"/>
          <w:kern w:val="0"/>
        </w:rPr>
        <w:t>同比拐点出现并加速上行的阶段，化工行业具有较好的超额收益。</w:t>
      </w:r>
      <w:r>
        <w:rPr>
          <w:rFonts w:ascii="宋体" w:hAnsi="宋体" w:cs="宋体" w:hint="eastAsia"/>
          <w:color w:val="000000"/>
          <w:kern w:val="0"/>
        </w:rPr>
        <w:br/>
      </w:r>
      <w:r>
        <w:rPr>
          <w:rFonts w:ascii="宋体" w:hAnsi="宋体" w:cs="宋体" w:hint="eastAsia"/>
          <w:color w:val="000000"/>
          <w:kern w:val="0"/>
        </w:rPr>
        <w:t xml:space="preserve">　　由于</w:t>
      </w:r>
      <w:r>
        <w:rPr>
          <w:rFonts w:ascii="宋体" w:hAnsi="宋体" w:cs="宋体" w:hint="eastAsia"/>
          <w:color w:val="000000"/>
          <w:kern w:val="0"/>
        </w:rPr>
        <w:t>3</w:t>
      </w:r>
      <w:r>
        <w:rPr>
          <w:rFonts w:ascii="宋体" w:hAnsi="宋体" w:cs="宋体" w:hint="eastAsia"/>
          <w:color w:val="000000"/>
          <w:kern w:val="0"/>
        </w:rPr>
        <w:t>月地缘冲突带来原料端供给短缺和价格暴涨的冲击，市场担心能源危机将导致化工企业成本上升、开工率下降，终端传导不畅等不利因素的影响，板块出现了一次无差别的风险释放。我们认为本轮冲突只是化工景气修复周期中的短期波折，随着地缘事件趋近缓和，行业或将迎来一轮高级别的补库行情。从另一个角度看，本轮危机或将加速海外产能的退出，利于中国化工龙头进一步抢占全球份额。</w:t>
      </w:r>
      <w:r>
        <w:rPr>
          <w:rFonts w:ascii="宋体" w:hAnsi="宋体" w:cs="宋体" w:hint="eastAsia"/>
          <w:color w:val="000000"/>
          <w:kern w:val="0"/>
        </w:rPr>
        <w:br/>
      </w:r>
      <w:r>
        <w:rPr>
          <w:rFonts w:ascii="宋体" w:hAnsi="宋体" w:cs="宋体" w:hint="eastAsia"/>
          <w:color w:val="000000"/>
          <w:kern w:val="0"/>
        </w:rPr>
        <w:t xml:space="preserve">　　锂电池产业链属于供需两端都有积极变化的行业。基于储能端需求超预期，上修</w:t>
      </w:r>
      <w:r>
        <w:rPr>
          <w:rFonts w:ascii="宋体" w:hAnsi="宋体" w:cs="宋体" w:hint="eastAsia"/>
          <w:color w:val="000000"/>
          <w:kern w:val="0"/>
        </w:rPr>
        <w:t>2026</w:t>
      </w:r>
      <w:r>
        <w:rPr>
          <w:rFonts w:ascii="宋体" w:hAnsi="宋体" w:cs="宋体" w:hint="eastAsia"/>
          <w:color w:val="000000"/>
          <w:kern w:val="0"/>
        </w:rPr>
        <w:t>年全球锂电池需求增速至</w:t>
      </w:r>
      <w:r>
        <w:rPr>
          <w:rFonts w:ascii="宋体" w:hAnsi="宋体" w:cs="宋体" w:hint="eastAsia"/>
          <w:color w:val="000000"/>
          <w:kern w:val="0"/>
        </w:rPr>
        <w:t>25%</w:t>
      </w:r>
      <w:r>
        <w:rPr>
          <w:rFonts w:ascii="宋体" w:hAnsi="宋体" w:cs="宋体" w:hint="eastAsia"/>
          <w:color w:val="000000"/>
          <w:kern w:val="0"/>
        </w:rPr>
        <w:t>。而供给端过去三年处于微利或亏损的状态，各环节扩产意愿明显不足，需求端积极叠加供给端谨慎，或将带动整个产业链各环节量价齐升。</w:t>
      </w:r>
      <w:r>
        <w:rPr>
          <w:rFonts w:ascii="宋体" w:hAnsi="宋体" w:cs="宋体" w:hint="eastAsia"/>
          <w:color w:val="000000"/>
          <w:kern w:val="0"/>
        </w:rPr>
        <w:br/>
      </w:r>
      <w:r>
        <w:rPr>
          <w:rFonts w:ascii="宋体" w:hAnsi="宋体" w:cs="宋体" w:hint="eastAsia"/>
          <w:color w:val="000000"/>
          <w:kern w:val="0"/>
        </w:rPr>
        <w:t xml:space="preserve">　　展望</w:t>
      </w:r>
      <w:r>
        <w:rPr>
          <w:rFonts w:ascii="宋体" w:hAnsi="宋体" w:cs="宋体" w:hint="eastAsia"/>
          <w:color w:val="000000"/>
          <w:kern w:val="0"/>
        </w:rPr>
        <w:t>2026</w:t>
      </w:r>
      <w:r>
        <w:rPr>
          <w:rFonts w:ascii="宋体" w:hAnsi="宋体" w:cs="宋体" w:hint="eastAsia"/>
          <w:color w:val="000000"/>
          <w:kern w:val="0"/>
        </w:rPr>
        <w:t>年下半年，我们对经济和市场仍保持较乐观的态度，预计在积极财政和宽货币的政策背景下，经济改善或将在现实层面得到验证。在未来一年维度上，有望看到</w:t>
      </w:r>
      <w:r>
        <w:rPr>
          <w:rFonts w:ascii="宋体" w:hAnsi="宋体" w:cs="宋体" w:hint="eastAsia"/>
          <w:color w:val="000000"/>
          <w:kern w:val="0"/>
        </w:rPr>
        <w:t>PPI</w:t>
      </w:r>
      <w:r>
        <w:rPr>
          <w:rFonts w:ascii="宋体" w:hAnsi="宋体" w:cs="宋体" w:hint="eastAsia"/>
          <w:color w:val="000000"/>
          <w:kern w:val="0"/>
        </w:rPr>
        <w:t>和</w:t>
      </w:r>
      <w:r>
        <w:rPr>
          <w:rFonts w:ascii="宋体" w:hAnsi="宋体" w:cs="宋体" w:hint="eastAsia"/>
          <w:color w:val="000000"/>
          <w:kern w:val="0"/>
        </w:rPr>
        <w:t>CPI</w:t>
      </w:r>
      <w:r>
        <w:rPr>
          <w:rFonts w:ascii="宋体" w:hAnsi="宋体" w:cs="宋体" w:hint="eastAsia"/>
          <w:color w:val="000000"/>
          <w:kern w:val="0"/>
        </w:rPr>
        <w:t>的逐步回升。本基金将持续关注顺周期和大消费板块的投资机会。</w:t>
      </w:r>
      <w:r>
        <w:rPr>
          <w:rFonts w:ascii="宋体" w:hAnsi="宋体" w:cs="宋体" w:hint="eastAsia"/>
          <w:color w:val="000000"/>
          <w:kern w:val="0"/>
        </w:rPr>
        <w:br/>
      </w:r>
      <w:r>
        <w:rPr>
          <w:rFonts w:ascii="宋体" w:hAnsi="宋体" w:cs="宋体" w:hint="eastAsia"/>
          <w:color w:val="000000"/>
          <w:kern w:val="0"/>
        </w:rPr>
        <w:t xml:space="preserve">　　本基金力求坚守将风险控制置于收益追求之上的基本原则，宁愿承担由于保守策略带来的短期落后，也不想因为“跟风”而导致遭受无法挽回的大幅回撤和本金损失。而是寄期望通过合理的风险承担，获得基金资产长期稳健的增值回报</w:t>
      </w:r>
      <w:r>
        <w:rPr>
          <w:rFonts w:ascii="宋体" w:hAnsi="宋体" w:cs="宋体" w:hint="eastAsia"/>
          <w:color w:val="000000"/>
          <w:kern w:val="0"/>
        </w:rPr>
        <w:t>。</w:t>
      </w:r>
    </w:p>
    <w:p w:rsidR="00AC5349" w:rsidRDefault="00AC5349">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AC5349" w:rsidRDefault="00AC5349">
      <w:pPr>
        <w:spacing w:line="360" w:lineRule="auto"/>
        <w:ind w:firstLineChars="200" w:firstLine="420"/>
        <w:rPr>
          <w:rFonts w:hint="eastAsia"/>
        </w:rPr>
      </w:pPr>
      <w:r>
        <w:rPr>
          <w:rFonts w:ascii="宋体" w:hAnsi="宋体" w:hint="eastAsia"/>
        </w:rPr>
        <w:t>本报告期摩根行业轮动混合</w:t>
      </w:r>
      <w:r>
        <w:rPr>
          <w:rFonts w:ascii="宋体" w:hAnsi="宋体" w:hint="eastAsia"/>
        </w:rPr>
        <w:t>A</w:t>
      </w:r>
      <w:r>
        <w:rPr>
          <w:rFonts w:ascii="宋体" w:hAnsi="宋体" w:hint="eastAsia"/>
        </w:rPr>
        <w:t>份额净值增长率为：</w:t>
      </w:r>
      <w:r>
        <w:rPr>
          <w:rFonts w:ascii="宋体" w:hAnsi="宋体" w:hint="eastAsia"/>
        </w:rPr>
        <w:t>-0.25%</w:t>
      </w:r>
      <w:r>
        <w:rPr>
          <w:rFonts w:ascii="宋体" w:hAnsi="宋体" w:hint="eastAsia"/>
        </w:rPr>
        <w:t>，同期业绩比较基准收益率为：</w:t>
      </w:r>
      <w:r>
        <w:rPr>
          <w:rFonts w:ascii="宋体" w:hAnsi="宋体" w:hint="eastAsia"/>
        </w:rPr>
        <w:t>9.72%</w:t>
      </w:r>
      <w:r>
        <w:rPr>
          <w:rFonts w:ascii="宋体" w:hAnsi="宋体" w:hint="eastAsia"/>
        </w:rPr>
        <w:t>；</w:t>
      </w:r>
      <w:r>
        <w:rPr>
          <w:rFonts w:ascii="宋体" w:hAnsi="宋体" w:hint="eastAsia"/>
        </w:rPr>
        <w:br/>
      </w:r>
      <w:r>
        <w:rPr>
          <w:rFonts w:ascii="宋体" w:hAnsi="宋体" w:hint="eastAsia"/>
        </w:rPr>
        <w:t xml:space="preserve">　　摩根行业轮动混合</w:t>
      </w:r>
      <w:r>
        <w:rPr>
          <w:rFonts w:ascii="宋体" w:hAnsi="宋体" w:hint="eastAsia"/>
        </w:rPr>
        <w:t>C</w:t>
      </w:r>
      <w:r>
        <w:rPr>
          <w:rFonts w:ascii="宋体" w:hAnsi="宋体" w:hint="eastAsia"/>
        </w:rPr>
        <w:t>份额净值增长率为：</w:t>
      </w:r>
      <w:r>
        <w:rPr>
          <w:rFonts w:ascii="宋体" w:hAnsi="宋体" w:hint="eastAsia"/>
        </w:rPr>
        <w:t>-0.37%</w:t>
      </w:r>
      <w:r>
        <w:rPr>
          <w:rFonts w:ascii="宋体" w:hAnsi="宋体" w:hint="eastAsia"/>
        </w:rPr>
        <w:t>，同期业绩比较基准收益率为：</w:t>
      </w:r>
      <w:r>
        <w:rPr>
          <w:rFonts w:ascii="宋体" w:hAnsi="宋体" w:hint="eastAsia"/>
        </w:rPr>
        <w:t>9.72%</w:t>
      </w:r>
      <w:r>
        <w:rPr>
          <w:rFonts w:ascii="宋体" w:hAnsi="宋体" w:hint="eastAsia"/>
        </w:rPr>
        <w:t>；</w:t>
      </w:r>
      <w:r>
        <w:rPr>
          <w:rFonts w:ascii="宋体" w:hAnsi="宋体" w:hint="eastAsia"/>
        </w:rPr>
        <w:br/>
      </w:r>
      <w:r>
        <w:rPr>
          <w:rFonts w:ascii="宋体" w:hAnsi="宋体" w:hint="eastAsia"/>
        </w:rPr>
        <w:t xml:space="preserve">　　摩根行业轮动混合</w:t>
      </w:r>
      <w:r>
        <w:rPr>
          <w:rFonts w:ascii="宋体" w:hAnsi="宋体" w:hint="eastAsia"/>
        </w:rPr>
        <w:t>H</w:t>
      </w:r>
      <w:r>
        <w:rPr>
          <w:rFonts w:ascii="宋体" w:hAnsi="宋体" w:hint="eastAsia"/>
        </w:rPr>
        <w:t>份额净值增长率为：</w:t>
      </w:r>
      <w:r>
        <w:rPr>
          <w:rFonts w:ascii="宋体" w:hAnsi="宋体" w:hint="eastAsia"/>
        </w:rPr>
        <w:t>-0.30%</w:t>
      </w:r>
      <w:r>
        <w:rPr>
          <w:rFonts w:ascii="宋体" w:hAnsi="宋体" w:hint="eastAsia"/>
        </w:rPr>
        <w:t>，同期业绩比较基准收益率为：</w:t>
      </w:r>
      <w:r>
        <w:rPr>
          <w:rFonts w:ascii="宋体" w:hAnsi="宋体" w:hint="eastAsia"/>
        </w:rPr>
        <w:t>9.72%</w:t>
      </w:r>
      <w:r>
        <w:rPr>
          <w:rFonts w:ascii="宋体" w:hAnsi="宋体" w:hint="eastAsia"/>
        </w:rPr>
        <w:t>。</w:t>
      </w:r>
    </w:p>
    <w:p w:rsidR="00AC5349" w:rsidRDefault="00AC5349">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AC5349" w:rsidRDefault="00AC5349">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AC5349" w:rsidRDefault="00AC5349">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AC5349" w:rsidRDefault="00AC5349">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C5349" w:rsidRDefault="00AC5349">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AC5349" w:rsidRDefault="00AC5349">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AC5349" w:rsidRDefault="00AC5349">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AC5349" w:rsidRDefault="00AC5349">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329,359,672.0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81.2</w:t>
            </w:r>
            <w:r>
              <w:rPr>
                <w:rFonts w:ascii="宋体" w:hAnsi="宋体" w:hint="eastAsia"/>
                <w:szCs w:val="24"/>
                <w:lang w:eastAsia="zh-Hans"/>
              </w:rPr>
              <w:t>8</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329,359,672.0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81.2</w:t>
            </w:r>
            <w:r>
              <w:rPr>
                <w:rFonts w:ascii="宋体" w:hAnsi="宋体" w:hint="eastAsia"/>
                <w:szCs w:val="24"/>
                <w:lang w:eastAsia="zh-Hans"/>
              </w:rPr>
              <w:t>8</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65,642,933.4</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16.2</w:t>
            </w:r>
            <w:r>
              <w:rPr>
                <w:rFonts w:ascii="宋体" w:hAnsi="宋体" w:hint="eastAsia"/>
                <w:szCs w:val="24"/>
                <w:lang w:eastAsia="zh-Hans"/>
              </w:rPr>
              <w:t>0</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10,192,261.2</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2.5</w:t>
            </w:r>
            <w:r>
              <w:rPr>
                <w:rFonts w:ascii="宋体" w:hAnsi="宋体" w:hint="eastAsia"/>
                <w:szCs w:val="24"/>
                <w:lang w:eastAsia="zh-Hans"/>
              </w:rPr>
              <w:t>2</w:t>
            </w:r>
          </w:p>
        </w:tc>
      </w:tr>
      <w:tr w:rsidR="00000000">
        <w:trPr>
          <w:divId w:val="104294749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AC5349" w:rsidRDefault="00AC5349">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AC5349" w:rsidRDefault="00AC5349">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405,194,866.7</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AC5349" w:rsidRDefault="00AC5349">
            <w:pPr>
              <w:jc w:val="right"/>
            </w:pPr>
            <w:r>
              <w:rPr>
                <w:rFonts w:ascii="宋体" w:hAnsi="宋体" w:hint="eastAsia"/>
                <w:szCs w:val="24"/>
                <w:lang w:eastAsia="zh-Hans"/>
              </w:rPr>
              <w:t>100.0</w:t>
            </w:r>
            <w:r>
              <w:rPr>
                <w:rFonts w:ascii="宋体" w:hAnsi="宋体" w:hint="eastAsia"/>
                <w:szCs w:val="24"/>
                <w:lang w:eastAsia="zh-Hans"/>
              </w:rPr>
              <w:t>0</w:t>
            </w:r>
          </w:p>
        </w:tc>
      </w:tr>
    </w:tbl>
    <w:p w:rsidR="00AC5349" w:rsidRDefault="00AC5349">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AC5349" w:rsidRDefault="00AC5349">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805660789"/>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AC5349" w:rsidRDefault="00AC5349">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AC5349" w:rsidRDefault="00AC5349">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10,497,000.0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2.6</w:t>
            </w:r>
            <w:r>
              <w:rPr>
                <w:rFonts w:ascii="宋体" w:hAnsi="宋体" w:hint="eastAsia"/>
                <w:szCs w:val="24"/>
                <w:lang w:eastAsia="zh-Hans"/>
              </w:rPr>
              <w:t>0</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32,630,839.0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8.0</w:t>
            </w:r>
            <w:r>
              <w:rPr>
                <w:rFonts w:ascii="宋体" w:hAnsi="宋体" w:hint="eastAsia"/>
                <w:szCs w:val="24"/>
                <w:lang w:eastAsia="zh-Hans"/>
              </w:rPr>
              <w:t>9</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281,830,425.0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69.8</w:t>
            </w:r>
            <w:r>
              <w:rPr>
                <w:rFonts w:ascii="宋体" w:hAnsi="宋体" w:hint="eastAsia"/>
                <w:szCs w:val="24"/>
                <w:lang w:eastAsia="zh-Hans"/>
              </w:rPr>
              <w:t>9</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4,401,408.0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1.0</w:t>
            </w:r>
            <w:r>
              <w:rPr>
                <w:rFonts w:ascii="宋体" w:hAnsi="宋体" w:hint="eastAsia"/>
                <w:szCs w:val="24"/>
                <w:lang w:eastAsia="zh-Hans"/>
              </w:rPr>
              <w:t>9</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w:t>
            </w:r>
          </w:p>
        </w:tc>
      </w:tr>
      <w:tr w:rsidR="00000000">
        <w:trPr>
          <w:divId w:val="80566078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AC5349" w:rsidRDefault="00AC5349">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AC5349" w:rsidRDefault="00AC5349">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AC5349" w:rsidRDefault="00AC5349">
            <w:pPr>
              <w:jc w:val="right"/>
            </w:pPr>
            <w:r>
              <w:rPr>
                <w:rFonts w:ascii="宋体" w:hAnsi="宋体" w:hint="eastAsia"/>
                <w:szCs w:val="24"/>
                <w:lang w:eastAsia="zh-Hans"/>
              </w:rPr>
              <w:t>329,359,672.0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AC5349" w:rsidRDefault="00AC5349">
            <w:pPr>
              <w:jc w:val="right"/>
            </w:pPr>
            <w:r>
              <w:rPr>
                <w:rFonts w:ascii="宋体" w:hAnsi="宋体" w:hint="eastAsia"/>
                <w:szCs w:val="24"/>
                <w:lang w:eastAsia="zh-Hans"/>
              </w:rPr>
              <w:t>81.6</w:t>
            </w:r>
            <w:r>
              <w:rPr>
                <w:rFonts w:ascii="宋体" w:hAnsi="宋体" w:hint="eastAsia"/>
                <w:szCs w:val="24"/>
                <w:lang w:eastAsia="zh-Hans"/>
              </w:rPr>
              <w:t>8</w:t>
            </w:r>
          </w:p>
        </w:tc>
      </w:tr>
    </w:tbl>
    <w:p w:rsidR="00AC5349" w:rsidRDefault="00AC5349">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p w:rsidR="00AC5349" w:rsidRDefault="00AC5349">
      <w:pPr>
        <w:spacing w:line="360" w:lineRule="auto"/>
        <w:ind w:firstLineChars="200" w:firstLine="420"/>
        <w:divId w:val="60829310"/>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AC5349" w:rsidRDefault="00AC5349">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AC5349" w:rsidRDefault="00AC5349">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3842292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C5349" w:rsidRDefault="00AC5349">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C5349" w:rsidRDefault="00AC5349">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C5349" w:rsidRDefault="00AC5349">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C5349" w:rsidRDefault="00AC5349">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C5349" w:rsidRDefault="00AC5349">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C5349" w:rsidRDefault="00AC534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842292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60123</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桐昆股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1,711,50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37,053,975.0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9.1</w:t>
            </w:r>
            <w:r>
              <w:rPr>
                <w:rFonts w:ascii="宋体" w:hAnsi="宋体" w:hint="eastAsia"/>
                <w:szCs w:val="24"/>
                <w:lang w:eastAsia="zh-Hans"/>
              </w:rPr>
              <w:t>9</w:t>
            </w:r>
          </w:p>
        </w:tc>
      </w:tr>
      <w:tr w:rsidR="00000000">
        <w:trPr>
          <w:divId w:val="13842292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60322</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新凤</w:t>
            </w:r>
            <w:r>
              <w:rPr>
                <w:rFonts w:ascii="宋体" w:hAnsi="宋体" w:hint="eastAsia"/>
                <w:szCs w:val="24"/>
                <w:lang w:eastAsia="zh-Hans"/>
              </w:rPr>
              <w:t>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1,710,80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33,617,220.0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8.3</w:t>
            </w:r>
            <w:r>
              <w:rPr>
                <w:rFonts w:ascii="宋体" w:hAnsi="宋体" w:hint="eastAsia"/>
                <w:szCs w:val="24"/>
                <w:lang w:eastAsia="zh-Hans"/>
              </w:rPr>
              <w:t>4</w:t>
            </w:r>
          </w:p>
        </w:tc>
      </w:tr>
      <w:tr w:rsidR="00000000">
        <w:trPr>
          <w:divId w:val="13842292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00068</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博源化</w:t>
            </w:r>
            <w:r>
              <w:rPr>
                <w:rFonts w:ascii="宋体" w:hAnsi="宋体" w:hint="eastAsia"/>
                <w:szCs w:val="24"/>
                <w:lang w:eastAsia="zh-Hans"/>
              </w:rPr>
              <w:t>工</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4,333,00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24,958,080.0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6.1</w:t>
            </w:r>
            <w:r>
              <w:rPr>
                <w:rFonts w:ascii="宋体" w:hAnsi="宋体" w:hint="eastAsia"/>
                <w:szCs w:val="24"/>
                <w:lang w:eastAsia="zh-Hans"/>
              </w:rPr>
              <w:t>9</w:t>
            </w:r>
          </w:p>
        </w:tc>
      </w:tr>
      <w:tr w:rsidR="00000000">
        <w:trPr>
          <w:divId w:val="13842292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59,90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23,541,299.0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5.8</w:t>
            </w:r>
            <w:r>
              <w:rPr>
                <w:rFonts w:ascii="宋体" w:hAnsi="宋体" w:hint="eastAsia"/>
                <w:szCs w:val="24"/>
                <w:lang w:eastAsia="zh-Hans"/>
              </w:rPr>
              <w:t>4</w:t>
            </w:r>
          </w:p>
        </w:tc>
      </w:tr>
      <w:tr w:rsidR="00000000">
        <w:trPr>
          <w:divId w:val="13842292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60030</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万华化</w:t>
            </w:r>
            <w:r>
              <w:rPr>
                <w:rFonts w:ascii="宋体" w:hAnsi="宋体" w:hint="eastAsia"/>
                <w:szCs w:val="24"/>
                <w:lang w:eastAsia="zh-Hans"/>
              </w:rPr>
              <w:t>学</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252,90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17,300,889.0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4.2</w:t>
            </w:r>
            <w:r>
              <w:rPr>
                <w:rFonts w:ascii="宋体" w:hAnsi="宋体" w:hint="eastAsia"/>
                <w:szCs w:val="24"/>
                <w:lang w:eastAsia="zh-Hans"/>
              </w:rPr>
              <w:t>9</w:t>
            </w:r>
          </w:p>
        </w:tc>
      </w:tr>
      <w:tr w:rsidR="00000000">
        <w:trPr>
          <w:divId w:val="13842292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155,30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14,522,103.0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3.6</w:t>
            </w:r>
            <w:r>
              <w:rPr>
                <w:rFonts w:ascii="宋体" w:hAnsi="宋体" w:hint="eastAsia"/>
                <w:szCs w:val="24"/>
                <w:lang w:eastAsia="zh-Hans"/>
              </w:rPr>
              <w:t>0</w:t>
            </w:r>
          </w:p>
        </w:tc>
      </w:tr>
      <w:tr w:rsidR="00000000">
        <w:trPr>
          <w:divId w:val="13842292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00068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国城矿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382,10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13,079,283.0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3.2</w:t>
            </w:r>
            <w:r>
              <w:rPr>
                <w:rFonts w:ascii="宋体" w:hAnsi="宋体" w:hint="eastAsia"/>
                <w:szCs w:val="24"/>
                <w:lang w:eastAsia="zh-Hans"/>
              </w:rPr>
              <w:t>4</w:t>
            </w:r>
          </w:p>
        </w:tc>
      </w:tr>
      <w:tr w:rsidR="00000000">
        <w:trPr>
          <w:divId w:val="13842292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00200</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新</w:t>
            </w:r>
            <w:r>
              <w:rPr>
                <w:rFonts w:ascii="宋体" w:hAnsi="宋体" w:hint="eastAsia"/>
                <w:szCs w:val="24"/>
                <w:lang w:eastAsia="zh-Hans"/>
              </w:rPr>
              <w:t xml:space="preserve"> </w:t>
            </w:r>
            <w:r>
              <w:rPr>
                <w:rFonts w:ascii="宋体" w:hAnsi="宋体" w:hint="eastAsia"/>
                <w:szCs w:val="24"/>
                <w:lang w:eastAsia="zh-Hans"/>
              </w:rPr>
              <w:t>和</w:t>
            </w:r>
            <w:r>
              <w:rPr>
                <w:rFonts w:ascii="宋体" w:hAnsi="宋体" w:hint="eastAsia"/>
                <w:szCs w:val="24"/>
                <w:lang w:eastAsia="zh-Hans"/>
              </w:rPr>
              <w:t xml:space="preserve"> </w:t>
            </w:r>
            <w:r>
              <w:rPr>
                <w:rFonts w:ascii="宋体" w:hAnsi="宋体" w:hint="eastAsia"/>
                <w:szCs w:val="24"/>
                <w:lang w:eastAsia="zh-Hans"/>
              </w:rPr>
              <w:t>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456,40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12,970,888.0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3.2</w:t>
            </w:r>
            <w:r>
              <w:rPr>
                <w:rFonts w:ascii="宋体" w:hAnsi="宋体" w:hint="eastAsia"/>
                <w:szCs w:val="24"/>
                <w:lang w:eastAsia="zh-Hans"/>
              </w:rPr>
              <w:t>2</w:t>
            </w:r>
          </w:p>
        </w:tc>
      </w:tr>
      <w:tr w:rsidR="00000000">
        <w:trPr>
          <w:divId w:val="13842292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60028</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羚锐制</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660,00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12,790,800.0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3.1</w:t>
            </w:r>
            <w:r>
              <w:rPr>
                <w:rFonts w:ascii="宋体" w:hAnsi="宋体" w:hint="eastAsia"/>
                <w:szCs w:val="24"/>
                <w:lang w:eastAsia="zh-Hans"/>
              </w:rPr>
              <w:t>7</w:t>
            </w:r>
          </w:p>
        </w:tc>
      </w:tr>
      <w:tr w:rsidR="00000000">
        <w:trPr>
          <w:divId w:val="13842292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00120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szCs w:val="24"/>
                <w:lang w:eastAsia="zh-Hans"/>
              </w:rPr>
              <w:t>大中矿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415,66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12,449,017.0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3.0</w:t>
            </w:r>
            <w:r>
              <w:rPr>
                <w:rFonts w:ascii="宋体" w:hAnsi="宋体" w:hint="eastAsia"/>
                <w:szCs w:val="24"/>
                <w:lang w:eastAsia="zh-Hans"/>
              </w:rPr>
              <w:t>9</w:t>
            </w:r>
          </w:p>
        </w:tc>
      </w:tr>
    </w:tbl>
    <w:p w:rsidR="00AC5349" w:rsidRDefault="00AC5349">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AC5349" w:rsidRDefault="00AC5349">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AC5349" w:rsidRDefault="00AC5349">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AC5349" w:rsidRDefault="00AC5349">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AC5349" w:rsidRDefault="00AC5349">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AC5349" w:rsidRDefault="00AC5349">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AC5349" w:rsidRDefault="00AC5349">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AC5349" w:rsidRDefault="00AC5349">
      <w:pPr>
        <w:spacing w:line="360" w:lineRule="auto"/>
        <w:ind w:firstLineChars="200" w:firstLine="420"/>
        <w:divId w:val="76226347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AC5349" w:rsidRDefault="00AC5349">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AC5349" w:rsidRDefault="00AC5349">
      <w:pPr>
        <w:spacing w:line="360" w:lineRule="auto"/>
        <w:ind w:firstLineChars="200" w:firstLine="420"/>
        <w:divId w:val="452217495"/>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AC5349" w:rsidRDefault="00AC5349">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AC5349" w:rsidRDefault="00AC5349">
      <w:pPr>
        <w:spacing w:line="360" w:lineRule="auto"/>
        <w:ind w:firstLineChars="200" w:firstLine="420"/>
        <w:divId w:val="687489324"/>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AC5349" w:rsidRDefault="00AC5349">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AC5349" w:rsidRDefault="00AC5349">
      <w:pPr>
        <w:spacing w:line="360" w:lineRule="auto"/>
        <w:ind w:firstLineChars="200" w:firstLine="420"/>
        <w:divId w:val="1663780685"/>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AC5349" w:rsidRDefault="00AC5349">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AC5349" w:rsidRDefault="00AC5349">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AC5349" w:rsidRDefault="00AC5349">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AC5349" w:rsidRDefault="00AC5349">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AC5349" w:rsidRDefault="00AC5349">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AC5349" w:rsidRDefault="00AC5349">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877498667"/>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5349" w:rsidRDefault="00AC5349">
            <w:pPr>
              <w:jc w:val="center"/>
            </w:pPr>
            <w:r>
              <w:rPr>
                <w:rFonts w:ascii="宋体" w:hAnsi="宋体" w:hint="eastAsia"/>
              </w:rPr>
              <w:t>金额（元</w:t>
            </w:r>
            <w:r>
              <w:rPr>
                <w:rFonts w:ascii="宋体" w:hAnsi="宋体" w:hint="eastAsia"/>
              </w:rPr>
              <w:t>）</w:t>
            </w:r>
            <w:r>
              <w:t xml:space="preserve"> </w:t>
            </w:r>
          </w:p>
        </w:tc>
      </w:tr>
      <w:tr w:rsidR="00000000">
        <w:trPr>
          <w:divId w:val="18774986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149,372.3</w:t>
            </w:r>
            <w:r>
              <w:rPr>
                <w:rFonts w:ascii="宋体" w:hAnsi="宋体" w:hint="eastAsia"/>
              </w:rPr>
              <w:t>2</w:t>
            </w:r>
          </w:p>
        </w:tc>
      </w:tr>
      <w:tr w:rsidR="00000000">
        <w:trPr>
          <w:divId w:val="18774986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10,009,596.7</w:t>
            </w:r>
            <w:r>
              <w:rPr>
                <w:rFonts w:ascii="宋体" w:hAnsi="宋体" w:hint="eastAsia"/>
              </w:rPr>
              <w:t>7</w:t>
            </w:r>
          </w:p>
        </w:tc>
      </w:tr>
      <w:tr w:rsidR="00000000">
        <w:trPr>
          <w:divId w:val="18774986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w:t>
            </w:r>
          </w:p>
        </w:tc>
      </w:tr>
      <w:tr w:rsidR="00000000">
        <w:trPr>
          <w:divId w:val="18774986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w:t>
            </w:r>
          </w:p>
        </w:tc>
      </w:tr>
      <w:tr w:rsidR="00000000">
        <w:trPr>
          <w:divId w:val="18774986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33,292.1</w:t>
            </w:r>
            <w:r>
              <w:rPr>
                <w:rFonts w:ascii="宋体" w:hAnsi="宋体" w:hint="eastAsia"/>
              </w:rPr>
              <w:t>7</w:t>
            </w:r>
          </w:p>
        </w:tc>
      </w:tr>
      <w:tr w:rsidR="00000000">
        <w:trPr>
          <w:divId w:val="18774986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w:t>
            </w:r>
          </w:p>
        </w:tc>
      </w:tr>
      <w:tr w:rsidR="00000000">
        <w:trPr>
          <w:divId w:val="18774986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w:t>
            </w:r>
          </w:p>
        </w:tc>
      </w:tr>
      <w:tr w:rsidR="00000000">
        <w:trPr>
          <w:divId w:val="18774986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10,192,261.2</w:t>
            </w:r>
            <w:r>
              <w:rPr>
                <w:rFonts w:ascii="宋体" w:hAnsi="宋体" w:hint="eastAsia"/>
              </w:rPr>
              <w:t>6</w:t>
            </w:r>
          </w:p>
        </w:tc>
      </w:tr>
    </w:tbl>
    <w:p w:rsidR="00AC5349" w:rsidRDefault="00AC5349">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AC5349" w:rsidRDefault="00AC5349">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AC5349" w:rsidRDefault="00AC5349">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AC5349" w:rsidRDefault="00AC5349">
      <w:pPr>
        <w:spacing w:line="360" w:lineRule="auto"/>
        <w:ind w:firstLineChars="200" w:firstLine="420"/>
        <w:jc w:val="left"/>
        <w:divId w:val="1482818430"/>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AC5349" w:rsidRDefault="00AC5349">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AC5349" w:rsidRDefault="00AC5349">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AC5349" w:rsidRDefault="00AC5349">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AC5349" w:rsidRDefault="00AC5349">
      <w:pPr>
        <w:wordWrap w:val="0"/>
        <w:spacing w:line="360" w:lineRule="auto"/>
        <w:jc w:val="right"/>
        <w:divId w:val="527523862"/>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1837"/>
        <w:gridCol w:w="1644"/>
        <w:gridCol w:w="1740"/>
      </w:tblGrid>
      <w:tr w:rsidR="00000000">
        <w:trPr>
          <w:divId w:val="527523862"/>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AC5349" w:rsidRDefault="00AC5349">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3"/>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C5349" w:rsidRDefault="00AC5349">
            <w:pPr>
              <w:ind w:right="3"/>
              <w:jc w:val="center"/>
            </w:pPr>
            <w:r>
              <w:rPr>
                <w:rFonts w:ascii="宋体" w:hAnsi="宋体" w:hint="eastAsia"/>
                <w:lang w:eastAsia="zh-Hans"/>
              </w:rPr>
              <w:t>摩根行业轮动混合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C5349" w:rsidRDefault="00AC5349">
            <w:pPr>
              <w:ind w:right="3"/>
              <w:jc w:val="center"/>
            </w:pPr>
            <w:r>
              <w:rPr>
                <w:rFonts w:ascii="宋体" w:hAnsi="宋体" w:hint="eastAsia"/>
                <w:lang w:eastAsia="zh-Hans"/>
              </w:rPr>
              <w:t>摩根行业轮动混合</w:t>
            </w:r>
            <w:r>
              <w:rPr>
                <w:rFonts w:ascii="宋体" w:hAnsi="宋体" w:hint="eastAsia"/>
                <w:lang w:eastAsia="zh-Hans"/>
              </w:rPr>
              <w:t>C</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C5349" w:rsidRDefault="00AC5349">
            <w:pPr>
              <w:ind w:right="3"/>
              <w:jc w:val="center"/>
            </w:pPr>
            <w:r>
              <w:rPr>
                <w:rFonts w:ascii="宋体" w:hAnsi="宋体" w:hint="eastAsia"/>
                <w:lang w:eastAsia="zh-Hans"/>
              </w:rPr>
              <w:t>摩根行业轮动混合</w:t>
            </w:r>
            <w:r>
              <w:rPr>
                <w:rFonts w:ascii="宋体" w:hAnsi="宋体" w:hint="eastAsia"/>
                <w:lang w:eastAsia="zh-Hans"/>
              </w:rPr>
              <w:t>H</w:t>
            </w:r>
            <w:r>
              <w:rPr>
                <w:rFonts w:ascii="宋体" w:hAnsi="宋体" w:hint="eastAsia"/>
                <w:kern w:val="0"/>
                <w:szCs w:val="24"/>
                <w:lang w:eastAsia="zh-Hans"/>
              </w:rPr>
              <w:t xml:space="preserve"> </w:t>
            </w:r>
          </w:p>
        </w:tc>
      </w:tr>
      <w:tr w:rsidR="00000000">
        <w:trPr>
          <w:divId w:val="52752386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141,264,712.0</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2,193,426.4</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19,733,898.0</w:t>
            </w:r>
            <w:r>
              <w:rPr>
                <w:rFonts w:ascii="宋体" w:hAnsi="宋体" w:hint="eastAsia"/>
              </w:rPr>
              <w:t>1</w:t>
            </w:r>
          </w:p>
        </w:tc>
      </w:tr>
      <w:tr w:rsidR="00000000">
        <w:trPr>
          <w:divId w:val="52752386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1,373,983.3</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242,770.6</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603,383.3</w:t>
            </w:r>
            <w:r>
              <w:rPr>
                <w:rFonts w:ascii="宋体" w:hAnsi="宋体" w:hint="eastAsia"/>
              </w:rPr>
              <w:t>6</w:t>
            </w:r>
          </w:p>
        </w:tc>
      </w:tr>
      <w:tr w:rsidR="00000000">
        <w:trPr>
          <w:divId w:val="52752386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13,450,445.8</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380,263.5</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2,838,248.7</w:t>
            </w:r>
            <w:r>
              <w:rPr>
                <w:rFonts w:ascii="宋体" w:hAnsi="宋体" w:hint="eastAsia"/>
              </w:rPr>
              <w:t>4</w:t>
            </w:r>
          </w:p>
        </w:tc>
      </w:tr>
      <w:tr w:rsidR="00000000">
        <w:trPr>
          <w:divId w:val="52752386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w:t>
            </w:r>
          </w:p>
        </w:tc>
      </w:tr>
      <w:tr w:rsidR="00000000">
        <w:trPr>
          <w:divId w:val="52752386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129,188,249.5</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2,055,933.5</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AC5349" w:rsidRDefault="00AC5349">
            <w:pPr>
              <w:jc w:val="right"/>
            </w:pPr>
            <w:r>
              <w:rPr>
                <w:rFonts w:ascii="宋体" w:hAnsi="宋体" w:hint="eastAsia"/>
              </w:rPr>
              <w:t>17,499,032.6</w:t>
            </w:r>
            <w:r>
              <w:rPr>
                <w:rFonts w:ascii="宋体" w:hAnsi="宋体" w:hint="eastAsia"/>
              </w:rPr>
              <w:t>3</w:t>
            </w:r>
          </w:p>
        </w:tc>
      </w:tr>
    </w:tbl>
    <w:p w:rsidR="00AC5349" w:rsidRDefault="00AC5349">
      <w:pPr>
        <w:spacing w:line="360" w:lineRule="auto"/>
        <w:jc w:val="left"/>
        <w:divId w:val="527523862"/>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AC5349" w:rsidRDefault="00AC5349">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AC5349" w:rsidRDefault="00AC5349">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AC5349" w:rsidRDefault="00AC5349">
      <w:pPr>
        <w:wordWrap w:val="0"/>
        <w:spacing w:line="360" w:lineRule="auto"/>
        <w:jc w:val="right"/>
        <w:divId w:val="2088377621"/>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6"/>
        <w:gridCol w:w="1963"/>
        <w:gridCol w:w="1963"/>
        <w:gridCol w:w="1963"/>
      </w:tblGrid>
      <w:tr w:rsidR="00000000">
        <w:trPr>
          <w:divId w:val="2088377621"/>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lang w:eastAsia="zh-Hans"/>
              </w:rPr>
              <w:t>摩根行业轮动混合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lang w:eastAsia="zh-Hans"/>
              </w:rPr>
              <w:t>摩根行业轮动混合</w:t>
            </w:r>
            <w:r>
              <w:rPr>
                <w:rFonts w:ascii="宋体" w:hAnsi="宋体" w:hint="eastAsia"/>
                <w:lang w:eastAsia="zh-Hans"/>
              </w:rPr>
              <w:t>C</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lang w:eastAsia="zh-Hans"/>
              </w:rPr>
              <w:t>摩根行业轮动混合</w:t>
            </w:r>
            <w:r>
              <w:rPr>
                <w:rFonts w:ascii="宋体" w:hAnsi="宋体" w:hint="eastAsia"/>
                <w:lang w:eastAsia="zh-Hans"/>
              </w:rPr>
              <w:t>H</w:t>
            </w:r>
            <w:r>
              <w:rPr>
                <w:rFonts w:ascii="宋体" w:hAnsi="宋体" w:hint="eastAsia"/>
                <w:color w:val="000000"/>
              </w:rPr>
              <w:t xml:space="preserve"> </w:t>
            </w:r>
          </w:p>
        </w:tc>
      </w:tr>
      <w:tr w:rsidR="00000000">
        <w:trPr>
          <w:divId w:val="208837762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rPr>
                <w:rFonts w:hint="eastAsia"/>
              </w:rPr>
            </w:pPr>
            <w:r>
              <w:rPr>
                <w:rFonts w:ascii="宋体" w:hAnsi="宋体" w:hint="eastAsia"/>
                <w:kern w:val="0"/>
                <w:szCs w:val="24"/>
                <w:lang w:eastAsia="zh-Hans"/>
              </w:rPr>
              <w:t>310,976.3</w:t>
            </w:r>
            <w:r>
              <w:rPr>
                <w:rFonts w:ascii="宋体" w:hAnsi="宋体" w:hint="eastAsia"/>
                <w:kern w:val="0"/>
                <w:szCs w:val="24"/>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kern w:val="0"/>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kern w:val="0"/>
                <w:szCs w:val="24"/>
                <w:lang w:eastAsia="zh-Hans"/>
              </w:rPr>
              <w:t>-</w:t>
            </w:r>
          </w:p>
        </w:tc>
      </w:tr>
      <w:tr w:rsidR="00000000">
        <w:trPr>
          <w:divId w:val="208837762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szCs w:val="24"/>
                <w:lang w:eastAsia="zh-Hans"/>
              </w:rPr>
              <w:t>-</w:t>
            </w:r>
          </w:p>
        </w:tc>
      </w:tr>
      <w:tr w:rsidR="00000000">
        <w:trPr>
          <w:divId w:val="208837762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rPr>
                <w:rFonts w:hint="eastAsia"/>
              </w:rPr>
            </w:pPr>
            <w:r>
              <w:rPr>
                <w:rFonts w:ascii="宋体" w:hAnsi="宋体" w:hint="eastAsia"/>
                <w:lang w:eastAsia="zh-Hans"/>
              </w:rPr>
              <w:t>12,384.5</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lang w:eastAsia="zh-Hans"/>
              </w:rPr>
              <w:t>-</w:t>
            </w:r>
          </w:p>
        </w:tc>
      </w:tr>
      <w:tr w:rsidR="00000000">
        <w:trPr>
          <w:divId w:val="208837762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rPr>
                <w:rFonts w:hint="eastAsia"/>
              </w:rPr>
            </w:pPr>
            <w:r>
              <w:rPr>
                <w:rFonts w:ascii="宋体" w:hAnsi="宋体" w:hint="eastAsia"/>
                <w:lang w:eastAsia="zh-Hans"/>
              </w:rPr>
              <w:t>298,591.7</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lang w:eastAsia="zh-Hans"/>
              </w:rPr>
              <w:t>-</w:t>
            </w:r>
          </w:p>
        </w:tc>
      </w:tr>
      <w:tr w:rsidR="00000000">
        <w:trPr>
          <w:divId w:val="208837762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rPr>
                <w:rFonts w:hint="eastAsia"/>
              </w:rPr>
            </w:pPr>
            <w:r>
              <w:rPr>
                <w:rFonts w:ascii="宋体" w:hAnsi="宋体" w:hint="eastAsia"/>
                <w:lang w:eastAsia="zh-Hans"/>
              </w:rPr>
              <w:t>0.2</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lang w:eastAsia="zh-Hans"/>
              </w:rPr>
              <w:t>-</w:t>
            </w:r>
          </w:p>
        </w:tc>
      </w:tr>
    </w:tbl>
    <w:p w:rsidR="00AC5349" w:rsidRDefault="00AC5349">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505634352"/>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AC5349" w:rsidRDefault="00AC5349">
            <w:pPr>
              <w:jc w:val="center"/>
            </w:pPr>
            <w:r>
              <w:rPr>
                <w:rFonts w:ascii="宋体" w:hAnsi="宋体" w:hint="eastAsia"/>
              </w:rPr>
              <w:t>适用费率</w:t>
            </w:r>
            <w:r>
              <w:rPr>
                <w:rFonts w:ascii="宋体" w:hAnsi="宋体" w:hint="eastAsia"/>
              </w:rPr>
              <w:t xml:space="preserve"> </w:t>
            </w:r>
          </w:p>
        </w:tc>
      </w:tr>
      <w:tr w:rsidR="00000000">
        <w:trPr>
          <w:divId w:val="505634352"/>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-12,384.5</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-35,944.8</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w:t>
            </w:r>
            <w:r>
              <w:t xml:space="preserve"> </w:t>
            </w:r>
          </w:p>
        </w:tc>
      </w:tr>
      <w:tr w:rsidR="00000000">
        <w:trPr>
          <w:divId w:val="505634352"/>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-12,384.5</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pPr>
              <w:jc w:val="right"/>
            </w:pPr>
            <w:r>
              <w:rPr>
                <w:rFonts w:ascii="宋体" w:hAnsi="宋体" w:hint="eastAsia"/>
              </w:rPr>
              <w:t>-35,944.8</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5349" w:rsidRDefault="00AC5349"/>
        </w:tc>
      </w:tr>
    </w:tbl>
    <w:p w:rsidR="00AC5349" w:rsidRDefault="00AC5349">
      <w:pPr>
        <w:spacing w:line="360" w:lineRule="auto"/>
        <w:jc w:val="left"/>
        <w:divId w:val="1761019893"/>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AC5349" w:rsidRDefault="00AC5349">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AC5349" w:rsidRDefault="00AC5349">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AC5349" w:rsidRDefault="00AC5349">
      <w:pPr>
        <w:spacing w:line="360" w:lineRule="auto"/>
        <w:ind w:firstLineChars="200" w:firstLine="420"/>
        <w:divId w:val="979962988"/>
        <w:rPr>
          <w:rFonts w:ascii="宋体" w:hAnsi="宋体" w:hint="eastAsia"/>
          <w:szCs w:val="21"/>
          <w:lang w:eastAsia="zh-Hans"/>
        </w:rPr>
      </w:pPr>
      <w:r>
        <w:rPr>
          <w:rFonts w:ascii="宋体" w:hAnsi="宋体" w:hint="eastAsia"/>
          <w:szCs w:val="21"/>
          <w:lang w:eastAsia="zh-Hans"/>
        </w:rPr>
        <w:t>无。</w:t>
      </w:r>
    </w:p>
    <w:p w:rsidR="00AC5349" w:rsidRDefault="00AC5349">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AC5349" w:rsidRDefault="00AC5349">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AC5349" w:rsidRDefault="00AC5349">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、中国证监会批准本基金设立的文件；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、《摩根行业轮动混合型证券投资基金基金合同》；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、《摩根行业轮动混合型证券投资基金基金托管协议》；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AC5349" w:rsidRDefault="00AC5349">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AC5349" w:rsidRDefault="00AC5349">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AC5349" w:rsidRDefault="00AC5349">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AC5349" w:rsidRDefault="00AC5349">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AC5349" w:rsidRDefault="00AC534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AC5349" w:rsidRDefault="00AC534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AC5349" w:rsidRDefault="00AC5349">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AC5349" w:rsidRDefault="00AC5349">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AC5349">
      <w:headerReference w:type="default" r:id="rId11"/>
      <w:footerReference w:type="defaul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5349" w:rsidRDefault="00AC5349">
      <w:pPr>
        <w:rPr>
          <w:szCs w:val="21"/>
        </w:rPr>
      </w:pPr>
      <w:r>
        <w:rPr>
          <w:szCs w:val="21"/>
        </w:rPr>
        <w:separator/>
      </w:r>
      <w:r>
        <w:rPr>
          <w:szCs w:val="21"/>
        </w:rPr>
        <w:t xml:space="preserve"> </w:t>
      </w:r>
    </w:p>
  </w:endnote>
  <w:endnote w:type="continuationSeparator" w:id="0">
    <w:p w:rsidR="00AC5349" w:rsidRDefault="00AC5349">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349" w:rsidRDefault="00AC5349">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w:instrText>
    </w:r>
    <w:r>
      <w:rPr>
        <w:rFonts w:ascii="宋体" w:hAnsi="宋体" w:hint="eastAsia"/>
        <w:sz w:val="18"/>
        <w:szCs w:val="18"/>
      </w:rPr>
      <w:instrText xml:space="preserve">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5349" w:rsidRDefault="00AC5349">
      <w:pPr>
        <w:rPr>
          <w:szCs w:val="21"/>
        </w:rPr>
      </w:pPr>
      <w:r>
        <w:rPr>
          <w:szCs w:val="21"/>
        </w:rPr>
        <w:separator/>
      </w:r>
      <w:r>
        <w:rPr>
          <w:szCs w:val="21"/>
        </w:rPr>
        <w:t xml:space="preserve"> </w:t>
      </w:r>
    </w:p>
  </w:footnote>
  <w:footnote w:type="continuationSeparator" w:id="0">
    <w:p w:rsidR="00AC5349" w:rsidRDefault="00AC5349">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349" w:rsidRDefault="00AC5349">
    <w:pPr>
      <w:pStyle w:val="a8"/>
      <w:jc w:val="right"/>
    </w:pPr>
    <w:r>
      <w:rPr>
        <w:rFonts w:ascii="宋体" w:hAnsi="宋体" w:hint="eastAsia"/>
      </w:rPr>
      <w:t>摩根行业轮动混合型证券投资基金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068113515">
    <w:abstractNumId w:val="0"/>
  </w:num>
  <w:num w:numId="2" w16cid:durableId="811407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863AC"/>
    <w:rsid w:val="00602454"/>
    <w:rsid w:val="00AC5349"/>
    <w:rsid w:val="00E86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BCCDF4B4-A8D2-48C9-9FA8-443FC9BF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29310">
      <w:marLeft w:val="0"/>
      <w:marRight w:val="0"/>
      <w:marTop w:val="0"/>
      <w:marBottom w:val="0"/>
      <w:divBdr>
        <w:top w:val="none" w:sz="0" w:space="0" w:color="auto"/>
        <w:left w:val="none" w:sz="0" w:space="0" w:color="auto"/>
        <w:bottom w:val="none" w:sz="0" w:space="0" w:color="auto"/>
        <w:right w:val="none" w:sz="0" w:space="0" w:color="auto"/>
      </w:divBdr>
    </w:div>
    <w:div w:id="138422920">
      <w:marLeft w:val="0"/>
      <w:marRight w:val="0"/>
      <w:marTop w:val="0"/>
      <w:marBottom w:val="0"/>
      <w:divBdr>
        <w:top w:val="none" w:sz="0" w:space="0" w:color="auto"/>
        <w:left w:val="none" w:sz="0" w:space="0" w:color="auto"/>
        <w:bottom w:val="none" w:sz="0" w:space="0" w:color="auto"/>
        <w:right w:val="none" w:sz="0" w:space="0" w:color="auto"/>
      </w:divBdr>
    </w:div>
    <w:div w:id="211966137">
      <w:marLeft w:val="0"/>
      <w:marRight w:val="0"/>
      <w:marTop w:val="0"/>
      <w:marBottom w:val="0"/>
      <w:divBdr>
        <w:top w:val="none" w:sz="0" w:space="0" w:color="auto"/>
        <w:left w:val="none" w:sz="0" w:space="0" w:color="auto"/>
        <w:bottom w:val="none" w:sz="0" w:space="0" w:color="auto"/>
        <w:right w:val="none" w:sz="0" w:space="0" w:color="auto"/>
      </w:divBdr>
    </w:div>
    <w:div w:id="243347251">
      <w:marLeft w:val="0"/>
      <w:marRight w:val="0"/>
      <w:marTop w:val="0"/>
      <w:marBottom w:val="0"/>
      <w:divBdr>
        <w:top w:val="none" w:sz="0" w:space="0" w:color="auto"/>
        <w:left w:val="none" w:sz="0" w:space="0" w:color="auto"/>
        <w:bottom w:val="none" w:sz="0" w:space="0" w:color="auto"/>
        <w:right w:val="none" w:sz="0" w:space="0" w:color="auto"/>
      </w:divBdr>
      <w:divsChild>
        <w:div w:id="7830130">
          <w:marLeft w:val="0"/>
          <w:marRight w:val="0"/>
          <w:marTop w:val="0"/>
          <w:marBottom w:val="0"/>
          <w:divBdr>
            <w:top w:val="none" w:sz="0" w:space="0" w:color="auto"/>
            <w:left w:val="none" w:sz="0" w:space="0" w:color="auto"/>
            <w:bottom w:val="none" w:sz="0" w:space="0" w:color="auto"/>
            <w:right w:val="none" w:sz="0" w:space="0" w:color="auto"/>
          </w:divBdr>
        </w:div>
      </w:divsChild>
    </w:div>
    <w:div w:id="367989643">
      <w:marLeft w:val="0"/>
      <w:marRight w:val="0"/>
      <w:marTop w:val="0"/>
      <w:marBottom w:val="0"/>
      <w:divBdr>
        <w:top w:val="none" w:sz="0" w:space="0" w:color="auto"/>
        <w:left w:val="none" w:sz="0" w:space="0" w:color="auto"/>
        <w:bottom w:val="none" w:sz="0" w:space="0" w:color="auto"/>
        <w:right w:val="none" w:sz="0" w:space="0" w:color="auto"/>
      </w:divBdr>
      <w:divsChild>
        <w:div w:id="1873574627">
          <w:marLeft w:val="0"/>
          <w:marRight w:val="0"/>
          <w:marTop w:val="0"/>
          <w:marBottom w:val="0"/>
          <w:divBdr>
            <w:top w:val="none" w:sz="0" w:space="0" w:color="auto"/>
            <w:left w:val="none" w:sz="0" w:space="0" w:color="auto"/>
            <w:bottom w:val="none" w:sz="0" w:space="0" w:color="auto"/>
            <w:right w:val="none" w:sz="0" w:space="0" w:color="auto"/>
          </w:divBdr>
        </w:div>
      </w:divsChild>
    </w:div>
    <w:div w:id="408501082">
      <w:marLeft w:val="0"/>
      <w:marRight w:val="0"/>
      <w:marTop w:val="0"/>
      <w:marBottom w:val="0"/>
      <w:divBdr>
        <w:top w:val="none" w:sz="0" w:space="0" w:color="auto"/>
        <w:left w:val="none" w:sz="0" w:space="0" w:color="auto"/>
        <w:bottom w:val="none" w:sz="0" w:space="0" w:color="auto"/>
        <w:right w:val="none" w:sz="0" w:space="0" w:color="auto"/>
      </w:divBdr>
    </w:div>
    <w:div w:id="452217495">
      <w:marLeft w:val="0"/>
      <w:marRight w:val="0"/>
      <w:marTop w:val="0"/>
      <w:marBottom w:val="0"/>
      <w:divBdr>
        <w:top w:val="none" w:sz="0" w:space="0" w:color="auto"/>
        <w:left w:val="none" w:sz="0" w:space="0" w:color="auto"/>
        <w:bottom w:val="none" w:sz="0" w:space="0" w:color="auto"/>
        <w:right w:val="none" w:sz="0" w:space="0" w:color="auto"/>
      </w:divBdr>
    </w:div>
    <w:div w:id="527523862">
      <w:marLeft w:val="0"/>
      <w:marRight w:val="0"/>
      <w:marTop w:val="0"/>
      <w:marBottom w:val="0"/>
      <w:divBdr>
        <w:top w:val="none" w:sz="0" w:space="0" w:color="auto"/>
        <w:left w:val="none" w:sz="0" w:space="0" w:color="auto"/>
        <w:bottom w:val="none" w:sz="0" w:space="0" w:color="auto"/>
        <w:right w:val="none" w:sz="0" w:space="0" w:color="auto"/>
      </w:divBdr>
    </w:div>
    <w:div w:id="687489324">
      <w:marLeft w:val="0"/>
      <w:marRight w:val="0"/>
      <w:marTop w:val="0"/>
      <w:marBottom w:val="0"/>
      <w:divBdr>
        <w:top w:val="none" w:sz="0" w:space="0" w:color="auto"/>
        <w:left w:val="none" w:sz="0" w:space="0" w:color="auto"/>
        <w:bottom w:val="none" w:sz="0" w:space="0" w:color="auto"/>
        <w:right w:val="none" w:sz="0" w:space="0" w:color="auto"/>
      </w:divBdr>
    </w:div>
    <w:div w:id="762263470">
      <w:marLeft w:val="0"/>
      <w:marRight w:val="0"/>
      <w:marTop w:val="0"/>
      <w:marBottom w:val="0"/>
      <w:divBdr>
        <w:top w:val="none" w:sz="0" w:space="0" w:color="auto"/>
        <w:left w:val="none" w:sz="0" w:space="0" w:color="auto"/>
        <w:bottom w:val="none" w:sz="0" w:space="0" w:color="auto"/>
        <w:right w:val="none" w:sz="0" w:space="0" w:color="auto"/>
      </w:divBdr>
    </w:div>
    <w:div w:id="764687726">
      <w:marLeft w:val="0"/>
      <w:marRight w:val="0"/>
      <w:marTop w:val="0"/>
      <w:marBottom w:val="0"/>
      <w:divBdr>
        <w:top w:val="none" w:sz="0" w:space="0" w:color="auto"/>
        <w:left w:val="none" w:sz="0" w:space="0" w:color="auto"/>
        <w:bottom w:val="none" w:sz="0" w:space="0" w:color="auto"/>
        <w:right w:val="none" w:sz="0" w:space="0" w:color="auto"/>
      </w:divBdr>
      <w:divsChild>
        <w:div w:id="1602758778">
          <w:marLeft w:val="0"/>
          <w:marRight w:val="0"/>
          <w:marTop w:val="0"/>
          <w:marBottom w:val="0"/>
          <w:divBdr>
            <w:top w:val="none" w:sz="0" w:space="0" w:color="auto"/>
            <w:left w:val="none" w:sz="0" w:space="0" w:color="auto"/>
            <w:bottom w:val="none" w:sz="0" w:space="0" w:color="auto"/>
            <w:right w:val="none" w:sz="0" w:space="0" w:color="auto"/>
          </w:divBdr>
        </w:div>
        <w:div w:id="2130583805">
          <w:marLeft w:val="0"/>
          <w:marRight w:val="0"/>
          <w:marTop w:val="0"/>
          <w:marBottom w:val="0"/>
          <w:divBdr>
            <w:top w:val="none" w:sz="0" w:space="0" w:color="auto"/>
            <w:left w:val="none" w:sz="0" w:space="0" w:color="auto"/>
            <w:bottom w:val="none" w:sz="0" w:space="0" w:color="auto"/>
            <w:right w:val="none" w:sz="0" w:space="0" w:color="auto"/>
          </w:divBdr>
        </w:div>
        <w:div w:id="644968367">
          <w:marLeft w:val="0"/>
          <w:marRight w:val="0"/>
          <w:marTop w:val="0"/>
          <w:marBottom w:val="0"/>
          <w:divBdr>
            <w:top w:val="none" w:sz="0" w:space="0" w:color="auto"/>
            <w:left w:val="none" w:sz="0" w:space="0" w:color="auto"/>
            <w:bottom w:val="none" w:sz="0" w:space="0" w:color="auto"/>
            <w:right w:val="none" w:sz="0" w:space="0" w:color="auto"/>
          </w:divBdr>
        </w:div>
      </w:divsChild>
    </w:div>
    <w:div w:id="839809045">
      <w:marLeft w:val="0"/>
      <w:marRight w:val="0"/>
      <w:marTop w:val="0"/>
      <w:marBottom w:val="0"/>
      <w:divBdr>
        <w:top w:val="none" w:sz="0" w:space="0" w:color="auto"/>
        <w:left w:val="none" w:sz="0" w:space="0" w:color="auto"/>
        <w:bottom w:val="none" w:sz="0" w:space="0" w:color="auto"/>
        <w:right w:val="none" w:sz="0" w:space="0" w:color="auto"/>
      </w:divBdr>
      <w:divsChild>
        <w:div w:id="1877498667">
          <w:marLeft w:val="0"/>
          <w:marRight w:val="0"/>
          <w:marTop w:val="0"/>
          <w:marBottom w:val="0"/>
          <w:divBdr>
            <w:top w:val="none" w:sz="0" w:space="0" w:color="auto"/>
            <w:left w:val="none" w:sz="0" w:space="0" w:color="auto"/>
            <w:bottom w:val="none" w:sz="0" w:space="0" w:color="auto"/>
            <w:right w:val="none" w:sz="0" w:space="0" w:color="auto"/>
          </w:divBdr>
        </w:div>
      </w:divsChild>
    </w:div>
    <w:div w:id="850533742">
      <w:marLeft w:val="0"/>
      <w:marRight w:val="0"/>
      <w:marTop w:val="0"/>
      <w:marBottom w:val="0"/>
      <w:divBdr>
        <w:top w:val="none" w:sz="0" w:space="0" w:color="auto"/>
        <w:left w:val="none" w:sz="0" w:space="0" w:color="auto"/>
        <w:bottom w:val="none" w:sz="0" w:space="0" w:color="auto"/>
        <w:right w:val="none" w:sz="0" w:space="0" w:color="auto"/>
      </w:divBdr>
      <w:divsChild>
        <w:div w:id="2088377621">
          <w:marLeft w:val="0"/>
          <w:marRight w:val="0"/>
          <w:marTop w:val="0"/>
          <w:marBottom w:val="0"/>
          <w:divBdr>
            <w:top w:val="none" w:sz="0" w:space="0" w:color="auto"/>
            <w:left w:val="none" w:sz="0" w:space="0" w:color="auto"/>
            <w:bottom w:val="none" w:sz="0" w:space="0" w:color="auto"/>
            <w:right w:val="none" w:sz="0" w:space="0" w:color="auto"/>
          </w:divBdr>
        </w:div>
      </w:divsChild>
    </w:div>
    <w:div w:id="973292926">
      <w:marLeft w:val="0"/>
      <w:marRight w:val="0"/>
      <w:marTop w:val="0"/>
      <w:marBottom w:val="0"/>
      <w:divBdr>
        <w:top w:val="none" w:sz="0" w:space="0" w:color="auto"/>
        <w:left w:val="none" w:sz="0" w:space="0" w:color="auto"/>
        <w:bottom w:val="none" w:sz="0" w:space="0" w:color="auto"/>
        <w:right w:val="none" w:sz="0" w:space="0" w:color="auto"/>
      </w:divBdr>
    </w:div>
    <w:div w:id="979962988">
      <w:marLeft w:val="0"/>
      <w:marRight w:val="0"/>
      <w:marTop w:val="0"/>
      <w:marBottom w:val="0"/>
      <w:divBdr>
        <w:top w:val="none" w:sz="0" w:space="0" w:color="auto"/>
        <w:left w:val="none" w:sz="0" w:space="0" w:color="auto"/>
        <w:bottom w:val="none" w:sz="0" w:space="0" w:color="auto"/>
        <w:right w:val="none" w:sz="0" w:space="0" w:color="auto"/>
      </w:divBdr>
    </w:div>
    <w:div w:id="1364021221">
      <w:marLeft w:val="0"/>
      <w:marRight w:val="0"/>
      <w:marTop w:val="0"/>
      <w:marBottom w:val="0"/>
      <w:divBdr>
        <w:top w:val="none" w:sz="0" w:space="0" w:color="auto"/>
        <w:left w:val="none" w:sz="0" w:space="0" w:color="auto"/>
        <w:bottom w:val="none" w:sz="0" w:space="0" w:color="auto"/>
        <w:right w:val="none" w:sz="0" w:space="0" w:color="auto"/>
      </w:divBdr>
      <w:divsChild>
        <w:div w:id="1042947493">
          <w:marLeft w:val="0"/>
          <w:marRight w:val="0"/>
          <w:marTop w:val="0"/>
          <w:marBottom w:val="0"/>
          <w:divBdr>
            <w:top w:val="none" w:sz="0" w:space="0" w:color="auto"/>
            <w:left w:val="none" w:sz="0" w:space="0" w:color="auto"/>
            <w:bottom w:val="none" w:sz="0" w:space="0" w:color="auto"/>
            <w:right w:val="none" w:sz="0" w:space="0" w:color="auto"/>
          </w:divBdr>
        </w:div>
      </w:divsChild>
    </w:div>
    <w:div w:id="1437404950">
      <w:marLeft w:val="0"/>
      <w:marRight w:val="0"/>
      <w:marTop w:val="0"/>
      <w:marBottom w:val="0"/>
      <w:divBdr>
        <w:top w:val="none" w:sz="0" w:space="0" w:color="auto"/>
        <w:left w:val="none" w:sz="0" w:space="0" w:color="auto"/>
        <w:bottom w:val="none" w:sz="0" w:space="0" w:color="auto"/>
        <w:right w:val="none" w:sz="0" w:space="0" w:color="auto"/>
      </w:divBdr>
    </w:div>
    <w:div w:id="1482818430">
      <w:marLeft w:val="0"/>
      <w:marRight w:val="0"/>
      <w:marTop w:val="0"/>
      <w:marBottom w:val="0"/>
      <w:divBdr>
        <w:top w:val="none" w:sz="0" w:space="0" w:color="auto"/>
        <w:left w:val="none" w:sz="0" w:space="0" w:color="auto"/>
        <w:bottom w:val="none" w:sz="0" w:space="0" w:color="auto"/>
        <w:right w:val="none" w:sz="0" w:space="0" w:color="auto"/>
      </w:divBdr>
    </w:div>
    <w:div w:id="1641885122">
      <w:marLeft w:val="0"/>
      <w:marRight w:val="0"/>
      <w:marTop w:val="0"/>
      <w:marBottom w:val="0"/>
      <w:divBdr>
        <w:top w:val="none" w:sz="0" w:space="0" w:color="auto"/>
        <w:left w:val="none" w:sz="0" w:space="0" w:color="auto"/>
        <w:bottom w:val="none" w:sz="0" w:space="0" w:color="auto"/>
        <w:right w:val="none" w:sz="0" w:space="0" w:color="auto"/>
      </w:divBdr>
      <w:divsChild>
        <w:div w:id="1887594526">
          <w:marLeft w:val="0"/>
          <w:marRight w:val="0"/>
          <w:marTop w:val="0"/>
          <w:marBottom w:val="0"/>
          <w:divBdr>
            <w:top w:val="none" w:sz="0" w:space="0" w:color="auto"/>
            <w:left w:val="none" w:sz="0" w:space="0" w:color="auto"/>
            <w:bottom w:val="none" w:sz="0" w:space="0" w:color="auto"/>
            <w:right w:val="none" w:sz="0" w:space="0" w:color="auto"/>
          </w:divBdr>
          <w:divsChild>
            <w:div w:id="18166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80685">
      <w:marLeft w:val="0"/>
      <w:marRight w:val="0"/>
      <w:marTop w:val="0"/>
      <w:marBottom w:val="0"/>
      <w:divBdr>
        <w:top w:val="none" w:sz="0" w:space="0" w:color="auto"/>
        <w:left w:val="none" w:sz="0" w:space="0" w:color="auto"/>
        <w:bottom w:val="none" w:sz="0" w:space="0" w:color="auto"/>
        <w:right w:val="none" w:sz="0" w:space="0" w:color="auto"/>
      </w:divBdr>
    </w:div>
    <w:div w:id="1761019893">
      <w:marLeft w:val="0"/>
      <w:marRight w:val="0"/>
      <w:marTop w:val="0"/>
      <w:marBottom w:val="0"/>
      <w:divBdr>
        <w:top w:val="none" w:sz="0" w:space="0" w:color="auto"/>
        <w:left w:val="none" w:sz="0" w:space="0" w:color="auto"/>
        <w:bottom w:val="none" w:sz="0" w:space="0" w:color="auto"/>
        <w:right w:val="none" w:sz="0" w:space="0" w:color="auto"/>
      </w:divBdr>
      <w:divsChild>
        <w:div w:id="505634352">
          <w:marLeft w:val="0"/>
          <w:marRight w:val="0"/>
          <w:marTop w:val="0"/>
          <w:marBottom w:val="0"/>
          <w:divBdr>
            <w:top w:val="none" w:sz="0" w:space="0" w:color="auto"/>
            <w:left w:val="none" w:sz="0" w:space="0" w:color="auto"/>
            <w:bottom w:val="none" w:sz="0" w:space="0" w:color="auto"/>
            <w:right w:val="none" w:sz="0" w:space="0" w:color="auto"/>
          </w:divBdr>
        </w:div>
      </w:divsChild>
    </w:div>
    <w:div w:id="2117288785">
      <w:marLeft w:val="0"/>
      <w:marRight w:val="0"/>
      <w:marTop w:val="0"/>
      <w:marBottom w:val="0"/>
      <w:divBdr>
        <w:top w:val="none" w:sz="0" w:space="0" w:color="auto"/>
        <w:left w:val="none" w:sz="0" w:space="0" w:color="auto"/>
        <w:bottom w:val="none" w:sz="0" w:space="0" w:color="auto"/>
        <w:right w:val="none" w:sz="0" w:space="0" w:color="auto"/>
      </w:divBdr>
      <w:divsChild>
        <w:div w:id="80566078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1428</Words>
  <Characters>8141</Characters>
  <Application>Microsoft Office Word</Application>
  <DocSecurity>4</DocSecurity>
  <Lines>67</Lines>
  <Paragraphs>19</Paragraphs>
  <ScaleCrop>false</ScaleCrop>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2026-07-13T13:21:00Z</dcterms:created>
  <dcterms:modified xsi:type="dcterms:W3CDTF">2026-07-13T13:21:00Z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