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61C1" w:rsidRDefault="0002552E">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rsidR="006D61C1" w:rsidRDefault="0002552E">
      <w:pPr>
        <w:spacing w:line="360" w:lineRule="auto"/>
        <w:rPr>
          <w:rFonts w:ascii="宋体" w:hAnsi="宋体"/>
          <w:sz w:val="48"/>
        </w:rPr>
      </w:pPr>
      <w:r>
        <w:rPr>
          <w:rFonts w:ascii="宋体" w:hAnsi="宋体" w:hint="eastAsia"/>
          <w:sz w:val="48"/>
        </w:rPr>
        <w:t xml:space="preserve">　 </w:t>
      </w:r>
    </w:p>
    <w:p w:rsidR="006D61C1" w:rsidRDefault="0002552E">
      <w:pPr>
        <w:spacing w:line="360" w:lineRule="auto"/>
        <w:jc w:val="center"/>
      </w:pPr>
      <w:r>
        <w:rPr>
          <w:rFonts w:ascii="宋体" w:hAnsi="宋体" w:hint="eastAsia"/>
          <w:b/>
          <w:bCs/>
          <w:color w:val="000000" w:themeColor="text1"/>
          <w:sz w:val="48"/>
          <w:szCs w:val="30"/>
        </w:rPr>
        <w:t>摩根行业轮动混合型证券投资基金</w:t>
      </w:r>
      <w:r>
        <w:rPr>
          <w:rFonts w:ascii="宋体" w:hAnsi="宋体" w:hint="eastAsia"/>
          <w:b/>
          <w:bCs/>
          <w:color w:val="000000" w:themeColor="text1"/>
          <w:sz w:val="48"/>
          <w:szCs w:val="30"/>
        </w:rPr>
        <w:br/>
        <w:t>2025年第1季度报告</w:t>
      </w:r>
    </w:p>
    <w:p w:rsidR="006D61C1" w:rsidRDefault="0002552E">
      <w:pPr>
        <w:spacing w:line="360" w:lineRule="auto"/>
        <w:jc w:val="center"/>
        <w:rPr>
          <w:rFonts w:ascii="宋体" w:hAnsi="宋体"/>
          <w:sz w:val="28"/>
          <w:szCs w:val="30"/>
        </w:rPr>
      </w:pPr>
      <w:r>
        <w:rPr>
          <w:rFonts w:ascii="宋体" w:hAnsi="宋体" w:hint="eastAsia"/>
          <w:sz w:val="28"/>
          <w:szCs w:val="30"/>
        </w:rPr>
        <w:t xml:space="preserve">　 </w:t>
      </w:r>
    </w:p>
    <w:p w:rsidR="006D61C1" w:rsidRDefault="0002552E">
      <w:pPr>
        <w:spacing w:line="360" w:lineRule="auto"/>
        <w:jc w:val="center"/>
      </w:pPr>
      <w:r>
        <w:rPr>
          <w:rFonts w:ascii="宋体" w:hAnsi="宋体" w:hint="eastAsia"/>
          <w:b/>
          <w:bCs/>
          <w:sz w:val="28"/>
          <w:szCs w:val="30"/>
        </w:rPr>
        <w:t>2025年3月31日</w:t>
      </w:r>
    </w:p>
    <w:p w:rsidR="006D61C1" w:rsidRDefault="0002552E">
      <w:pPr>
        <w:spacing w:line="360" w:lineRule="auto"/>
        <w:jc w:val="center"/>
        <w:rPr>
          <w:rFonts w:ascii="宋体" w:hAnsi="宋体"/>
          <w:sz w:val="28"/>
          <w:szCs w:val="30"/>
        </w:rPr>
      </w:pPr>
      <w:r>
        <w:rPr>
          <w:rFonts w:ascii="宋体" w:hAnsi="宋体" w:hint="eastAsia"/>
          <w:sz w:val="28"/>
          <w:szCs w:val="30"/>
        </w:rPr>
        <w:t xml:space="preserve">　 </w:t>
      </w:r>
    </w:p>
    <w:p w:rsidR="006D61C1" w:rsidRDefault="0002552E">
      <w:pPr>
        <w:spacing w:line="360" w:lineRule="auto"/>
        <w:jc w:val="center"/>
        <w:rPr>
          <w:rFonts w:ascii="宋体" w:hAnsi="宋体"/>
          <w:sz w:val="28"/>
          <w:szCs w:val="30"/>
        </w:rPr>
      </w:pPr>
      <w:r>
        <w:rPr>
          <w:rFonts w:ascii="宋体" w:hAnsi="宋体" w:hint="eastAsia"/>
          <w:sz w:val="28"/>
          <w:szCs w:val="30"/>
        </w:rPr>
        <w:t xml:space="preserve">　 </w:t>
      </w:r>
    </w:p>
    <w:p w:rsidR="006D61C1" w:rsidRDefault="0002552E">
      <w:pPr>
        <w:spacing w:line="360" w:lineRule="auto"/>
        <w:jc w:val="center"/>
        <w:rPr>
          <w:rFonts w:ascii="宋体" w:hAnsi="宋体"/>
          <w:sz w:val="28"/>
          <w:szCs w:val="30"/>
        </w:rPr>
      </w:pPr>
      <w:r>
        <w:rPr>
          <w:rFonts w:ascii="宋体" w:hAnsi="宋体" w:hint="eastAsia"/>
          <w:sz w:val="28"/>
          <w:szCs w:val="30"/>
        </w:rPr>
        <w:t xml:space="preserve">　 </w:t>
      </w:r>
    </w:p>
    <w:p w:rsidR="006D61C1" w:rsidRDefault="0002552E">
      <w:pPr>
        <w:spacing w:line="360" w:lineRule="auto"/>
        <w:ind w:rightChars="-230" w:right="-483"/>
        <w:jc w:val="center"/>
        <w:rPr>
          <w:rFonts w:ascii="宋体" w:hAnsi="宋体"/>
          <w:sz w:val="28"/>
          <w:szCs w:val="30"/>
        </w:rPr>
      </w:pPr>
      <w:r>
        <w:rPr>
          <w:rFonts w:ascii="宋体" w:hAnsi="宋体" w:hint="eastAsia"/>
          <w:sz w:val="28"/>
          <w:szCs w:val="30"/>
        </w:rPr>
        <w:t xml:space="preserve">　 </w:t>
      </w:r>
      <w:bookmarkStart w:id="7" w:name="_GoBack"/>
      <w:bookmarkEnd w:id="7"/>
    </w:p>
    <w:p w:rsidR="006D61C1" w:rsidRDefault="0002552E">
      <w:pPr>
        <w:spacing w:line="360" w:lineRule="auto"/>
        <w:jc w:val="center"/>
        <w:rPr>
          <w:rFonts w:ascii="宋体" w:hAnsi="宋体"/>
          <w:sz w:val="28"/>
          <w:szCs w:val="30"/>
        </w:rPr>
      </w:pPr>
      <w:r>
        <w:rPr>
          <w:rFonts w:ascii="宋体" w:hAnsi="宋体" w:hint="eastAsia"/>
          <w:sz w:val="28"/>
          <w:szCs w:val="30"/>
        </w:rPr>
        <w:t xml:space="preserve">　 </w:t>
      </w:r>
    </w:p>
    <w:p w:rsidR="006D61C1" w:rsidRDefault="0002552E">
      <w:pPr>
        <w:spacing w:line="360" w:lineRule="auto"/>
        <w:jc w:val="center"/>
        <w:rPr>
          <w:rFonts w:ascii="宋体" w:hAnsi="宋体"/>
          <w:sz w:val="28"/>
          <w:szCs w:val="30"/>
        </w:rPr>
      </w:pPr>
      <w:r>
        <w:rPr>
          <w:rFonts w:ascii="宋体" w:hAnsi="宋体" w:hint="eastAsia"/>
          <w:sz w:val="28"/>
          <w:szCs w:val="30"/>
        </w:rPr>
        <w:t xml:space="preserve">　 </w:t>
      </w:r>
    </w:p>
    <w:p w:rsidR="006D61C1" w:rsidRDefault="0002552E">
      <w:pPr>
        <w:spacing w:line="360" w:lineRule="auto"/>
        <w:jc w:val="center"/>
        <w:rPr>
          <w:rFonts w:ascii="宋体" w:hAnsi="宋体"/>
          <w:sz w:val="28"/>
          <w:szCs w:val="30"/>
        </w:rPr>
      </w:pPr>
      <w:r>
        <w:rPr>
          <w:rFonts w:ascii="宋体" w:hAnsi="宋体" w:hint="eastAsia"/>
          <w:sz w:val="28"/>
          <w:szCs w:val="30"/>
        </w:rPr>
        <w:t xml:space="preserve">　 </w:t>
      </w:r>
    </w:p>
    <w:p w:rsidR="006D61C1" w:rsidRDefault="0002552E">
      <w:pPr>
        <w:spacing w:line="360" w:lineRule="auto"/>
        <w:jc w:val="center"/>
        <w:rPr>
          <w:rFonts w:ascii="宋体" w:hAnsi="宋体"/>
          <w:sz w:val="28"/>
          <w:szCs w:val="30"/>
        </w:rPr>
      </w:pPr>
      <w:r>
        <w:rPr>
          <w:rFonts w:ascii="宋体" w:hAnsi="宋体" w:hint="eastAsia"/>
          <w:sz w:val="28"/>
          <w:szCs w:val="30"/>
        </w:rPr>
        <w:t xml:space="preserve">　 </w:t>
      </w:r>
    </w:p>
    <w:p w:rsidR="006D61C1" w:rsidRDefault="0002552E">
      <w:pPr>
        <w:spacing w:line="360" w:lineRule="auto"/>
        <w:jc w:val="center"/>
        <w:rPr>
          <w:rFonts w:ascii="宋体" w:hAnsi="宋体"/>
          <w:sz w:val="28"/>
          <w:szCs w:val="30"/>
        </w:rPr>
      </w:pPr>
      <w:r>
        <w:rPr>
          <w:rFonts w:ascii="宋体" w:hAnsi="宋体" w:hint="eastAsia"/>
          <w:sz w:val="28"/>
          <w:szCs w:val="30"/>
        </w:rPr>
        <w:t xml:space="preserve">　 </w:t>
      </w:r>
    </w:p>
    <w:p w:rsidR="006D61C1" w:rsidRDefault="0002552E">
      <w:pPr>
        <w:spacing w:line="360" w:lineRule="auto"/>
        <w:jc w:val="center"/>
        <w:rPr>
          <w:rFonts w:ascii="宋体" w:hAnsi="宋体"/>
          <w:sz w:val="28"/>
          <w:szCs w:val="30"/>
        </w:rPr>
      </w:pPr>
      <w:r>
        <w:rPr>
          <w:rFonts w:ascii="宋体" w:hAnsi="宋体" w:hint="eastAsia"/>
          <w:sz w:val="28"/>
          <w:szCs w:val="30"/>
        </w:rPr>
        <w:t xml:space="preserve">　 </w:t>
      </w:r>
    </w:p>
    <w:p w:rsidR="006D61C1" w:rsidRDefault="0002552E">
      <w:pPr>
        <w:spacing w:line="360" w:lineRule="auto"/>
        <w:jc w:val="center"/>
        <w:rPr>
          <w:rFonts w:ascii="宋体" w:hAnsi="宋体"/>
          <w:sz w:val="28"/>
          <w:szCs w:val="30"/>
        </w:rPr>
      </w:pPr>
      <w:r>
        <w:rPr>
          <w:rFonts w:ascii="宋体" w:hAnsi="宋体" w:hint="eastAsia"/>
          <w:sz w:val="28"/>
          <w:szCs w:val="30"/>
        </w:rPr>
        <w:t xml:space="preserve">　 </w:t>
      </w:r>
    </w:p>
    <w:p w:rsidR="006D61C1" w:rsidRDefault="0002552E">
      <w:pPr>
        <w:spacing w:line="360" w:lineRule="auto"/>
        <w:ind w:firstLineChars="800" w:firstLine="2249"/>
        <w:jc w:val="left"/>
      </w:pPr>
      <w:r>
        <w:rPr>
          <w:rFonts w:ascii="宋体" w:hAnsi="宋体" w:hint="eastAsia"/>
          <w:b/>
          <w:bCs/>
          <w:sz w:val="28"/>
          <w:szCs w:val="30"/>
        </w:rPr>
        <w:t>基金管理人：摩根基金管理（中国）有限公司</w:t>
      </w:r>
    </w:p>
    <w:p w:rsidR="006D61C1" w:rsidRDefault="0002552E">
      <w:pPr>
        <w:spacing w:line="360" w:lineRule="auto"/>
        <w:ind w:firstLineChars="800" w:firstLine="2249"/>
        <w:jc w:val="left"/>
      </w:pPr>
      <w:r>
        <w:rPr>
          <w:rFonts w:ascii="宋体" w:hAnsi="宋体" w:hint="eastAsia"/>
          <w:b/>
          <w:bCs/>
          <w:sz w:val="28"/>
          <w:szCs w:val="30"/>
        </w:rPr>
        <w:t>基金托管人：招商银行股份有限公司</w:t>
      </w:r>
    </w:p>
    <w:p w:rsidR="006D61C1" w:rsidRDefault="0002552E">
      <w:pPr>
        <w:spacing w:line="360" w:lineRule="auto"/>
        <w:ind w:firstLineChars="800" w:firstLine="2249"/>
        <w:jc w:val="left"/>
      </w:pPr>
      <w:r>
        <w:rPr>
          <w:rFonts w:ascii="宋体" w:hAnsi="宋体" w:hint="eastAsia"/>
          <w:b/>
          <w:bCs/>
          <w:sz w:val="28"/>
          <w:szCs w:val="30"/>
        </w:rPr>
        <w:t>报告送出日期：2025年4月22日</w:t>
      </w:r>
    </w:p>
    <w:p w:rsidR="006D61C1" w:rsidRDefault="0002552E">
      <w:pPr>
        <w:pStyle w:val="XBRLTitle1"/>
        <w:spacing w:before="156" w:line="360" w:lineRule="auto"/>
        <w:ind w:left="425"/>
      </w:pPr>
      <w:r>
        <w:rPr>
          <w:rFonts w:hAnsi="宋体" w:cs="宋体" w:hint="eastAsia"/>
          <w:color w:val="404040"/>
          <w:kern w:val="0"/>
        </w:rPr>
        <w:br w:type="page"/>
      </w:r>
      <w:bookmarkStart w:id="8" w:name="_Toc17898178"/>
      <w:bookmarkStart w:id="9" w:name="_Toc17897936"/>
      <w:bookmarkStart w:id="10" w:name="_Toc512519480"/>
      <w:bookmarkStart w:id="11" w:name="_Toc481075046"/>
      <w:bookmarkStart w:id="12" w:name="_Toc438646451"/>
      <w:bookmarkStart w:id="13" w:name="_Toc490050000"/>
      <w:bookmarkStart w:id="14" w:name="_Toc513295846"/>
      <w:bookmarkStart w:id="15" w:name="_Toc513295892"/>
      <w:bookmarkStart w:id="16" w:name="m101"/>
      <w:bookmarkStart w:id="17" w:name="m01_01"/>
      <w:bookmarkStart w:id="18" w:name="_Toc194311890"/>
      <w:proofErr w:type="spellStart"/>
      <w:r>
        <w:rPr>
          <w:rFonts w:hAnsi="宋体" w:hint="eastAsia"/>
        </w:rPr>
        <w:lastRenderedPageBreak/>
        <w:t>重要提示</w:t>
      </w:r>
      <w:bookmarkEnd w:id="8"/>
      <w:bookmarkEnd w:id="9"/>
      <w:bookmarkEnd w:id="10"/>
      <w:bookmarkEnd w:id="11"/>
      <w:bookmarkEnd w:id="12"/>
      <w:bookmarkEnd w:id="13"/>
      <w:bookmarkEnd w:id="14"/>
      <w:bookmarkEnd w:id="15"/>
      <w:proofErr w:type="spellEnd"/>
      <w:r>
        <w:rPr>
          <w:rFonts w:hAnsi="宋体" w:hint="eastAsia"/>
        </w:rPr>
        <w:t xml:space="preserve"> </w:t>
      </w:r>
    </w:p>
    <w:p w:rsidR="006D61C1" w:rsidRDefault="0002552E">
      <w:pPr>
        <w:spacing w:line="360" w:lineRule="auto"/>
        <w:ind w:firstLineChars="200" w:firstLine="420"/>
      </w:pPr>
      <w:bookmarkStart w:id="19" w:name="m502"/>
      <w:bookmarkStart w:id="20" w:name="_Toc438646470"/>
      <w:bookmarkStart w:id="21" w:name="m504"/>
      <w:bookmarkStart w:id="22" w:name="m08QD_01"/>
      <w:bookmarkStart w:id="23" w:name="m201"/>
      <w:bookmarkStart w:id="24"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基金托管人招商银行股份有限公司根据本基金合同规定，于2025年4月21日复核了本报告中的财务指标、净值表现和投资组合报告等内容，保证复核内容不存在虚假记载、误导性陈述或者重大遗漏。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本基金乃依据中港基金互认安排已获香港证券及期货事务监察委员会（下称“香港证监会”）之认可在香港公开发售的内地基金。香港证监会认可不等于对该产品</w:t>
      </w:r>
      <w:proofErr w:type="gramStart"/>
      <w:r>
        <w:rPr>
          <w:rFonts w:ascii="宋体" w:hAnsi="宋体" w:hint="eastAsia"/>
        </w:rPr>
        <w:t>作出</w:t>
      </w:r>
      <w:proofErr w:type="gramEnd"/>
      <w:r>
        <w:rPr>
          <w:rFonts w:ascii="宋体" w:hAnsi="宋体" w:hint="eastAsia"/>
        </w:rPr>
        <w:t>推介或认许，亦不是对该产品的商业利弊或表现</w:t>
      </w:r>
      <w:proofErr w:type="gramStart"/>
      <w:r>
        <w:rPr>
          <w:rFonts w:ascii="宋体" w:hAnsi="宋体" w:hint="eastAsia"/>
        </w:rPr>
        <w:t>作出</w:t>
      </w:r>
      <w:proofErr w:type="gramEnd"/>
      <w:r>
        <w:rPr>
          <w:rFonts w:ascii="宋体" w:hAnsi="宋体" w:hint="eastAsia"/>
        </w:rPr>
        <w:t>保证，更不代表该产品适合所有投资者，或</w:t>
      </w:r>
      <w:proofErr w:type="gramStart"/>
      <w:r>
        <w:rPr>
          <w:rFonts w:ascii="宋体" w:hAnsi="宋体" w:hint="eastAsia"/>
        </w:rPr>
        <w:t>认许该产品</w:t>
      </w:r>
      <w:proofErr w:type="gramEnd"/>
      <w:r>
        <w:rPr>
          <w:rFonts w:ascii="宋体" w:hAnsi="宋体" w:hint="eastAsia"/>
        </w:rPr>
        <w:t>适合任何个别投资者或任何类别的投资者。</w:t>
      </w:r>
      <w:r>
        <w:rPr>
          <w:rFonts w:ascii="宋体" w:hAnsi="宋体" w:hint="eastAsia"/>
        </w:rPr>
        <w:br/>
        <w:t xml:space="preserve">　　本报告期自2025年1月1日起至3月31日止。</w:t>
      </w:r>
    </w:p>
    <w:p w:rsidR="006D61C1" w:rsidRDefault="0002552E">
      <w:pPr>
        <w:pStyle w:val="XBRLTitle1"/>
        <w:spacing w:before="156" w:line="360" w:lineRule="auto"/>
        <w:ind w:left="425"/>
      </w:pPr>
      <w:bookmarkStart w:id="25" w:name="_Toc17898179"/>
      <w:bookmarkStart w:id="26" w:name="_Toc17897937"/>
      <w:bookmarkStart w:id="27" w:name="_Toc512519481"/>
      <w:bookmarkStart w:id="28" w:name="_Toc481075047"/>
      <w:bookmarkStart w:id="29" w:name="_Toc438646452"/>
      <w:bookmarkStart w:id="30" w:name="_Toc490050001"/>
      <w:bookmarkStart w:id="31" w:name="_Toc513295847"/>
      <w:bookmarkStart w:id="32" w:name="_Toc513295893"/>
      <w:proofErr w:type="spellStart"/>
      <w:r>
        <w:rPr>
          <w:rFonts w:hAnsi="宋体" w:hint="eastAsia"/>
        </w:rPr>
        <w:t>基金产品概况</w:t>
      </w:r>
      <w:bookmarkEnd w:id="25"/>
      <w:bookmarkEnd w:id="26"/>
      <w:bookmarkEnd w:id="27"/>
      <w:bookmarkEnd w:id="28"/>
      <w:bookmarkEnd w:id="29"/>
      <w:bookmarkEnd w:id="30"/>
      <w:bookmarkEnd w:id="31"/>
      <w:bookmarkEnd w:id="32"/>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1719"/>
        <w:gridCol w:w="1719"/>
        <w:gridCol w:w="1719"/>
      </w:tblGrid>
      <w:tr w:rsidR="006D61C1">
        <w:trPr>
          <w:divId w:val="1390110053"/>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6"/>
          <w:p w:rsidR="006D61C1" w:rsidRDefault="0002552E">
            <w:pPr>
              <w:jc w:val="left"/>
            </w:pPr>
            <w:r>
              <w:rPr>
                <w:rFonts w:ascii="宋体" w:hAnsi="宋体" w:hint="eastAsia"/>
              </w:rPr>
              <w:t>基金简称</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r>
              <w:rPr>
                <w:rFonts w:ascii="宋体" w:hAnsi="宋体" w:hint="eastAsia"/>
                <w:szCs w:val="24"/>
                <w:lang w:eastAsia="zh-Hans"/>
              </w:rPr>
              <w:t>摩根行业轮动混合</w:t>
            </w:r>
            <w:r>
              <w:rPr>
                <w:rFonts w:ascii="宋体" w:hAnsi="宋体" w:hint="eastAsia"/>
                <w:lang w:eastAsia="zh-Hans"/>
              </w:rPr>
              <w:t xml:space="preserve"> </w:t>
            </w:r>
          </w:p>
        </w:tc>
      </w:tr>
      <w:tr w:rsidR="006D61C1">
        <w:trPr>
          <w:divId w:val="139011005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r>
              <w:rPr>
                <w:rFonts w:ascii="宋体" w:hAnsi="宋体" w:hint="eastAsia"/>
              </w:rPr>
              <w:t>基金主代码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r>
              <w:rPr>
                <w:rFonts w:ascii="宋体" w:hAnsi="宋体" w:hint="eastAsia"/>
                <w:lang w:eastAsia="zh-Hans"/>
              </w:rPr>
              <w:t>377530</w:t>
            </w:r>
          </w:p>
        </w:tc>
      </w:tr>
      <w:tr w:rsidR="006D61C1">
        <w:trPr>
          <w:divId w:val="139011005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bookmarkStart w:id="33"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r>
              <w:rPr>
                <w:rFonts w:ascii="宋体" w:hAnsi="宋体" w:hint="eastAsia"/>
                <w:lang w:eastAsia="zh-Hans"/>
              </w:rPr>
              <w:t>契约型开放式</w:t>
            </w:r>
          </w:p>
        </w:tc>
      </w:tr>
      <w:tr w:rsidR="006D61C1">
        <w:trPr>
          <w:divId w:val="139011005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r>
              <w:rPr>
                <w:rFonts w:ascii="宋体" w:hAnsi="宋体" w:hint="eastAsia"/>
              </w:rPr>
              <w:t>基金合同生效日</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r>
              <w:rPr>
                <w:rFonts w:ascii="宋体" w:hAnsi="宋体" w:hint="eastAsia"/>
                <w:lang w:eastAsia="zh-Hans"/>
              </w:rPr>
              <w:t>2010年1月28日</w:t>
            </w:r>
          </w:p>
        </w:tc>
      </w:tr>
      <w:tr w:rsidR="006D61C1">
        <w:trPr>
          <w:divId w:val="139011005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r>
              <w:rPr>
                <w:rFonts w:ascii="宋体" w:hAnsi="宋体" w:hint="eastAsia"/>
                <w:lang w:eastAsia="zh-Hans"/>
              </w:rPr>
              <w:t>194,872,203.55</w:t>
            </w:r>
            <w:r>
              <w:rPr>
                <w:rFonts w:hint="eastAsia"/>
              </w:rPr>
              <w:t>份</w:t>
            </w:r>
            <w:r>
              <w:rPr>
                <w:rFonts w:ascii="宋体" w:hAnsi="宋体" w:hint="eastAsia"/>
                <w:lang w:eastAsia="zh-Hans"/>
              </w:rPr>
              <w:t xml:space="preserve"> </w:t>
            </w:r>
          </w:p>
        </w:tc>
      </w:tr>
      <w:tr w:rsidR="006D61C1">
        <w:trPr>
          <w:divId w:val="139011005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r>
              <w:rPr>
                <w:rFonts w:ascii="宋体" w:hAnsi="宋体" w:hint="eastAsia"/>
              </w:rPr>
              <w:t>投资目标</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r>
              <w:rPr>
                <w:rFonts w:ascii="宋体" w:hAnsi="宋体" w:hint="eastAsia"/>
                <w:lang w:eastAsia="zh-Hans"/>
              </w:rPr>
              <w:t>本基金通过把握资产轮动、产业策略与经济周期相联系的规律，挖掘经济周期波动中强势行业中具有核心竞争优势的上市公司，力求在景气的多空变化中追求基金资产长期稳健的超额收益。</w:t>
            </w:r>
          </w:p>
        </w:tc>
      </w:tr>
      <w:tr w:rsidR="006D61C1">
        <w:trPr>
          <w:divId w:val="139011005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r>
              <w:rPr>
                <w:rFonts w:ascii="宋体" w:hAnsi="宋体" w:hint="eastAsia"/>
              </w:rPr>
              <w:t>投资策略</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r>
              <w:rPr>
                <w:rFonts w:ascii="宋体" w:hAnsi="宋体" w:hint="eastAsia"/>
                <w:lang w:eastAsia="zh-Hans"/>
              </w:rPr>
              <w:t>国际经验表明，受宏观经济周期波动的影响，产业发展存在周期轮动的现象。某些行业能够在经济周期的特定阶段获得更好的表现，从而形成阶段性的强势行业。在股票市场中表现为行业投资收益的中长期轮动，处于各行业的不同企业也面临不同的投资机会。本基金通过把握经济周期变化，依据对宏观经济、产业政策、行业景气度及市场波动等因素的综合判断，采取自上而下的资产配置策略、行业配置策略与自下而上的个股选择策略相结合，精选强势行业中具有核心竞争优势的个股，力求无论在多空市场环境下均能</w:t>
            </w:r>
            <w:r>
              <w:rPr>
                <w:rFonts w:ascii="宋体" w:hAnsi="宋体" w:hint="eastAsia"/>
                <w:lang w:eastAsia="zh-Hans"/>
              </w:rPr>
              <w:lastRenderedPageBreak/>
              <w:t>获取稳健的超额回报。</w:t>
            </w:r>
            <w:r>
              <w:rPr>
                <w:rFonts w:ascii="宋体" w:hAnsi="宋体" w:hint="eastAsia"/>
                <w:lang w:eastAsia="zh-Hans"/>
              </w:rPr>
              <w:br/>
              <w:t>1、资产配置策略</w:t>
            </w:r>
            <w:r>
              <w:rPr>
                <w:rFonts w:ascii="宋体" w:hAnsi="宋体" w:hint="eastAsia"/>
                <w:lang w:eastAsia="zh-Hans"/>
              </w:rPr>
              <w:br/>
              <w:t>本基金对大类资产的配置是从宏观层面出发，采用定量分析和定性分析相结合的手段，综合宏观经济环境、政策形势、行业景气度和证券市场走势的综合分析，积极进行大类资产配置。</w:t>
            </w:r>
            <w:r>
              <w:rPr>
                <w:rFonts w:ascii="宋体" w:hAnsi="宋体" w:hint="eastAsia"/>
                <w:lang w:eastAsia="zh-Hans"/>
              </w:rPr>
              <w:br/>
              <w:t>2、行业配置策略</w:t>
            </w:r>
            <w:r>
              <w:rPr>
                <w:rFonts w:ascii="宋体" w:hAnsi="宋体" w:hint="eastAsia"/>
                <w:lang w:eastAsia="zh-Hans"/>
              </w:rPr>
              <w:br/>
              <w:t>本基金运用"投资时钟理论"，对行业的配置以宏观经济周期分析为基础，挖掘每一经济周期阶段下处于景气复苏以及景气上升阶段的行业，考察经济周期中行业轮动与市场波动的规律，把握行业间的相对强弱关系与强势行业的持续周期，增加预期收益率较高的行业配置，减少或者不配置预期收益率较低的行业。</w:t>
            </w:r>
            <w:r>
              <w:rPr>
                <w:rFonts w:ascii="宋体" w:hAnsi="宋体" w:hint="eastAsia"/>
                <w:lang w:eastAsia="zh-Hans"/>
              </w:rPr>
              <w:br/>
              <w:t>3、个股选择</w:t>
            </w:r>
            <w:r>
              <w:rPr>
                <w:rFonts w:ascii="宋体" w:hAnsi="宋体" w:hint="eastAsia"/>
                <w:lang w:eastAsia="zh-Hans"/>
              </w:rPr>
              <w:br/>
              <w:t>本基金重点投资于强势行业中获益程度最高且具有核心竞争优势的上市公司。</w:t>
            </w:r>
            <w:r>
              <w:rPr>
                <w:rFonts w:ascii="宋体" w:hAnsi="宋体" w:hint="eastAsia"/>
                <w:lang w:eastAsia="zh-Hans"/>
              </w:rPr>
              <w:br/>
              <w:t>4、固定收益类投资策略</w:t>
            </w:r>
            <w:r>
              <w:rPr>
                <w:rFonts w:ascii="宋体" w:hAnsi="宋体" w:hint="eastAsia"/>
                <w:lang w:eastAsia="zh-Hans"/>
              </w:rPr>
              <w:br/>
              <w:t>对于固定收益类资产的选择，本基金将以价值分析为主线，在综合研究的基础上实施积极主动的组合管理。</w:t>
            </w:r>
            <w:r>
              <w:rPr>
                <w:rFonts w:ascii="宋体" w:hAnsi="宋体" w:hint="eastAsia"/>
                <w:lang w:eastAsia="zh-Hans"/>
              </w:rPr>
              <w:br/>
              <w:t>5、其他投资策略：包括可转换债券投资策略、权证投资策略、存托凭证投资策略。</w:t>
            </w:r>
          </w:p>
        </w:tc>
      </w:tr>
      <w:tr w:rsidR="006D61C1">
        <w:trPr>
          <w:divId w:val="139011005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r>
              <w:rPr>
                <w:rFonts w:ascii="宋体" w:hAnsi="宋体" w:hint="eastAsia"/>
                <w:lang w:eastAsia="zh-Hans"/>
              </w:rPr>
              <w:t>沪深300指数收益率×80%+上证国债指数收益率×20%</w:t>
            </w:r>
          </w:p>
        </w:tc>
      </w:tr>
      <w:tr w:rsidR="006D61C1">
        <w:trPr>
          <w:divId w:val="139011005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r>
              <w:rPr>
                <w:rFonts w:ascii="宋体" w:hAnsi="宋体" w:hint="eastAsia"/>
              </w:rPr>
              <w:t>风险收益特征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r>
              <w:rPr>
                <w:rFonts w:ascii="宋体" w:hAnsi="宋体" w:hint="eastAsia"/>
                <w:lang w:eastAsia="zh-Hans"/>
              </w:rPr>
              <w:t>本基金是主动管理的混合型证券投资基金，属于证券投资基金的较高风险品种，预期风险收益水平风险高于债券基金和货币市场基金，低于股票基金。</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6D61C1">
        <w:trPr>
          <w:divId w:val="139011005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r>
              <w:rPr>
                <w:rFonts w:ascii="宋体" w:hAnsi="宋体" w:hint="eastAsia"/>
              </w:rPr>
              <w:t>基金管理人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r>
              <w:rPr>
                <w:rFonts w:ascii="宋体" w:hAnsi="宋体" w:hint="eastAsia"/>
                <w:lang w:eastAsia="zh-Hans"/>
              </w:rPr>
              <w:t>摩根基金管理（中国）有限公司</w:t>
            </w:r>
          </w:p>
        </w:tc>
      </w:tr>
      <w:tr w:rsidR="006D61C1">
        <w:trPr>
          <w:divId w:val="139011005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r>
              <w:rPr>
                <w:rFonts w:ascii="宋体" w:hAnsi="宋体" w:hint="eastAsia"/>
              </w:rPr>
              <w:t>基金托管人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r>
              <w:rPr>
                <w:rFonts w:ascii="宋体" w:hAnsi="宋体" w:hint="eastAsia"/>
                <w:lang w:eastAsia="zh-Hans"/>
              </w:rPr>
              <w:t>招商银行股份有限公司</w:t>
            </w:r>
          </w:p>
        </w:tc>
      </w:tr>
      <w:tr w:rsidR="006D61C1">
        <w:trPr>
          <w:divId w:val="139011005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bookmarkStart w:id="34" w:name="m02_01" w:colFirst="1" w:colLast="3"/>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61C1" w:rsidRDefault="0002552E">
            <w:pPr>
              <w:jc w:val="center"/>
            </w:pPr>
            <w:r>
              <w:rPr>
                <w:rFonts w:ascii="宋体" w:hAnsi="宋体" w:hint="eastAsia"/>
                <w:lang w:eastAsia="zh-Hans"/>
              </w:rPr>
              <w:t>摩根行业轮动混合A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61C1" w:rsidRDefault="0002552E">
            <w:pPr>
              <w:jc w:val="center"/>
            </w:pPr>
            <w:r>
              <w:rPr>
                <w:rFonts w:ascii="宋体" w:hAnsi="宋体" w:hint="eastAsia"/>
                <w:lang w:eastAsia="zh-Hans"/>
              </w:rPr>
              <w:t>摩根行业轮动混合C</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61C1" w:rsidRDefault="0002552E">
            <w:pPr>
              <w:jc w:val="center"/>
            </w:pPr>
            <w:r>
              <w:rPr>
                <w:rFonts w:ascii="宋体" w:hAnsi="宋体" w:hint="eastAsia"/>
                <w:lang w:eastAsia="zh-Hans"/>
              </w:rPr>
              <w:t>摩根行业轮动混合H</w:t>
            </w:r>
            <w:r>
              <w:rPr>
                <w:rFonts w:ascii="宋体" w:hAnsi="宋体" w:hint="eastAsia"/>
                <w:kern w:val="0"/>
                <w:sz w:val="20"/>
                <w:lang w:eastAsia="zh-Hans"/>
              </w:rPr>
              <w:t xml:space="preserve"> </w:t>
            </w:r>
          </w:p>
        </w:tc>
      </w:tr>
      <w:tr w:rsidR="006D61C1">
        <w:trPr>
          <w:divId w:val="139011005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61C1" w:rsidRDefault="0002552E">
            <w:pPr>
              <w:jc w:val="center"/>
            </w:pPr>
            <w:r>
              <w:rPr>
                <w:rFonts w:ascii="宋体" w:hAnsi="宋体" w:hint="eastAsia"/>
                <w:lang w:eastAsia="zh-Hans"/>
              </w:rPr>
              <w:t>377530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61C1" w:rsidRDefault="0002552E">
            <w:pPr>
              <w:jc w:val="center"/>
            </w:pPr>
            <w:r>
              <w:rPr>
                <w:rFonts w:ascii="宋体" w:hAnsi="宋体" w:hint="eastAsia"/>
                <w:lang w:eastAsia="zh-Hans"/>
              </w:rPr>
              <w:t>014641</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61C1" w:rsidRDefault="0002552E">
            <w:pPr>
              <w:jc w:val="center"/>
            </w:pPr>
            <w:r>
              <w:rPr>
                <w:rFonts w:ascii="宋体" w:hAnsi="宋体" w:hint="eastAsia"/>
                <w:lang w:eastAsia="zh-Hans"/>
              </w:rPr>
              <w:t>960006</w:t>
            </w:r>
            <w:r>
              <w:rPr>
                <w:rFonts w:ascii="宋体" w:hAnsi="宋体" w:hint="eastAsia"/>
                <w:kern w:val="0"/>
                <w:sz w:val="20"/>
                <w:lang w:eastAsia="zh-Hans"/>
              </w:rPr>
              <w:t xml:space="preserve"> </w:t>
            </w:r>
          </w:p>
        </w:tc>
      </w:tr>
      <w:bookmarkEnd w:id="34"/>
      <w:bookmarkEnd w:id="33"/>
      <w:tr w:rsidR="006D61C1">
        <w:trPr>
          <w:divId w:val="139011005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D61C1" w:rsidRDefault="0002552E">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lang w:eastAsia="zh-Hans"/>
              </w:rPr>
              <w:t>170,957,665.45</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lang w:eastAsia="zh-Hans"/>
              </w:rPr>
              <w:t>182,969.66</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lang w:eastAsia="zh-Hans"/>
              </w:rPr>
              <w:t>23,731,568.44</w:t>
            </w:r>
            <w:r>
              <w:rPr>
                <w:rFonts w:hint="eastAsia"/>
              </w:rPr>
              <w:t>份</w:t>
            </w:r>
            <w:r>
              <w:rPr>
                <w:rFonts w:ascii="宋体" w:hAnsi="宋体" w:hint="eastAsia"/>
                <w:lang w:eastAsia="zh-Hans"/>
              </w:rPr>
              <w:t xml:space="preserve"> </w:t>
            </w:r>
          </w:p>
        </w:tc>
      </w:tr>
    </w:tbl>
    <w:p w:rsidR="006D61C1" w:rsidRDefault="0002552E">
      <w:pPr>
        <w:pStyle w:val="XBRLTitle1"/>
        <w:spacing w:before="156" w:line="360" w:lineRule="auto"/>
        <w:ind w:left="425"/>
      </w:pPr>
      <w:bookmarkStart w:id="35" w:name="_Toc17898180"/>
      <w:bookmarkStart w:id="36" w:name="_Toc17897938"/>
      <w:bookmarkStart w:id="37" w:name="_Toc512519482"/>
      <w:bookmarkStart w:id="38" w:name="_Toc481075049"/>
      <w:bookmarkStart w:id="39" w:name="_Toc438646455"/>
      <w:bookmarkStart w:id="40" w:name="_Toc490050003"/>
      <w:bookmarkStart w:id="41" w:name="_Toc513295848"/>
      <w:bookmarkStart w:id="42" w:name="_Toc513295894"/>
      <w:bookmarkStart w:id="43" w:name="m401_tab"/>
      <w:bookmarkStart w:id="44" w:name="m401"/>
      <w:proofErr w:type="spellStart"/>
      <w:r>
        <w:rPr>
          <w:rFonts w:hAnsi="宋体" w:hint="eastAsia"/>
        </w:rPr>
        <w:t>主要财务指标和基金净值表现</w:t>
      </w:r>
      <w:bookmarkEnd w:id="35"/>
      <w:bookmarkEnd w:id="36"/>
      <w:bookmarkEnd w:id="37"/>
      <w:bookmarkEnd w:id="38"/>
      <w:bookmarkEnd w:id="39"/>
      <w:bookmarkEnd w:id="40"/>
      <w:bookmarkEnd w:id="41"/>
      <w:bookmarkEnd w:id="42"/>
      <w:proofErr w:type="spellEnd"/>
      <w:r>
        <w:rPr>
          <w:rFonts w:hAnsi="宋体" w:hint="eastAsia"/>
        </w:rPr>
        <w:t xml:space="preserve"> </w:t>
      </w:r>
    </w:p>
    <w:p w:rsidR="006D61C1" w:rsidRDefault="0002552E">
      <w:pPr>
        <w:pStyle w:val="XBRLTitle2"/>
        <w:spacing w:before="156" w:line="360" w:lineRule="auto"/>
        <w:ind w:left="454"/>
      </w:pPr>
      <w:bookmarkStart w:id="45" w:name="_Toc17898181"/>
      <w:bookmarkStart w:id="46" w:name="_Toc17897939"/>
      <w:bookmarkStart w:id="47" w:name="_Toc512519483"/>
      <w:bookmarkStart w:id="48" w:name="_Toc481075050"/>
      <w:bookmarkStart w:id="49" w:name="_Toc438646456"/>
      <w:bookmarkStart w:id="50" w:name="_Toc490050004"/>
      <w:bookmarkStart w:id="51" w:name="_Toc513295849"/>
      <w:bookmarkStart w:id="52" w:name="_Toc513295895"/>
      <w:proofErr w:type="spellStart"/>
      <w:r>
        <w:rPr>
          <w:rFonts w:hAnsi="宋体" w:hint="eastAsia"/>
        </w:rPr>
        <w:t>主要财务指标</w:t>
      </w:r>
      <w:bookmarkEnd w:id="45"/>
      <w:bookmarkEnd w:id="46"/>
      <w:bookmarkEnd w:id="47"/>
      <w:bookmarkEnd w:id="48"/>
      <w:bookmarkEnd w:id="49"/>
      <w:bookmarkEnd w:id="50"/>
      <w:bookmarkEnd w:id="51"/>
      <w:bookmarkEnd w:id="52"/>
      <w:proofErr w:type="spellEnd"/>
      <w:r>
        <w:rPr>
          <w:rFonts w:hAnsi="宋体" w:hint="eastAsia"/>
        </w:rPr>
        <w:t xml:space="preserve"> </w:t>
      </w:r>
    </w:p>
    <w:p w:rsidR="006D61C1" w:rsidRDefault="0002552E">
      <w:pPr>
        <w:jc w:val="right"/>
        <w:divId w:val="1505124674"/>
      </w:pPr>
      <w:r>
        <w:rPr>
          <w:rFonts w:ascii="宋体" w:hAnsi="宋体" w:hint="eastAsia"/>
        </w:rPr>
        <w:lastRenderedPageBreak/>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2"/>
        <w:gridCol w:w="1971"/>
        <w:gridCol w:w="1971"/>
        <w:gridCol w:w="1971"/>
      </w:tblGrid>
      <w:tr w:rsidR="006D61C1">
        <w:trPr>
          <w:divId w:val="1505124674"/>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6D61C1" w:rsidRDefault="0002552E">
            <w:pPr>
              <w:pStyle w:val="a5"/>
            </w:pPr>
            <w:r>
              <w:rPr>
                <w:rFonts w:hint="eastAsia"/>
                <w:kern w:val="2"/>
                <w:sz w:val="21"/>
                <w:lang w:eastAsia="zh-Hans"/>
              </w:rPr>
              <w:t xml:space="preserve">主要财务指标 </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6D61C1" w:rsidRDefault="0002552E">
            <w:pPr>
              <w:pStyle w:val="a5"/>
              <w:jc w:val="center"/>
            </w:pPr>
            <w:r>
              <w:rPr>
                <w:rFonts w:hint="eastAsia"/>
                <w:kern w:val="2"/>
                <w:sz w:val="21"/>
                <w:szCs w:val="24"/>
                <w:lang w:eastAsia="zh-Hans"/>
              </w:rPr>
              <w:t xml:space="preserve">报告期（2025年1月1日-2025年3月31日） </w:t>
            </w:r>
          </w:p>
        </w:tc>
      </w:tr>
      <w:tr w:rsidR="006D61C1">
        <w:trPr>
          <w:divId w:val="1505124674"/>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1C1" w:rsidRDefault="006D61C1">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6D61C1" w:rsidRDefault="0002552E">
            <w:pPr>
              <w:jc w:val="center"/>
            </w:pPr>
            <w:r>
              <w:rPr>
                <w:rFonts w:ascii="宋体" w:hAnsi="宋体" w:hint="eastAsia"/>
                <w:szCs w:val="24"/>
                <w:lang w:eastAsia="zh-Hans"/>
              </w:rPr>
              <w:t>摩根行业轮动混合A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6D61C1" w:rsidRDefault="0002552E">
            <w:pPr>
              <w:jc w:val="center"/>
            </w:pPr>
            <w:r>
              <w:rPr>
                <w:rFonts w:ascii="宋体" w:hAnsi="宋体" w:hint="eastAsia"/>
                <w:szCs w:val="24"/>
                <w:lang w:eastAsia="zh-Hans"/>
              </w:rPr>
              <w:t>摩根行业轮动混合C</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6D61C1" w:rsidRDefault="0002552E">
            <w:pPr>
              <w:jc w:val="center"/>
            </w:pPr>
            <w:r>
              <w:rPr>
                <w:rFonts w:ascii="宋体" w:hAnsi="宋体" w:hint="eastAsia"/>
                <w:szCs w:val="24"/>
                <w:lang w:eastAsia="zh-Hans"/>
              </w:rPr>
              <w:t>摩根行业轮动混合H</w:t>
            </w:r>
          </w:p>
        </w:tc>
      </w:tr>
      <w:tr w:rsidR="006D61C1">
        <w:trPr>
          <w:divId w:val="150512467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D61C1" w:rsidRDefault="0002552E">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D61C1" w:rsidRDefault="0002552E">
            <w:pPr>
              <w:jc w:val="right"/>
            </w:pPr>
            <w:r>
              <w:rPr>
                <w:rFonts w:ascii="宋体" w:hAnsi="宋体" w:hint="eastAsia"/>
                <w:szCs w:val="24"/>
                <w:lang w:eastAsia="zh-Hans"/>
              </w:rPr>
              <w:t>4,474,726.78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D61C1" w:rsidRDefault="0002552E">
            <w:pPr>
              <w:jc w:val="right"/>
            </w:pPr>
            <w:r>
              <w:rPr>
                <w:rFonts w:ascii="宋体" w:hAnsi="宋体" w:hint="eastAsia"/>
                <w:szCs w:val="24"/>
                <w:lang w:eastAsia="zh-Hans"/>
              </w:rPr>
              <w:t>7,272.51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D61C1" w:rsidRDefault="0002552E">
            <w:pPr>
              <w:jc w:val="right"/>
            </w:pPr>
            <w:r>
              <w:rPr>
                <w:rFonts w:ascii="宋体" w:hAnsi="宋体" w:hint="eastAsia"/>
                <w:szCs w:val="24"/>
                <w:lang w:eastAsia="zh-Hans"/>
              </w:rPr>
              <w:t>616,459.87</w:t>
            </w:r>
          </w:p>
        </w:tc>
      </w:tr>
      <w:tr w:rsidR="006D61C1">
        <w:trPr>
          <w:divId w:val="150512467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D61C1" w:rsidRDefault="0002552E">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D61C1" w:rsidRDefault="0002552E">
            <w:pPr>
              <w:jc w:val="right"/>
            </w:pPr>
            <w:r>
              <w:rPr>
                <w:rFonts w:ascii="宋体" w:hAnsi="宋体" w:hint="eastAsia"/>
                <w:szCs w:val="24"/>
                <w:lang w:eastAsia="zh-Hans"/>
              </w:rPr>
              <w:t>10,950,288.72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D61C1" w:rsidRDefault="0002552E">
            <w:pPr>
              <w:jc w:val="right"/>
            </w:pPr>
            <w:r>
              <w:rPr>
                <w:rFonts w:ascii="宋体" w:hAnsi="宋体" w:hint="eastAsia"/>
                <w:szCs w:val="24"/>
                <w:lang w:eastAsia="zh-Hans"/>
              </w:rPr>
              <w:t>17,790.47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D61C1" w:rsidRDefault="0002552E">
            <w:pPr>
              <w:jc w:val="right"/>
            </w:pPr>
            <w:r>
              <w:rPr>
                <w:rFonts w:ascii="宋体" w:hAnsi="宋体" w:hint="eastAsia"/>
                <w:szCs w:val="24"/>
                <w:lang w:eastAsia="zh-Hans"/>
              </w:rPr>
              <w:t>1,423,829.79</w:t>
            </w:r>
          </w:p>
        </w:tc>
      </w:tr>
      <w:tr w:rsidR="006D61C1">
        <w:trPr>
          <w:divId w:val="150512467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D61C1" w:rsidRDefault="0002552E">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D61C1" w:rsidRDefault="0002552E">
            <w:pPr>
              <w:jc w:val="right"/>
            </w:pPr>
            <w:r>
              <w:rPr>
                <w:rFonts w:ascii="宋体" w:hAnsi="宋体" w:hint="eastAsia"/>
                <w:szCs w:val="24"/>
                <w:lang w:eastAsia="zh-Hans"/>
              </w:rPr>
              <w:t>0.0629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D61C1" w:rsidRDefault="0002552E">
            <w:pPr>
              <w:jc w:val="right"/>
            </w:pPr>
            <w:r>
              <w:rPr>
                <w:rFonts w:ascii="宋体" w:hAnsi="宋体" w:hint="eastAsia"/>
                <w:szCs w:val="24"/>
                <w:lang w:eastAsia="zh-Hans"/>
              </w:rPr>
              <w:t>0.0776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D61C1" w:rsidRDefault="0002552E">
            <w:pPr>
              <w:jc w:val="right"/>
            </w:pPr>
            <w:r>
              <w:rPr>
                <w:rFonts w:ascii="宋体" w:hAnsi="宋体" w:hint="eastAsia"/>
                <w:szCs w:val="24"/>
                <w:lang w:eastAsia="zh-Hans"/>
              </w:rPr>
              <w:t>0.0590</w:t>
            </w:r>
          </w:p>
        </w:tc>
      </w:tr>
      <w:tr w:rsidR="006D61C1">
        <w:trPr>
          <w:divId w:val="150512467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D61C1" w:rsidRDefault="0002552E">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D61C1" w:rsidRDefault="0002552E">
            <w:pPr>
              <w:jc w:val="right"/>
            </w:pPr>
            <w:r>
              <w:rPr>
                <w:rFonts w:ascii="宋体" w:hAnsi="宋体" w:hint="eastAsia"/>
                <w:szCs w:val="24"/>
                <w:lang w:eastAsia="zh-Hans"/>
              </w:rPr>
              <w:t>367,663,125.40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D61C1" w:rsidRDefault="0002552E">
            <w:pPr>
              <w:jc w:val="right"/>
            </w:pPr>
            <w:r>
              <w:rPr>
                <w:rFonts w:ascii="宋体" w:hAnsi="宋体" w:hint="eastAsia"/>
                <w:szCs w:val="24"/>
                <w:lang w:eastAsia="zh-Hans"/>
              </w:rPr>
              <w:t>414,013.71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D61C1" w:rsidRDefault="0002552E">
            <w:pPr>
              <w:jc w:val="right"/>
            </w:pPr>
            <w:r>
              <w:rPr>
                <w:rFonts w:ascii="宋体" w:hAnsi="宋体" w:hint="eastAsia"/>
                <w:szCs w:val="24"/>
                <w:lang w:eastAsia="zh-Hans"/>
              </w:rPr>
              <w:t>51,342,700.02</w:t>
            </w:r>
          </w:p>
        </w:tc>
      </w:tr>
      <w:tr w:rsidR="006D61C1">
        <w:trPr>
          <w:divId w:val="150512467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D61C1" w:rsidRDefault="0002552E">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D61C1" w:rsidRDefault="0002552E">
            <w:pPr>
              <w:jc w:val="right"/>
            </w:pPr>
            <w:r>
              <w:rPr>
                <w:rFonts w:ascii="宋体" w:hAnsi="宋体" w:hint="eastAsia"/>
                <w:szCs w:val="24"/>
                <w:lang w:eastAsia="zh-Hans"/>
              </w:rPr>
              <w:t>2.1506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D61C1" w:rsidRDefault="0002552E">
            <w:pPr>
              <w:jc w:val="right"/>
            </w:pPr>
            <w:r>
              <w:rPr>
                <w:rFonts w:ascii="宋体" w:hAnsi="宋体" w:hint="eastAsia"/>
                <w:szCs w:val="24"/>
                <w:lang w:eastAsia="zh-Hans"/>
              </w:rPr>
              <w:t>2.2627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D61C1" w:rsidRDefault="0002552E">
            <w:pPr>
              <w:jc w:val="right"/>
            </w:pPr>
            <w:r>
              <w:rPr>
                <w:rFonts w:ascii="宋体" w:hAnsi="宋体" w:hint="eastAsia"/>
                <w:szCs w:val="24"/>
                <w:lang w:eastAsia="zh-Hans"/>
              </w:rPr>
              <w:t>2.1635</w:t>
            </w:r>
          </w:p>
        </w:tc>
      </w:tr>
    </w:tbl>
    <w:p w:rsidR="006D61C1" w:rsidRDefault="0002552E">
      <w:pPr>
        <w:wordWrap w:val="0"/>
        <w:spacing w:line="360" w:lineRule="auto"/>
        <w:jc w:val="left"/>
        <w:divId w:val="1349018131"/>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6D61C1" w:rsidRDefault="0002552E">
      <w:pPr>
        <w:pStyle w:val="XBRLTitle2"/>
        <w:spacing w:before="156" w:line="360" w:lineRule="auto"/>
        <w:ind w:left="454"/>
      </w:pPr>
      <w:bookmarkStart w:id="53" w:name="_Toc17898182"/>
      <w:bookmarkStart w:id="54" w:name="_Toc17897940"/>
      <w:bookmarkStart w:id="55" w:name="_Toc512519484"/>
      <w:bookmarkStart w:id="56" w:name="_Toc481075051"/>
      <w:bookmarkStart w:id="57" w:name="_Toc438646457"/>
      <w:bookmarkStart w:id="58" w:name="_Toc490050005"/>
      <w:bookmarkStart w:id="59" w:name="_Toc513295850"/>
      <w:bookmarkStart w:id="60" w:name="_Toc513295896"/>
      <w:proofErr w:type="spellStart"/>
      <w:r>
        <w:rPr>
          <w:rFonts w:hAnsi="宋体" w:hint="eastAsia"/>
        </w:rPr>
        <w:t>基金净值表现</w:t>
      </w:r>
      <w:bookmarkEnd w:id="53"/>
      <w:bookmarkEnd w:id="54"/>
      <w:bookmarkEnd w:id="55"/>
      <w:bookmarkEnd w:id="56"/>
      <w:bookmarkEnd w:id="57"/>
      <w:bookmarkEnd w:id="58"/>
      <w:bookmarkEnd w:id="59"/>
      <w:bookmarkEnd w:id="60"/>
      <w:proofErr w:type="spellEnd"/>
      <w:r>
        <w:rPr>
          <w:rFonts w:hAnsi="宋体" w:hint="eastAsia"/>
        </w:rPr>
        <w:t xml:space="preserve"> </w:t>
      </w:r>
    </w:p>
    <w:p w:rsidR="006D61C1" w:rsidRDefault="0002552E">
      <w:pPr>
        <w:pStyle w:val="XBRLTitle3"/>
        <w:spacing w:before="156"/>
        <w:ind w:left="0"/>
      </w:pPr>
      <w:bookmarkStart w:id="61" w:name="_Toc17898183"/>
      <w:bookmarkStart w:id="62" w:name="_Toc512519485"/>
      <w:bookmarkStart w:id="63" w:name="_Toc481075052"/>
      <w:bookmarkStart w:id="64" w:name="_Toc490050006"/>
      <w:bookmarkStart w:id="65" w:name="_Toc513295897"/>
      <w:proofErr w:type="spellStart"/>
      <w:r>
        <w:rPr>
          <w:rFonts w:hint="eastAsia"/>
        </w:rPr>
        <w:t>基金份额净值增长率及其与同期业绩比较基准收益率的比较</w:t>
      </w:r>
      <w:bookmarkEnd w:id="61"/>
      <w:bookmarkEnd w:id="62"/>
      <w:bookmarkEnd w:id="63"/>
      <w:bookmarkEnd w:id="64"/>
      <w:bookmarkEnd w:id="65"/>
      <w:proofErr w:type="spellEnd"/>
      <w:r>
        <w:rPr>
          <w:rFonts w:hint="eastAsia"/>
          <w:lang w:eastAsia="zh-CN"/>
        </w:rPr>
        <w:t xml:space="preserve"> </w:t>
      </w:r>
    </w:p>
    <w:p w:rsidR="006D61C1" w:rsidRDefault="0002552E">
      <w:pPr>
        <w:spacing w:line="360" w:lineRule="auto"/>
        <w:jc w:val="center"/>
        <w:divId w:val="237987370"/>
      </w:pPr>
      <w:r>
        <w:rPr>
          <w:rFonts w:ascii="宋体" w:hAnsi="宋体" w:hint="eastAsia"/>
        </w:rPr>
        <w:t>摩根行业轮动混合A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6D61C1">
        <w:trPr>
          <w:divId w:val="23798737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D61C1" w:rsidRDefault="0002552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②－④ </w:t>
            </w:r>
          </w:p>
        </w:tc>
      </w:tr>
      <w:tr w:rsidR="006D61C1">
        <w:trPr>
          <w:divId w:val="23798737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2.98%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0.74% </w:t>
            </w:r>
          </w:p>
        </w:tc>
        <w:tc>
          <w:tcPr>
            <w:tcW w:w="728" w:type="pct"/>
            <w:tcBorders>
              <w:top w:val="single" w:sz="4" w:space="0" w:color="auto"/>
              <w:left w:val="single" w:sz="4" w:space="0" w:color="auto"/>
              <w:bottom w:val="single" w:sz="4" w:space="0" w:color="auto"/>
              <w:right w:val="single" w:sz="4" w:space="0" w:color="auto"/>
            </w:tcBorders>
            <w:vAlign w:val="center"/>
            <w:hideMark/>
          </w:tcPr>
          <w:p w:rsidR="006D61C1" w:rsidRDefault="0002552E">
            <w:pPr>
              <w:spacing w:line="360" w:lineRule="auto"/>
              <w:jc w:val="right"/>
            </w:pPr>
            <w:r>
              <w:rPr>
                <w:rFonts w:ascii="宋体" w:hAnsi="宋体" w:hint="eastAsia"/>
              </w:rPr>
              <w:t xml:space="preserve">3.92%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0.22% </w:t>
            </w:r>
          </w:p>
        </w:tc>
      </w:tr>
      <w:tr w:rsidR="006D61C1">
        <w:trPr>
          <w:divId w:val="23798737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0.69%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-2.05%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rsidR="006D61C1" w:rsidRDefault="0002552E">
            <w:pPr>
              <w:spacing w:line="360" w:lineRule="auto"/>
              <w:jc w:val="right"/>
            </w:pPr>
            <w:r>
              <w:rPr>
                <w:rFonts w:ascii="宋体" w:hAnsi="宋体" w:hint="eastAsia"/>
              </w:rPr>
              <w:t xml:space="preserve">2.74%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0.32% </w:t>
            </w:r>
          </w:p>
        </w:tc>
      </w:tr>
      <w:tr w:rsidR="006D61C1">
        <w:trPr>
          <w:divId w:val="23798737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-3.91%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9.13%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vAlign w:val="center"/>
            <w:hideMark/>
          </w:tcPr>
          <w:p w:rsidR="006D61C1" w:rsidRDefault="0002552E">
            <w:pPr>
              <w:spacing w:line="360" w:lineRule="auto"/>
              <w:jc w:val="right"/>
            </w:pPr>
            <w:r>
              <w:rPr>
                <w:rFonts w:ascii="宋体" w:hAnsi="宋体" w:hint="eastAsia"/>
              </w:rPr>
              <w:t xml:space="preserve">-13.04%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0.40% </w:t>
            </w:r>
          </w:p>
        </w:tc>
      </w:tr>
      <w:tr w:rsidR="006D61C1">
        <w:trPr>
          <w:divId w:val="23798737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-36.59%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1.38%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-3.30%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0.90% </w:t>
            </w:r>
          </w:p>
        </w:tc>
        <w:tc>
          <w:tcPr>
            <w:tcW w:w="728" w:type="pct"/>
            <w:tcBorders>
              <w:top w:val="single" w:sz="4" w:space="0" w:color="auto"/>
              <w:left w:val="single" w:sz="4" w:space="0" w:color="auto"/>
              <w:bottom w:val="single" w:sz="4" w:space="0" w:color="auto"/>
              <w:right w:val="single" w:sz="4" w:space="0" w:color="auto"/>
            </w:tcBorders>
            <w:vAlign w:val="center"/>
            <w:hideMark/>
          </w:tcPr>
          <w:p w:rsidR="006D61C1" w:rsidRDefault="0002552E">
            <w:pPr>
              <w:spacing w:line="360" w:lineRule="auto"/>
              <w:jc w:val="right"/>
            </w:pPr>
            <w:r>
              <w:rPr>
                <w:rFonts w:ascii="宋体" w:hAnsi="宋体" w:hint="eastAsia"/>
              </w:rPr>
              <w:t xml:space="preserve">-33.29%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0.48% </w:t>
            </w:r>
          </w:p>
        </w:tc>
      </w:tr>
      <w:tr w:rsidR="006D61C1">
        <w:trPr>
          <w:divId w:val="23798737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2.36%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8.95%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rsidR="006D61C1" w:rsidRDefault="0002552E">
            <w:pPr>
              <w:spacing w:line="360" w:lineRule="auto"/>
              <w:jc w:val="right"/>
            </w:pPr>
            <w:r>
              <w:rPr>
                <w:rFonts w:ascii="宋体" w:hAnsi="宋体" w:hint="eastAsia"/>
              </w:rPr>
              <w:t xml:space="preserve">-6.59%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0.66% </w:t>
            </w:r>
          </w:p>
        </w:tc>
      </w:tr>
      <w:tr w:rsidR="006D61C1">
        <w:trPr>
          <w:divId w:val="23798737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154.03%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1.65%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33.61%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rsidR="006D61C1" w:rsidRDefault="0002552E">
            <w:pPr>
              <w:spacing w:line="360" w:lineRule="auto"/>
              <w:jc w:val="right"/>
            </w:pPr>
            <w:r>
              <w:rPr>
                <w:rFonts w:ascii="宋体" w:hAnsi="宋体" w:hint="eastAsia"/>
              </w:rPr>
              <w:t xml:space="preserve">120.42%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0.55% </w:t>
            </w:r>
          </w:p>
        </w:tc>
      </w:tr>
    </w:tbl>
    <w:p w:rsidR="006D61C1" w:rsidRDefault="0002552E">
      <w:pPr>
        <w:spacing w:line="360" w:lineRule="auto"/>
        <w:jc w:val="center"/>
        <w:divId w:val="1350714766"/>
      </w:pPr>
      <w:r>
        <w:rPr>
          <w:rFonts w:ascii="宋体" w:hAnsi="宋体" w:hint="eastAsia"/>
        </w:rPr>
        <w:t>摩根行业轮动混合C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6D61C1">
        <w:trPr>
          <w:divId w:val="135071476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D61C1" w:rsidRDefault="0002552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②－④ </w:t>
            </w:r>
          </w:p>
        </w:tc>
      </w:tr>
      <w:tr w:rsidR="006D61C1">
        <w:trPr>
          <w:divId w:val="135071476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2.85%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0.74% </w:t>
            </w:r>
          </w:p>
        </w:tc>
        <w:tc>
          <w:tcPr>
            <w:tcW w:w="728" w:type="pct"/>
            <w:tcBorders>
              <w:top w:val="single" w:sz="4" w:space="0" w:color="auto"/>
              <w:left w:val="single" w:sz="4" w:space="0" w:color="auto"/>
              <w:bottom w:val="single" w:sz="4" w:space="0" w:color="auto"/>
              <w:right w:val="single" w:sz="4" w:space="0" w:color="auto"/>
            </w:tcBorders>
            <w:vAlign w:val="center"/>
            <w:hideMark/>
          </w:tcPr>
          <w:p w:rsidR="006D61C1" w:rsidRDefault="0002552E">
            <w:pPr>
              <w:spacing w:line="360" w:lineRule="auto"/>
              <w:jc w:val="right"/>
            </w:pPr>
            <w:r>
              <w:rPr>
                <w:rFonts w:ascii="宋体" w:hAnsi="宋体" w:hint="eastAsia"/>
              </w:rPr>
              <w:t xml:space="preserve">3.79%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0.22% </w:t>
            </w:r>
          </w:p>
        </w:tc>
      </w:tr>
      <w:tr w:rsidR="006D61C1">
        <w:trPr>
          <w:divId w:val="135071476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0.41%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-2.05%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rsidR="006D61C1" w:rsidRDefault="0002552E">
            <w:pPr>
              <w:spacing w:line="360" w:lineRule="auto"/>
              <w:jc w:val="right"/>
            </w:pPr>
            <w:r>
              <w:rPr>
                <w:rFonts w:ascii="宋体" w:hAnsi="宋体" w:hint="eastAsia"/>
              </w:rPr>
              <w:t xml:space="preserve">2.46%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0.32% </w:t>
            </w:r>
          </w:p>
        </w:tc>
      </w:tr>
      <w:tr w:rsidR="006D61C1">
        <w:trPr>
          <w:divId w:val="135071476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lastRenderedPageBreak/>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-4.34%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9.13%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vAlign w:val="center"/>
            <w:hideMark/>
          </w:tcPr>
          <w:p w:rsidR="006D61C1" w:rsidRDefault="0002552E">
            <w:pPr>
              <w:spacing w:line="360" w:lineRule="auto"/>
              <w:jc w:val="right"/>
            </w:pPr>
            <w:r>
              <w:rPr>
                <w:rFonts w:ascii="宋体" w:hAnsi="宋体" w:hint="eastAsia"/>
              </w:rPr>
              <w:t xml:space="preserve">-13.47%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0.40% </w:t>
            </w:r>
          </w:p>
        </w:tc>
      </w:tr>
      <w:tr w:rsidR="006D61C1">
        <w:trPr>
          <w:divId w:val="135071476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-33.25%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-3.30%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0.90% </w:t>
            </w:r>
          </w:p>
        </w:tc>
        <w:tc>
          <w:tcPr>
            <w:tcW w:w="728" w:type="pct"/>
            <w:tcBorders>
              <w:top w:val="single" w:sz="4" w:space="0" w:color="auto"/>
              <w:left w:val="single" w:sz="4" w:space="0" w:color="auto"/>
              <w:bottom w:val="single" w:sz="4" w:space="0" w:color="auto"/>
              <w:right w:val="single" w:sz="4" w:space="0" w:color="auto"/>
            </w:tcBorders>
            <w:vAlign w:val="center"/>
            <w:hideMark/>
          </w:tcPr>
          <w:p w:rsidR="006D61C1" w:rsidRDefault="0002552E">
            <w:pPr>
              <w:spacing w:line="360" w:lineRule="auto"/>
              <w:jc w:val="right"/>
            </w:pPr>
            <w:r>
              <w:rPr>
                <w:rFonts w:ascii="宋体" w:hAnsi="宋体" w:hint="eastAsia"/>
              </w:rPr>
              <w:t xml:space="preserve">-29.95%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0.52% </w:t>
            </w:r>
          </w:p>
        </w:tc>
      </w:tr>
      <w:tr w:rsidR="006D61C1">
        <w:trPr>
          <w:divId w:val="135071476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-45.83%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-13.50%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0.93% </w:t>
            </w:r>
          </w:p>
        </w:tc>
        <w:tc>
          <w:tcPr>
            <w:tcW w:w="728" w:type="pct"/>
            <w:tcBorders>
              <w:top w:val="single" w:sz="4" w:space="0" w:color="auto"/>
              <w:left w:val="single" w:sz="4" w:space="0" w:color="auto"/>
              <w:bottom w:val="single" w:sz="4" w:space="0" w:color="auto"/>
              <w:right w:val="single" w:sz="4" w:space="0" w:color="auto"/>
            </w:tcBorders>
            <w:vAlign w:val="center"/>
            <w:hideMark/>
          </w:tcPr>
          <w:p w:rsidR="006D61C1" w:rsidRDefault="0002552E">
            <w:pPr>
              <w:spacing w:line="360" w:lineRule="auto"/>
              <w:jc w:val="right"/>
            </w:pPr>
            <w:r>
              <w:rPr>
                <w:rFonts w:ascii="宋体" w:hAnsi="宋体" w:hint="eastAsia"/>
              </w:rPr>
              <w:t xml:space="preserve">-32.33%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0.51% </w:t>
            </w:r>
          </w:p>
        </w:tc>
      </w:tr>
    </w:tbl>
    <w:p w:rsidR="006D61C1" w:rsidRDefault="0002552E">
      <w:pPr>
        <w:spacing w:line="360" w:lineRule="auto"/>
        <w:jc w:val="center"/>
        <w:divId w:val="629211751"/>
      </w:pPr>
      <w:r>
        <w:rPr>
          <w:rFonts w:ascii="宋体" w:hAnsi="宋体" w:hint="eastAsia"/>
        </w:rPr>
        <w:t>摩根行业轮动混合H</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6D61C1">
        <w:trPr>
          <w:divId w:val="62921175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D61C1" w:rsidRDefault="0002552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②－④ </w:t>
            </w:r>
          </w:p>
        </w:tc>
      </w:tr>
      <w:tr w:rsidR="006D61C1">
        <w:trPr>
          <w:divId w:val="62921175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2.99%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0.74% </w:t>
            </w:r>
          </w:p>
        </w:tc>
        <w:tc>
          <w:tcPr>
            <w:tcW w:w="728" w:type="pct"/>
            <w:tcBorders>
              <w:top w:val="single" w:sz="4" w:space="0" w:color="auto"/>
              <w:left w:val="single" w:sz="4" w:space="0" w:color="auto"/>
              <w:bottom w:val="single" w:sz="4" w:space="0" w:color="auto"/>
              <w:right w:val="single" w:sz="4" w:space="0" w:color="auto"/>
            </w:tcBorders>
            <w:vAlign w:val="center"/>
            <w:hideMark/>
          </w:tcPr>
          <w:p w:rsidR="006D61C1" w:rsidRDefault="0002552E">
            <w:pPr>
              <w:spacing w:line="360" w:lineRule="auto"/>
              <w:jc w:val="right"/>
            </w:pPr>
            <w:r>
              <w:rPr>
                <w:rFonts w:ascii="宋体" w:hAnsi="宋体" w:hint="eastAsia"/>
              </w:rPr>
              <w:t xml:space="preserve">3.93%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0.22% </w:t>
            </w:r>
          </w:p>
        </w:tc>
      </w:tr>
      <w:tr w:rsidR="006D61C1">
        <w:trPr>
          <w:divId w:val="62921175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0.71%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-2.05%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rsidR="006D61C1" w:rsidRDefault="0002552E">
            <w:pPr>
              <w:spacing w:line="360" w:lineRule="auto"/>
              <w:jc w:val="right"/>
            </w:pPr>
            <w:r>
              <w:rPr>
                <w:rFonts w:ascii="宋体" w:hAnsi="宋体" w:hint="eastAsia"/>
              </w:rPr>
              <w:t xml:space="preserve">2.76%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0.32% </w:t>
            </w:r>
          </w:p>
        </w:tc>
      </w:tr>
      <w:tr w:rsidR="006D61C1">
        <w:trPr>
          <w:divId w:val="62921175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-3.90%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9.13%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vAlign w:val="center"/>
            <w:hideMark/>
          </w:tcPr>
          <w:p w:rsidR="006D61C1" w:rsidRDefault="0002552E">
            <w:pPr>
              <w:spacing w:line="360" w:lineRule="auto"/>
              <w:jc w:val="right"/>
            </w:pPr>
            <w:r>
              <w:rPr>
                <w:rFonts w:ascii="宋体" w:hAnsi="宋体" w:hint="eastAsia"/>
              </w:rPr>
              <w:t xml:space="preserve">-13.03%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0.40% </w:t>
            </w:r>
          </w:p>
        </w:tc>
      </w:tr>
      <w:tr w:rsidR="006D61C1">
        <w:trPr>
          <w:divId w:val="62921175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-36.56%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1.38%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-3.30%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0.90% </w:t>
            </w:r>
          </w:p>
        </w:tc>
        <w:tc>
          <w:tcPr>
            <w:tcW w:w="728" w:type="pct"/>
            <w:tcBorders>
              <w:top w:val="single" w:sz="4" w:space="0" w:color="auto"/>
              <w:left w:val="single" w:sz="4" w:space="0" w:color="auto"/>
              <w:bottom w:val="single" w:sz="4" w:space="0" w:color="auto"/>
              <w:right w:val="single" w:sz="4" w:space="0" w:color="auto"/>
            </w:tcBorders>
            <w:vAlign w:val="center"/>
            <w:hideMark/>
          </w:tcPr>
          <w:p w:rsidR="006D61C1" w:rsidRDefault="0002552E">
            <w:pPr>
              <w:spacing w:line="360" w:lineRule="auto"/>
              <w:jc w:val="right"/>
            </w:pPr>
            <w:r>
              <w:rPr>
                <w:rFonts w:ascii="宋体" w:hAnsi="宋体" w:hint="eastAsia"/>
              </w:rPr>
              <w:t xml:space="preserve">-33.26%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0.48% </w:t>
            </w:r>
          </w:p>
        </w:tc>
      </w:tr>
      <w:tr w:rsidR="006D61C1">
        <w:trPr>
          <w:divId w:val="62921175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2.39%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8.95%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rsidR="006D61C1" w:rsidRDefault="0002552E">
            <w:pPr>
              <w:spacing w:line="360" w:lineRule="auto"/>
              <w:jc w:val="right"/>
            </w:pPr>
            <w:r>
              <w:rPr>
                <w:rFonts w:ascii="宋体" w:hAnsi="宋体" w:hint="eastAsia"/>
              </w:rPr>
              <w:t xml:space="preserve">-6.56%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0.66% </w:t>
            </w:r>
          </w:p>
        </w:tc>
      </w:tr>
      <w:tr w:rsidR="006D61C1">
        <w:trPr>
          <w:divId w:val="62921175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44.71%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1.61%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28.10%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rsidR="006D61C1" w:rsidRDefault="0002552E">
            <w:pPr>
              <w:spacing w:line="360" w:lineRule="auto"/>
              <w:jc w:val="right"/>
            </w:pPr>
            <w:r>
              <w:rPr>
                <w:rFonts w:ascii="宋体" w:hAnsi="宋体" w:hint="eastAsia"/>
              </w:rPr>
              <w:t xml:space="preserve">16.61%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 xml:space="preserve">0.67% </w:t>
            </w:r>
          </w:p>
        </w:tc>
      </w:tr>
    </w:tbl>
    <w:p w:rsidR="006D61C1" w:rsidRDefault="0002552E">
      <w:pPr>
        <w:pStyle w:val="XBRLTitle3"/>
        <w:spacing w:before="156"/>
        <w:ind w:left="0"/>
      </w:pPr>
      <w:bookmarkStart w:id="66" w:name="_Toc17898184"/>
      <w:bookmarkStart w:id="67" w:name="_Toc512519486"/>
      <w:bookmarkStart w:id="68" w:name="_Toc481075053"/>
      <w:bookmarkStart w:id="69" w:name="_Toc490050007"/>
      <w:bookmarkStart w:id="70" w:name="_Toc513295898"/>
      <w:proofErr w:type="spellStart"/>
      <w:r>
        <w:rPr>
          <w:rFonts w:hint="eastAsia"/>
        </w:rPr>
        <w:t>自基金合同生效以来基金累计净值增长率变动及其与同期业绩比较基准收益率变动的比较</w:t>
      </w:r>
      <w:bookmarkEnd w:id="66"/>
      <w:bookmarkEnd w:id="67"/>
      <w:bookmarkEnd w:id="68"/>
      <w:bookmarkEnd w:id="69"/>
      <w:bookmarkEnd w:id="70"/>
      <w:proofErr w:type="spellEnd"/>
    </w:p>
    <w:p w:rsidR="006D61C1" w:rsidRDefault="0002552E">
      <w:pPr>
        <w:spacing w:line="360" w:lineRule="auto"/>
        <w:jc w:val="left"/>
        <w:divId w:val="705175435"/>
      </w:pPr>
      <w:bookmarkStart w:id="71" w:name="m07_04_07_09"/>
      <w:bookmarkStart w:id="72" w:name="m07_04_07_09_tab"/>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6D61C1" w:rsidRDefault="0002552E">
      <w:pPr>
        <w:spacing w:line="360" w:lineRule="auto"/>
        <w:jc w:val="left"/>
        <w:divId w:val="928276092"/>
      </w:pPr>
      <w:r>
        <w:rPr>
          <w:rFonts w:ascii="宋体" w:hAnsi="宋体"/>
          <w:noProof/>
        </w:rPr>
        <w:lastRenderedPageBreak/>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6D61C1" w:rsidRDefault="0002552E">
      <w:pPr>
        <w:spacing w:line="360" w:lineRule="auto"/>
        <w:jc w:val="left"/>
        <w:divId w:val="1765345640"/>
      </w:pPr>
      <w:r>
        <w:rPr>
          <w:rFonts w:ascii="宋体" w:hAnsi="宋体"/>
          <w:noProof/>
        </w:rPr>
        <w:drawing>
          <wp:inline distT="0" distB="0" distL="0" distR="0">
            <wp:extent cx="5229225" cy="30099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6D61C1" w:rsidRDefault="0002552E">
      <w:pPr>
        <w:spacing w:line="360" w:lineRule="auto"/>
      </w:pPr>
      <w:r>
        <w:rPr>
          <w:rFonts w:ascii="宋体" w:hAnsi="宋体" w:hint="eastAsia"/>
        </w:rPr>
        <w:t>注：</w:t>
      </w:r>
      <w:r>
        <w:rPr>
          <w:rFonts w:ascii="宋体" w:hAnsi="宋体" w:hint="eastAsia"/>
          <w:lang w:eastAsia="zh-Hans"/>
        </w:rPr>
        <w:t>本基金合同生效日为2010年1月28日，图示的时间段为合同生效日至本报告期末。</w:t>
      </w:r>
      <w:r>
        <w:rPr>
          <w:rFonts w:ascii="宋体" w:hAnsi="宋体" w:hint="eastAsia"/>
          <w:lang w:eastAsia="zh-Hans"/>
        </w:rPr>
        <w:br/>
        <w:t xml:space="preserve">　　本基金H类份额生效日为2016年1月26日，图示的时间段为本类份额生效日至本报告期末。</w:t>
      </w:r>
      <w:r>
        <w:rPr>
          <w:rFonts w:ascii="宋体" w:hAnsi="宋体" w:hint="eastAsia"/>
          <w:lang w:eastAsia="zh-Hans"/>
        </w:rPr>
        <w:br/>
        <w:t xml:space="preserve">　　本基金自 2021年12月24日起增加C类份额，相关数据按实际存续期计算。</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p>
    <w:p w:rsidR="006D61C1" w:rsidRDefault="0002552E">
      <w:pPr>
        <w:pStyle w:val="XBRLTitle1"/>
        <w:spacing w:before="156" w:line="360" w:lineRule="auto"/>
        <w:ind w:left="425"/>
      </w:pPr>
      <w:bookmarkStart w:id="73" w:name="_Toc17898186"/>
      <w:bookmarkStart w:id="74" w:name="_Toc17897942"/>
      <w:bookmarkStart w:id="75" w:name="_Toc481075054"/>
      <w:bookmarkStart w:id="76" w:name="_Toc438646458"/>
      <w:bookmarkStart w:id="77" w:name="_Toc490050008"/>
      <w:bookmarkStart w:id="78" w:name="_Toc512519487"/>
      <w:bookmarkStart w:id="79" w:name="_Toc513295851"/>
      <w:bookmarkStart w:id="80" w:name="_Toc513295899"/>
      <w:proofErr w:type="spellStart"/>
      <w:r>
        <w:rPr>
          <w:rFonts w:hAnsi="宋体" w:hint="eastAsia"/>
        </w:rPr>
        <w:t>管理人报告</w:t>
      </w:r>
      <w:bookmarkEnd w:id="73"/>
      <w:bookmarkEnd w:id="74"/>
      <w:bookmarkEnd w:id="75"/>
      <w:bookmarkEnd w:id="76"/>
      <w:bookmarkEnd w:id="77"/>
      <w:bookmarkEnd w:id="78"/>
      <w:bookmarkEnd w:id="79"/>
      <w:bookmarkEnd w:id="80"/>
      <w:proofErr w:type="spellEnd"/>
      <w:r>
        <w:rPr>
          <w:rFonts w:hAnsi="宋体" w:hint="eastAsia"/>
        </w:rPr>
        <w:t xml:space="preserve"> </w:t>
      </w:r>
    </w:p>
    <w:p w:rsidR="006D61C1" w:rsidRDefault="0002552E">
      <w:pPr>
        <w:pStyle w:val="XBRLTitle2"/>
        <w:spacing w:before="156" w:line="360" w:lineRule="auto"/>
        <w:ind w:left="454"/>
      </w:pPr>
      <w:bookmarkStart w:id="81" w:name="_Toc17898187"/>
      <w:bookmarkStart w:id="82" w:name="_Toc17897943"/>
      <w:bookmarkStart w:id="83" w:name="_Toc513295852"/>
      <w:bookmarkStart w:id="84" w:name="_Toc513295900"/>
      <w:bookmarkStart w:id="85" w:name="_Toc512519488"/>
      <w:bookmarkStart w:id="86" w:name="_Toc490050009"/>
      <w:bookmarkStart w:id="87" w:name="_Toc438646459"/>
      <w:bookmarkStart w:id="88" w:name="_Toc481075055"/>
      <w:proofErr w:type="spellStart"/>
      <w:r>
        <w:rPr>
          <w:rFonts w:hAnsi="宋体" w:hint="eastAsia"/>
        </w:rPr>
        <w:t>基金经理（或基金经理小组）简介</w:t>
      </w:r>
      <w:bookmarkEnd w:id="81"/>
      <w:bookmarkEnd w:id="82"/>
      <w:bookmarkEnd w:id="83"/>
      <w:bookmarkEnd w:id="84"/>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6D61C1">
        <w:trPr>
          <w:divId w:val="1466388895"/>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D61C1" w:rsidRDefault="0002552E">
            <w:pPr>
              <w:snapToGrid w:val="0"/>
              <w:jc w:val="center"/>
            </w:pPr>
            <w:bookmarkStart w:id="89" w:name="m04_02"/>
            <w:bookmarkEnd w:id="89"/>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D61C1" w:rsidRDefault="0002552E">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D61C1" w:rsidRDefault="0002552E">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D61C1" w:rsidRDefault="0002552E">
            <w:pPr>
              <w:snapToGrid w:val="0"/>
              <w:jc w:val="center"/>
            </w:pPr>
            <w:r>
              <w:rPr>
                <w:rFonts w:ascii="宋体" w:hAnsi="宋体" w:hint="eastAsia"/>
                <w:szCs w:val="24"/>
              </w:rPr>
              <w:t>证券从业</w:t>
            </w:r>
            <w:r>
              <w:rPr>
                <w:rFonts w:ascii="宋体" w:hAnsi="宋体" w:hint="eastAsia"/>
                <w:szCs w:val="24"/>
              </w:rPr>
              <w:lastRenderedPageBreak/>
              <w:t>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D61C1" w:rsidRDefault="0002552E">
            <w:pPr>
              <w:snapToGrid w:val="0"/>
              <w:ind w:firstLineChars="100" w:firstLine="210"/>
              <w:jc w:val="center"/>
            </w:pPr>
            <w:r>
              <w:rPr>
                <w:rFonts w:ascii="宋体" w:hAnsi="宋体" w:hint="eastAsia"/>
                <w:szCs w:val="24"/>
              </w:rPr>
              <w:lastRenderedPageBreak/>
              <w:t>说明</w:t>
            </w:r>
            <w:r>
              <w:rPr>
                <w:rFonts w:ascii="宋体" w:hAnsi="宋体" w:hint="eastAsia"/>
                <w:szCs w:val="24"/>
                <w:lang w:eastAsia="zh-Hans"/>
              </w:rPr>
              <w:t xml:space="preserve"> </w:t>
            </w:r>
          </w:p>
        </w:tc>
      </w:tr>
      <w:tr w:rsidR="006D61C1">
        <w:trPr>
          <w:divId w:val="1466388895"/>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1C1" w:rsidRDefault="006D61C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1C1" w:rsidRDefault="006D61C1">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D61C1" w:rsidRDefault="0002552E">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D61C1" w:rsidRDefault="0002552E">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1C1" w:rsidRDefault="006D61C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1C1" w:rsidRDefault="006D61C1">
            <w:pPr>
              <w:widowControl/>
              <w:jc w:val="left"/>
            </w:pPr>
          </w:p>
        </w:tc>
      </w:tr>
      <w:tr w:rsidR="006D61C1">
        <w:trPr>
          <w:divId w:val="1466388895"/>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梁鹏</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2024年2月8日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13年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left"/>
            </w:pPr>
            <w:r>
              <w:rPr>
                <w:rFonts w:ascii="宋体" w:hAnsi="宋体" w:hint="eastAsia"/>
                <w:szCs w:val="24"/>
                <w:lang w:eastAsia="zh-Hans"/>
              </w:rPr>
              <w:t>梁鹏先生曾任上海申银万国证券研究所行业分析师，新活力资本投资公司投资副总监，太平基金管理有限公司基金经理；自2023年7月起加入摩根基金管理(中国)有限公司(原上投摩根基金管理有限公司)，现任国内权益投资部高级基金经理。</w:t>
            </w:r>
          </w:p>
        </w:tc>
      </w:tr>
    </w:tbl>
    <w:p w:rsidR="006D61C1" w:rsidRDefault="0002552E">
      <w:pPr>
        <w:wordWrap w:val="0"/>
        <w:spacing w:line="360" w:lineRule="auto"/>
        <w:jc w:val="left"/>
        <w:divId w:val="1742022404"/>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6D61C1" w:rsidRDefault="0002552E">
      <w:pPr>
        <w:pStyle w:val="XBRLTitle3"/>
        <w:spacing w:before="156"/>
        <w:ind w:left="0"/>
        <w:divId w:val="1331372807"/>
      </w:pPr>
      <w:bookmarkStart w:id="90" w:name="_Toc5134656621"/>
      <w:proofErr w:type="spellStart"/>
      <w:r>
        <w:rPr>
          <w:rFonts w:hAnsi="宋体" w:hint="eastAsia"/>
        </w:rPr>
        <w:t>期末兼任私募资产管理计划投资经理的基金经理同时管理的产品情况</w:t>
      </w:r>
      <w:bookmarkEnd w:id="85"/>
      <w:bookmarkEnd w:id="86"/>
      <w:bookmarkEnd w:id="87"/>
      <w:bookmarkEnd w:id="88"/>
      <w:bookmarkEnd w:id="90"/>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6D61C1">
        <w:trPr>
          <w:divId w:val="795178415"/>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6D61C1" w:rsidRDefault="0002552E">
            <w:pPr>
              <w:snapToGrid w:val="0"/>
              <w:jc w:val="center"/>
            </w:pPr>
            <w:bookmarkStart w:id="91"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6D61C1" w:rsidRDefault="0002552E">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6D61C1" w:rsidRDefault="0002552E">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6D61C1" w:rsidRDefault="0002552E">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6D61C1" w:rsidRDefault="0002552E">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6D61C1">
        <w:trPr>
          <w:divId w:val="795178415"/>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D61C1" w:rsidRDefault="0002552E">
            <w:pPr>
              <w:jc w:val="center"/>
            </w:pPr>
            <w:r>
              <w:rPr>
                <w:rFonts w:ascii="宋体" w:hAnsi="宋体" w:hint="eastAsia"/>
                <w:szCs w:val="24"/>
              </w:rPr>
              <w:t>梁鹏</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D61C1" w:rsidRDefault="0002552E">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D61C1" w:rsidRDefault="0002552E">
            <w:pPr>
              <w:jc w:val="right"/>
            </w:pPr>
            <w:r>
              <w:rPr>
                <w:rFonts w:ascii="宋体" w:hAnsi="宋体" w:hint="eastAsia"/>
                <w:szCs w:val="24"/>
              </w:rPr>
              <w:t>3</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D61C1" w:rsidRDefault="0002552E">
            <w:pPr>
              <w:jc w:val="right"/>
            </w:pPr>
            <w:r>
              <w:rPr>
                <w:rFonts w:ascii="宋体" w:hAnsi="宋体" w:hint="eastAsia"/>
                <w:szCs w:val="24"/>
              </w:rPr>
              <w:t>1,232,249,185.51</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D61C1" w:rsidRDefault="0002552E">
            <w:pPr>
              <w:jc w:val="center"/>
            </w:pPr>
            <w:r>
              <w:rPr>
                <w:rFonts w:ascii="宋体" w:hAnsi="宋体" w:hint="eastAsia"/>
                <w:szCs w:val="24"/>
              </w:rPr>
              <w:t>2017-12-01</w:t>
            </w:r>
          </w:p>
        </w:tc>
      </w:tr>
      <w:tr w:rsidR="006D61C1">
        <w:trPr>
          <w:divId w:val="795178415"/>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6D61C1" w:rsidRDefault="006D61C1">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D61C1" w:rsidRDefault="0002552E">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D61C1" w:rsidRDefault="0002552E">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D61C1" w:rsidRDefault="0002552E">
            <w:pPr>
              <w:jc w:val="right"/>
            </w:pPr>
            <w:r>
              <w:rPr>
                <w:rFonts w:ascii="宋体" w:hAnsi="宋体" w:hint="eastAsia"/>
                <w:szCs w:val="24"/>
              </w:rPr>
              <w:t>62,683,187.02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D61C1" w:rsidRDefault="0002552E">
            <w:pPr>
              <w:jc w:val="center"/>
            </w:pPr>
            <w:r>
              <w:rPr>
                <w:rFonts w:ascii="宋体" w:hAnsi="宋体" w:hint="eastAsia"/>
                <w:szCs w:val="24"/>
              </w:rPr>
              <w:t>2024-07-04</w:t>
            </w:r>
          </w:p>
        </w:tc>
      </w:tr>
      <w:tr w:rsidR="006D61C1">
        <w:trPr>
          <w:divId w:val="795178415"/>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6D61C1" w:rsidRDefault="006D61C1">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D61C1" w:rsidRDefault="0002552E">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D61C1" w:rsidRDefault="0002552E">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D61C1" w:rsidRDefault="0002552E">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D61C1" w:rsidRDefault="0002552E">
            <w:pPr>
              <w:jc w:val="center"/>
            </w:pPr>
            <w:r>
              <w:rPr>
                <w:rFonts w:ascii="宋体" w:hAnsi="宋体" w:hint="eastAsia"/>
                <w:szCs w:val="24"/>
              </w:rPr>
              <w:t>-</w:t>
            </w:r>
          </w:p>
        </w:tc>
      </w:tr>
      <w:tr w:rsidR="006D61C1">
        <w:trPr>
          <w:divId w:val="795178415"/>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6D61C1" w:rsidRDefault="006D61C1">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D61C1" w:rsidRDefault="0002552E">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D61C1" w:rsidRDefault="0002552E">
            <w:pPr>
              <w:jc w:val="right"/>
            </w:pPr>
            <w:r>
              <w:rPr>
                <w:rFonts w:ascii="宋体" w:hAnsi="宋体" w:hint="eastAsia"/>
                <w:szCs w:val="24"/>
              </w:rPr>
              <w:t>4</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D61C1" w:rsidRDefault="0002552E">
            <w:pPr>
              <w:jc w:val="right"/>
            </w:pPr>
            <w:r>
              <w:rPr>
                <w:rFonts w:ascii="宋体" w:hAnsi="宋体" w:hint="eastAsia"/>
                <w:szCs w:val="24"/>
              </w:rPr>
              <w:t>1,294,932,372.53</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D61C1" w:rsidRDefault="0002552E">
            <w:pPr>
              <w:jc w:val="center"/>
            </w:pPr>
            <w:r>
              <w:rPr>
                <w:rFonts w:ascii="宋体" w:hAnsi="宋体" w:hint="eastAsia"/>
                <w:szCs w:val="24"/>
              </w:rPr>
              <w:t xml:space="preserve">- </w:t>
            </w:r>
          </w:p>
        </w:tc>
      </w:tr>
    </w:tbl>
    <w:p w:rsidR="006D61C1" w:rsidRDefault="0002552E">
      <w:pPr>
        <w:pStyle w:val="XBRLTitle2"/>
        <w:spacing w:before="156" w:line="360" w:lineRule="auto"/>
        <w:ind w:left="454"/>
      </w:pPr>
      <w:bookmarkStart w:id="92" w:name="_Toc17898188"/>
      <w:bookmarkStart w:id="93" w:name="_Toc17897944"/>
      <w:bookmarkStart w:id="94" w:name="_Toc481075056"/>
      <w:bookmarkStart w:id="95" w:name="_Toc438646460"/>
      <w:bookmarkStart w:id="96" w:name="_Toc490050010"/>
      <w:bookmarkStart w:id="97" w:name="_Toc512519489"/>
      <w:bookmarkStart w:id="98" w:name="_Toc513295853"/>
      <w:bookmarkStart w:id="99" w:name="_Toc513295901"/>
      <w:bookmarkStart w:id="100" w:name="m402"/>
      <w:bookmarkEnd w:id="91"/>
      <w:proofErr w:type="spellStart"/>
      <w:r>
        <w:rPr>
          <w:rFonts w:hAnsi="宋体" w:hint="eastAsia"/>
        </w:rPr>
        <w:t>管理人对报告期内本基金运作遵规守信情况的说明</w:t>
      </w:r>
      <w:bookmarkEnd w:id="92"/>
      <w:bookmarkEnd w:id="93"/>
      <w:bookmarkEnd w:id="94"/>
      <w:bookmarkEnd w:id="95"/>
      <w:bookmarkEnd w:id="96"/>
      <w:bookmarkEnd w:id="97"/>
      <w:bookmarkEnd w:id="98"/>
      <w:bookmarkEnd w:id="99"/>
      <w:proofErr w:type="spellEnd"/>
      <w:r>
        <w:rPr>
          <w:rFonts w:hAnsi="宋体" w:hint="eastAsia"/>
        </w:rPr>
        <w:t xml:space="preserve"> </w:t>
      </w:r>
    </w:p>
    <w:p w:rsidR="006D61C1" w:rsidRDefault="0002552E">
      <w:pPr>
        <w:spacing w:line="360" w:lineRule="auto"/>
        <w:ind w:firstLineChars="200" w:firstLine="420"/>
        <w:jc w:val="left"/>
      </w:pPr>
      <w:bookmarkStart w:id="101" w:name="m403"/>
      <w:bookmarkEnd w:id="100"/>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rsidR="006D61C1" w:rsidRDefault="0002552E">
      <w:pPr>
        <w:pStyle w:val="XBRLTitle2"/>
        <w:spacing w:before="156" w:line="360" w:lineRule="auto"/>
        <w:ind w:left="454"/>
      </w:pPr>
      <w:bookmarkStart w:id="102" w:name="_Toc17898189"/>
      <w:bookmarkStart w:id="103" w:name="_Toc17897945"/>
      <w:bookmarkStart w:id="104" w:name="_Toc481075057"/>
      <w:bookmarkStart w:id="105" w:name="_Toc438646462"/>
      <w:bookmarkStart w:id="106" w:name="_Toc490050011"/>
      <w:bookmarkStart w:id="107" w:name="_Toc512519490"/>
      <w:bookmarkStart w:id="108" w:name="_Toc513295854"/>
      <w:bookmarkStart w:id="109" w:name="_Toc513295902"/>
      <w:bookmarkEnd w:id="101"/>
      <w:proofErr w:type="spellStart"/>
      <w:r>
        <w:rPr>
          <w:rFonts w:hAnsi="宋体" w:hint="eastAsia"/>
        </w:rPr>
        <w:t>公平交易专项说明</w:t>
      </w:r>
      <w:bookmarkEnd w:id="102"/>
      <w:bookmarkEnd w:id="103"/>
      <w:bookmarkEnd w:id="104"/>
      <w:bookmarkEnd w:id="105"/>
      <w:bookmarkEnd w:id="106"/>
      <w:bookmarkEnd w:id="107"/>
      <w:bookmarkEnd w:id="108"/>
      <w:bookmarkEnd w:id="109"/>
      <w:proofErr w:type="spellEnd"/>
      <w:r>
        <w:rPr>
          <w:rFonts w:hAnsi="宋体" w:hint="eastAsia"/>
        </w:rPr>
        <w:t xml:space="preserve"> </w:t>
      </w:r>
    </w:p>
    <w:p w:rsidR="006D61C1" w:rsidRDefault="0002552E">
      <w:pPr>
        <w:pStyle w:val="XBRLTitle3"/>
        <w:spacing w:before="156"/>
        <w:ind w:left="0"/>
      </w:pPr>
      <w:bookmarkStart w:id="110" w:name="_Toc17898190"/>
      <w:bookmarkStart w:id="111" w:name="_Toc481075058"/>
      <w:bookmarkStart w:id="112" w:name="_Toc490050012"/>
      <w:bookmarkStart w:id="113" w:name="_Toc512519491"/>
      <w:bookmarkStart w:id="114" w:name="_Toc513295903"/>
      <w:bookmarkStart w:id="115" w:name="m404_01_0570"/>
      <w:proofErr w:type="spellStart"/>
      <w:r>
        <w:rPr>
          <w:rFonts w:hint="eastAsia"/>
        </w:rPr>
        <w:t>公平交易制度的执行情况</w:t>
      </w:r>
      <w:bookmarkEnd w:id="110"/>
      <w:bookmarkEnd w:id="111"/>
      <w:bookmarkEnd w:id="112"/>
      <w:bookmarkEnd w:id="113"/>
      <w:bookmarkEnd w:id="114"/>
      <w:proofErr w:type="spellEnd"/>
    </w:p>
    <w:p w:rsidR="006D61C1" w:rsidRDefault="0002552E">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w:t>
      </w:r>
      <w:r>
        <w:rPr>
          <w:rFonts w:ascii="宋体" w:hAnsi="宋体" w:cs="宋体" w:hint="eastAsia"/>
          <w:color w:val="000000"/>
          <w:kern w:val="0"/>
        </w:rPr>
        <w:lastRenderedPageBreak/>
        <w:t xml:space="preserve">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6D61C1" w:rsidRDefault="0002552E">
      <w:pPr>
        <w:pStyle w:val="XBRLTitle3"/>
        <w:spacing w:before="156"/>
        <w:ind w:left="0"/>
      </w:pPr>
      <w:bookmarkStart w:id="116" w:name="_Toc17898191"/>
      <w:bookmarkStart w:id="117" w:name="_Toc481075059"/>
      <w:bookmarkStart w:id="118" w:name="_Toc490050013"/>
      <w:bookmarkStart w:id="119" w:name="_Toc512519492"/>
      <w:bookmarkStart w:id="120" w:name="_Toc513295904"/>
      <w:bookmarkStart w:id="121" w:name="m404_01_0578"/>
      <w:bookmarkEnd w:id="115"/>
      <w:proofErr w:type="spellStart"/>
      <w:r>
        <w:rPr>
          <w:rFonts w:hint="eastAsia"/>
        </w:rPr>
        <w:t>异常交易行为的专项说明</w:t>
      </w:r>
      <w:bookmarkEnd w:id="116"/>
      <w:bookmarkEnd w:id="117"/>
      <w:bookmarkEnd w:id="118"/>
      <w:bookmarkEnd w:id="119"/>
      <w:bookmarkEnd w:id="120"/>
      <w:proofErr w:type="spellEnd"/>
    </w:p>
    <w:p w:rsidR="006D61C1" w:rsidRDefault="0002552E">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6D61C1" w:rsidRDefault="0002552E">
      <w:pPr>
        <w:pStyle w:val="XBRLTitle2"/>
        <w:spacing w:before="156" w:line="360" w:lineRule="auto"/>
        <w:ind w:left="454"/>
      </w:pPr>
      <w:bookmarkStart w:id="122" w:name="_Toc17898192"/>
      <w:bookmarkStart w:id="123" w:name="_Toc17897946"/>
      <w:bookmarkStart w:id="124" w:name="_Toc481075061"/>
      <w:bookmarkStart w:id="125" w:name="_Toc490050014"/>
      <w:bookmarkStart w:id="126" w:name="_Toc512519493"/>
      <w:bookmarkStart w:id="127" w:name="_Toc513295855"/>
      <w:bookmarkStart w:id="128" w:name="_Toc513295905"/>
      <w:bookmarkStart w:id="129" w:name="m405_01_2550"/>
      <w:bookmarkEnd w:id="121"/>
      <w:proofErr w:type="spellStart"/>
      <w:r>
        <w:rPr>
          <w:rFonts w:hAnsi="宋体" w:hint="eastAsia"/>
        </w:rPr>
        <w:t>报告期内基金的投资策略和运作分析</w:t>
      </w:r>
      <w:bookmarkEnd w:id="122"/>
      <w:bookmarkEnd w:id="123"/>
      <w:bookmarkEnd w:id="124"/>
      <w:bookmarkEnd w:id="125"/>
      <w:bookmarkEnd w:id="126"/>
      <w:bookmarkEnd w:id="127"/>
      <w:bookmarkEnd w:id="128"/>
      <w:proofErr w:type="spellEnd"/>
      <w:r>
        <w:rPr>
          <w:rFonts w:hAnsi="宋体" w:hint="eastAsia"/>
        </w:rPr>
        <w:t xml:space="preserve"> </w:t>
      </w:r>
    </w:p>
    <w:p w:rsidR="006D61C1" w:rsidRDefault="0002552E">
      <w:pPr>
        <w:spacing w:line="360" w:lineRule="auto"/>
        <w:ind w:firstLineChars="200" w:firstLine="420"/>
        <w:jc w:val="left"/>
      </w:pPr>
      <w:r>
        <w:rPr>
          <w:rFonts w:ascii="宋体" w:hAnsi="宋体" w:cs="宋体" w:hint="eastAsia"/>
          <w:color w:val="000000"/>
          <w:kern w:val="0"/>
        </w:rPr>
        <w:t>2025年一季度市场整体走势相对平稳，但结构性行情明显。以AI、机器人为代表的科技成长板块精彩纷呈。本基金未参与相关热点板块，并不是否认其为社会带来的创新和变革，而是仅基于行业前景的判断，无法帮助我们在现阶段选出最终的赢家，并据此给予价值判断，这超出了我们的能力范围。当然，另一方面而言，我们同时也避免了更多的可能的输家。对于长期投资而言，避免输家甚至比选对赢家对结果的影响更大。</w:t>
      </w:r>
      <w:r>
        <w:rPr>
          <w:rFonts w:ascii="宋体" w:hAnsi="宋体" w:cs="宋体" w:hint="eastAsia"/>
          <w:color w:val="000000"/>
          <w:kern w:val="0"/>
        </w:rPr>
        <w:br/>
        <w:t xml:space="preserve">　　本基金坚持将风险控制置于收益追求之上的基本原则，首先力求预防买错的风险和买贵的风险。在注重风险控制的同时，多维度进行研究分析比较，不偏离选择配置优良风险收益比资产的根本策略。基金保持了对化工、钢材料、工程机械、消费电子等行业的持仓。基于政策端将会在供给侧的改革和消化，以及促进内需和提</w:t>
      </w:r>
      <w:proofErr w:type="gramStart"/>
      <w:r>
        <w:rPr>
          <w:rFonts w:ascii="宋体" w:hAnsi="宋体" w:cs="宋体" w:hint="eastAsia"/>
          <w:color w:val="000000"/>
          <w:kern w:val="0"/>
        </w:rPr>
        <w:t>振消费</w:t>
      </w:r>
      <w:proofErr w:type="gramEnd"/>
      <w:r>
        <w:rPr>
          <w:rFonts w:ascii="宋体" w:hAnsi="宋体" w:cs="宋体" w:hint="eastAsia"/>
          <w:color w:val="000000"/>
          <w:kern w:val="0"/>
        </w:rPr>
        <w:t>等两个方向发力。综合考虑行业自身供需格局变化带来的价格韧性，以及行业历史估值水平等因素，组合标的具备较好的风险收益比，力争在风险可控的条件下，于中期维度争取实现一定程度的超额收益。</w:t>
      </w:r>
      <w:r>
        <w:rPr>
          <w:rFonts w:ascii="宋体" w:hAnsi="宋体" w:cs="宋体" w:hint="eastAsia"/>
          <w:color w:val="000000"/>
          <w:kern w:val="0"/>
        </w:rPr>
        <w:br/>
        <w:t xml:space="preserve">　　诚然我们清楚风险只有在成为事实时才会造成损失，投资人不会因为基金规避了风险而付费。但本基金仍力求坚守将风险控制置于收益追求之上的基本原则，宁愿承担由于保守策略带来的短期落后，也不想因为“跟风”而导致遭受无法挽回的大幅回撤和本金损失，期望通过合理的风险承担，争取获得基金资产长期稳健的增值回报。</w:t>
      </w:r>
    </w:p>
    <w:p w:rsidR="006D61C1" w:rsidRDefault="0002552E">
      <w:pPr>
        <w:pStyle w:val="XBRLTitle2"/>
        <w:spacing w:before="156" w:line="360" w:lineRule="auto"/>
        <w:ind w:left="454"/>
      </w:pPr>
      <w:bookmarkStart w:id="130" w:name="_Toc17898193"/>
      <w:bookmarkStart w:id="131" w:name="_Toc17897947"/>
      <w:bookmarkStart w:id="132" w:name="_Toc490050015"/>
      <w:bookmarkStart w:id="133" w:name="_Toc481075062"/>
      <w:bookmarkStart w:id="134" w:name="_Toc512519494"/>
      <w:bookmarkStart w:id="135" w:name="_Toc513295856"/>
      <w:bookmarkStart w:id="136" w:name="_Toc513295906"/>
      <w:bookmarkStart w:id="137" w:name="m405_01_2549"/>
      <w:bookmarkEnd w:id="129"/>
      <w:proofErr w:type="spellStart"/>
      <w:r>
        <w:rPr>
          <w:rFonts w:hAnsi="宋体" w:hint="eastAsia"/>
        </w:rPr>
        <w:t>报告期内基金的业绩表现</w:t>
      </w:r>
      <w:bookmarkEnd w:id="130"/>
      <w:bookmarkEnd w:id="131"/>
      <w:bookmarkEnd w:id="132"/>
      <w:bookmarkEnd w:id="133"/>
      <w:bookmarkEnd w:id="134"/>
      <w:bookmarkEnd w:id="135"/>
      <w:bookmarkEnd w:id="136"/>
      <w:proofErr w:type="spellEnd"/>
      <w:r>
        <w:rPr>
          <w:rFonts w:hAnsi="宋体" w:hint="eastAsia"/>
        </w:rPr>
        <w:t xml:space="preserve"> </w:t>
      </w:r>
      <w:bookmarkEnd w:id="137"/>
    </w:p>
    <w:p w:rsidR="006D61C1" w:rsidRDefault="0002552E">
      <w:pPr>
        <w:spacing w:line="360" w:lineRule="auto"/>
        <w:ind w:firstLineChars="200" w:firstLine="420"/>
      </w:pPr>
      <w:r>
        <w:rPr>
          <w:rFonts w:ascii="宋体" w:hAnsi="宋体" w:hint="eastAsia"/>
        </w:rPr>
        <w:t>本报告期摩根行业轮动混合A份额净值增长率为：2.98%，同期业绩比较基准收益率为：-0.94%；</w:t>
      </w:r>
      <w:r>
        <w:rPr>
          <w:rFonts w:ascii="宋体" w:hAnsi="宋体" w:hint="eastAsia"/>
        </w:rPr>
        <w:br/>
        <w:t xml:space="preserve">　　摩根行业轮动混合C份额净值增长率为：2.85%，同期业绩比较基准收益率为：-0.94%；</w:t>
      </w:r>
      <w:r>
        <w:rPr>
          <w:rFonts w:ascii="宋体" w:hAnsi="宋体" w:hint="eastAsia"/>
        </w:rPr>
        <w:br/>
      </w:r>
      <w:r>
        <w:rPr>
          <w:rFonts w:ascii="宋体" w:hAnsi="宋体" w:hint="eastAsia"/>
        </w:rPr>
        <w:lastRenderedPageBreak/>
        <w:t xml:space="preserve">　　摩根行业轮动混合H份额净值增长率为：2.99%，同期业绩比较基准收益率为：-0.94%。</w:t>
      </w:r>
    </w:p>
    <w:p w:rsidR="006D61C1" w:rsidRDefault="0002552E">
      <w:pPr>
        <w:pStyle w:val="XBRLTitle2"/>
        <w:spacing w:before="156" w:line="360" w:lineRule="auto"/>
        <w:ind w:left="454"/>
      </w:pPr>
      <w:bookmarkStart w:id="138" w:name="m406"/>
      <w:bookmarkStart w:id="139" w:name="_Toc17898194"/>
      <w:bookmarkStart w:id="140" w:name="_Toc17897948"/>
      <w:bookmarkStart w:id="141" w:name="_Toc490050016"/>
      <w:bookmarkStart w:id="142" w:name="_Toc481075063"/>
      <w:bookmarkStart w:id="143" w:name="_Toc438646465"/>
      <w:bookmarkStart w:id="144" w:name="_Toc512519495"/>
      <w:bookmarkStart w:id="145" w:name="_Toc513295857"/>
      <w:bookmarkStart w:id="146" w:name="_Toc513295907"/>
      <w:bookmarkStart w:id="147" w:name="m407"/>
      <w:bookmarkEnd w:id="138"/>
      <w:proofErr w:type="spellStart"/>
      <w:r>
        <w:rPr>
          <w:rFonts w:hAnsi="宋体" w:hint="eastAsia"/>
        </w:rPr>
        <w:t>报告期内基金持有人数或基金资产净值预警说明</w:t>
      </w:r>
      <w:bookmarkEnd w:id="139"/>
      <w:bookmarkEnd w:id="140"/>
      <w:bookmarkEnd w:id="141"/>
      <w:bookmarkEnd w:id="142"/>
      <w:bookmarkEnd w:id="143"/>
      <w:bookmarkEnd w:id="144"/>
      <w:bookmarkEnd w:id="145"/>
      <w:bookmarkEnd w:id="146"/>
      <w:proofErr w:type="spellEnd"/>
      <w:r>
        <w:rPr>
          <w:rFonts w:hAnsi="宋体" w:hint="eastAsia"/>
        </w:rPr>
        <w:t xml:space="preserve"> </w:t>
      </w:r>
    </w:p>
    <w:p w:rsidR="006D61C1" w:rsidRDefault="0002552E">
      <w:pPr>
        <w:spacing w:line="360" w:lineRule="auto"/>
        <w:ind w:firstLineChars="200" w:firstLine="420"/>
        <w:jc w:val="left"/>
      </w:pPr>
      <w:r>
        <w:rPr>
          <w:rFonts w:ascii="宋体" w:hAnsi="宋体" w:hint="eastAsia"/>
        </w:rPr>
        <w:t>无。</w:t>
      </w:r>
    </w:p>
    <w:p w:rsidR="006D61C1" w:rsidRDefault="0002552E">
      <w:pPr>
        <w:pStyle w:val="XBRLTitle1"/>
        <w:spacing w:before="156" w:line="360" w:lineRule="auto"/>
        <w:ind w:left="425"/>
      </w:pPr>
      <w:bookmarkStart w:id="148" w:name="_Toc17898195"/>
      <w:bookmarkStart w:id="149" w:name="_Toc17897949"/>
      <w:bookmarkStart w:id="150" w:name="_Toc512519496"/>
      <w:bookmarkStart w:id="151" w:name="_Toc481075064"/>
      <w:bookmarkStart w:id="152" w:name="_Toc438646466"/>
      <w:bookmarkStart w:id="153" w:name="_Toc490050017"/>
      <w:bookmarkStart w:id="154" w:name="_Toc513295858"/>
      <w:bookmarkStart w:id="155" w:name="_Toc513295908"/>
      <w:bookmarkEnd w:id="147"/>
      <w:proofErr w:type="spellStart"/>
      <w:r>
        <w:rPr>
          <w:rFonts w:hAnsi="宋体" w:hint="eastAsia"/>
        </w:rPr>
        <w:t>投资组合报告</w:t>
      </w:r>
      <w:bookmarkEnd w:id="148"/>
      <w:bookmarkEnd w:id="149"/>
      <w:bookmarkEnd w:id="150"/>
      <w:bookmarkEnd w:id="151"/>
      <w:bookmarkEnd w:id="152"/>
      <w:bookmarkEnd w:id="153"/>
      <w:bookmarkEnd w:id="154"/>
      <w:bookmarkEnd w:id="155"/>
      <w:proofErr w:type="spellEnd"/>
      <w:r>
        <w:rPr>
          <w:rFonts w:hAnsi="宋体" w:hint="eastAsia"/>
        </w:rPr>
        <w:t xml:space="preserve"> </w:t>
      </w:r>
    </w:p>
    <w:p w:rsidR="006D61C1" w:rsidRDefault="0002552E">
      <w:pPr>
        <w:pStyle w:val="XBRLTitle2"/>
        <w:spacing w:before="156" w:line="360" w:lineRule="auto"/>
        <w:ind w:left="454"/>
      </w:pPr>
      <w:bookmarkStart w:id="156" w:name="_Toc17898196"/>
      <w:bookmarkStart w:id="157" w:name="_Toc17897950"/>
      <w:bookmarkStart w:id="158" w:name="_Toc481075065"/>
      <w:bookmarkStart w:id="159" w:name="_Toc438646467"/>
      <w:bookmarkStart w:id="160" w:name="_Toc490050018"/>
      <w:bookmarkStart w:id="161" w:name="_Toc512519497"/>
      <w:bookmarkStart w:id="162" w:name="_Toc513295859"/>
      <w:bookmarkStart w:id="163" w:name="_Toc513295909"/>
      <w:bookmarkStart w:id="164" w:name="m501"/>
      <w:proofErr w:type="spellStart"/>
      <w:r>
        <w:rPr>
          <w:rFonts w:hAnsi="宋体" w:hint="eastAsia"/>
        </w:rPr>
        <w:t>报告期末基金资产组合情况</w:t>
      </w:r>
      <w:bookmarkEnd w:id="156"/>
      <w:bookmarkEnd w:id="157"/>
      <w:bookmarkEnd w:id="158"/>
      <w:bookmarkEnd w:id="159"/>
      <w:bookmarkEnd w:id="160"/>
      <w:bookmarkEnd w:id="161"/>
      <w:bookmarkEnd w:id="162"/>
      <w:bookmarkEnd w:id="163"/>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6D61C1">
        <w:trPr>
          <w:divId w:val="545340033"/>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61C1" w:rsidRDefault="0002552E">
            <w:pPr>
              <w:jc w:val="center"/>
            </w:pPr>
            <w:bookmarkStart w:id="165" w:name="m08QD_01_tab"/>
            <w:bookmarkEnd w:id="165"/>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6D61C1" w:rsidRDefault="0002552E">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6D61C1" w:rsidRDefault="0002552E">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6D61C1" w:rsidRDefault="0002552E">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6D61C1">
        <w:trPr>
          <w:divId w:val="545340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D61C1" w:rsidRDefault="0002552E">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6D61C1" w:rsidRDefault="0002552E">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358,923,040.60</w:t>
            </w:r>
          </w:p>
        </w:tc>
        <w:tc>
          <w:tcPr>
            <w:tcW w:w="1333"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85.32</w:t>
            </w:r>
          </w:p>
        </w:tc>
      </w:tr>
      <w:tr w:rsidR="006D61C1">
        <w:trPr>
          <w:divId w:val="545340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D61C1" w:rsidRDefault="0002552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6D61C1" w:rsidRDefault="0002552E">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358,923,040.60</w:t>
            </w:r>
          </w:p>
        </w:tc>
        <w:tc>
          <w:tcPr>
            <w:tcW w:w="1333"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85.32</w:t>
            </w:r>
          </w:p>
        </w:tc>
      </w:tr>
      <w:tr w:rsidR="006D61C1">
        <w:trPr>
          <w:divId w:val="545340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D61C1" w:rsidRDefault="0002552E">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6D61C1" w:rsidRDefault="0002552E">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w:t>
            </w:r>
          </w:p>
        </w:tc>
      </w:tr>
      <w:tr w:rsidR="006D61C1">
        <w:trPr>
          <w:divId w:val="545340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D61C1" w:rsidRDefault="0002552E">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6D61C1" w:rsidRDefault="0002552E">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w:t>
            </w:r>
          </w:p>
        </w:tc>
      </w:tr>
      <w:tr w:rsidR="006D61C1">
        <w:trPr>
          <w:divId w:val="545340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D61C1" w:rsidRDefault="0002552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6D61C1" w:rsidRDefault="0002552E">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w:t>
            </w:r>
          </w:p>
        </w:tc>
      </w:tr>
      <w:tr w:rsidR="006D61C1">
        <w:trPr>
          <w:divId w:val="545340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D61C1" w:rsidRDefault="0002552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6D61C1" w:rsidRDefault="0002552E">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w:t>
            </w:r>
          </w:p>
        </w:tc>
      </w:tr>
      <w:tr w:rsidR="006D61C1">
        <w:trPr>
          <w:divId w:val="545340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D61C1" w:rsidRDefault="0002552E">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6D61C1" w:rsidRDefault="0002552E">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w:t>
            </w:r>
          </w:p>
        </w:tc>
      </w:tr>
      <w:tr w:rsidR="006D61C1">
        <w:trPr>
          <w:divId w:val="545340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D61C1" w:rsidRDefault="0002552E">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6D61C1" w:rsidRDefault="0002552E">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w:t>
            </w:r>
          </w:p>
        </w:tc>
      </w:tr>
      <w:tr w:rsidR="006D61C1">
        <w:trPr>
          <w:divId w:val="545340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D61C1" w:rsidRDefault="0002552E">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6D61C1" w:rsidRDefault="0002552E">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w:t>
            </w:r>
          </w:p>
        </w:tc>
      </w:tr>
      <w:tr w:rsidR="006D61C1">
        <w:trPr>
          <w:divId w:val="545340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D61C1" w:rsidRDefault="0002552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6D61C1" w:rsidRDefault="0002552E">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w:t>
            </w:r>
          </w:p>
        </w:tc>
      </w:tr>
      <w:tr w:rsidR="006D61C1">
        <w:trPr>
          <w:divId w:val="545340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D61C1" w:rsidRDefault="0002552E">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6D61C1" w:rsidRDefault="0002552E">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52,872,519.81</w:t>
            </w:r>
          </w:p>
        </w:tc>
        <w:tc>
          <w:tcPr>
            <w:tcW w:w="1333"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12.57</w:t>
            </w:r>
          </w:p>
        </w:tc>
      </w:tr>
      <w:tr w:rsidR="006D61C1">
        <w:trPr>
          <w:divId w:val="545340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D61C1" w:rsidRDefault="0002552E">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6D61C1" w:rsidRDefault="0002552E">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8,890,571.96</w:t>
            </w:r>
          </w:p>
        </w:tc>
        <w:tc>
          <w:tcPr>
            <w:tcW w:w="1333"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2.11</w:t>
            </w:r>
          </w:p>
        </w:tc>
      </w:tr>
      <w:tr w:rsidR="006D61C1">
        <w:trPr>
          <w:divId w:val="545340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D61C1" w:rsidRDefault="0002552E">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6D61C1" w:rsidRDefault="0002552E">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420,686,132.37</w:t>
            </w:r>
          </w:p>
        </w:tc>
        <w:tc>
          <w:tcPr>
            <w:tcW w:w="1333" w:type="pct"/>
            <w:tcBorders>
              <w:top w:val="single" w:sz="4" w:space="0" w:color="auto"/>
              <w:left w:val="nil"/>
              <w:bottom w:val="single" w:sz="4" w:space="0" w:color="auto"/>
              <w:right w:val="single" w:sz="4" w:space="0" w:color="auto"/>
            </w:tcBorders>
            <w:vAlign w:val="center"/>
            <w:hideMark/>
          </w:tcPr>
          <w:p w:rsidR="006D61C1" w:rsidRDefault="0002552E">
            <w:pPr>
              <w:jc w:val="right"/>
            </w:pPr>
            <w:r>
              <w:rPr>
                <w:rFonts w:ascii="宋体" w:hAnsi="宋体" w:hint="eastAsia"/>
                <w:szCs w:val="24"/>
                <w:lang w:eastAsia="zh-Hans"/>
              </w:rPr>
              <w:t>100.00</w:t>
            </w:r>
          </w:p>
        </w:tc>
      </w:tr>
    </w:tbl>
    <w:p w:rsidR="006D61C1" w:rsidRDefault="0002552E">
      <w:pPr>
        <w:pStyle w:val="XBRLTitle2"/>
        <w:spacing w:before="156" w:line="360" w:lineRule="auto"/>
        <w:ind w:left="454"/>
      </w:pPr>
      <w:bookmarkStart w:id="166" w:name="_Toc17898197"/>
      <w:bookmarkStart w:id="167" w:name="_Toc17897951"/>
      <w:bookmarkStart w:id="168" w:name="_Toc512519498"/>
      <w:bookmarkStart w:id="169" w:name="_Toc481075066"/>
      <w:bookmarkStart w:id="170" w:name="_Toc438646468"/>
      <w:bookmarkStart w:id="171" w:name="_Toc490050019"/>
      <w:bookmarkStart w:id="172" w:name="_Toc513295860"/>
      <w:bookmarkStart w:id="173" w:name="_Toc513295910"/>
      <w:bookmarkEnd w:id="164"/>
      <w:proofErr w:type="spellStart"/>
      <w:r>
        <w:rPr>
          <w:rFonts w:hAnsi="宋体" w:hint="eastAsia"/>
        </w:rPr>
        <w:t>报告期末按行业分类的股票投资组合</w:t>
      </w:r>
      <w:bookmarkEnd w:id="166"/>
      <w:bookmarkEnd w:id="167"/>
      <w:bookmarkEnd w:id="168"/>
      <w:bookmarkEnd w:id="169"/>
      <w:bookmarkEnd w:id="170"/>
      <w:bookmarkEnd w:id="171"/>
      <w:bookmarkEnd w:id="172"/>
      <w:bookmarkEnd w:id="173"/>
      <w:proofErr w:type="spellEnd"/>
      <w:r>
        <w:rPr>
          <w:rFonts w:hAnsi="宋体" w:hint="eastAsia"/>
          <w:lang w:eastAsia="zh-CN"/>
        </w:rPr>
        <w:t xml:space="preserve"> </w:t>
      </w:r>
    </w:p>
    <w:p w:rsidR="006D61C1" w:rsidRDefault="0002552E">
      <w:pPr>
        <w:pStyle w:val="XBRLTitle3"/>
        <w:spacing w:before="156"/>
        <w:ind w:left="0"/>
      </w:pPr>
      <w:bookmarkStart w:id="174" w:name="_Toc17898198"/>
      <w:bookmarkStart w:id="175" w:name="_Toc481075067"/>
      <w:bookmarkStart w:id="176" w:name="_Toc490050020"/>
      <w:bookmarkStart w:id="177" w:name="_Toc512519499"/>
      <w:bookmarkStart w:id="178" w:name="_Toc513295911"/>
      <w:proofErr w:type="spellStart"/>
      <w:r>
        <w:rPr>
          <w:rFonts w:hint="eastAsia"/>
        </w:rPr>
        <w:t>报告期末按行业分类的境内股票投资组合</w:t>
      </w:r>
      <w:bookmarkEnd w:id="174"/>
      <w:bookmarkEnd w:id="175"/>
      <w:bookmarkEnd w:id="176"/>
      <w:bookmarkEnd w:id="177"/>
      <w:bookmarkEnd w:id="178"/>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6D61C1">
        <w:trPr>
          <w:divId w:val="1913852028"/>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D61C1" w:rsidRDefault="0002552E">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6D61C1" w:rsidRDefault="0002552E">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6D61C1" w:rsidRDefault="0002552E">
            <w:pPr>
              <w:jc w:val="center"/>
            </w:pPr>
            <w:r>
              <w:rPr>
                <w:rFonts w:ascii="宋体" w:hAnsi="宋体" w:hint="eastAsia"/>
                <w:color w:val="000000"/>
              </w:rPr>
              <w:t xml:space="preserve">占基金资产净值比例（%） </w:t>
            </w:r>
          </w:p>
        </w:tc>
      </w:tr>
      <w:tr w:rsidR="006D61C1">
        <w:trPr>
          <w:divId w:val="19138520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D61C1" w:rsidRDefault="0002552E">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D61C1" w:rsidRDefault="0002552E">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D61C1" w:rsidRDefault="0002552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D61C1" w:rsidRDefault="0002552E">
            <w:pPr>
              <w:jc w:val="right"/>
            </w:pPr>
            <w:r>
              <w:rPr>
                <w:rFonts w:ascii="宋体" w:hAnsi="宋体" w:hint="eastAsia"/>
                <w:szCs w:val="24"/>
                <w:lang w:eastAsia="zh-Hans"/>
              </w:rPr>
              <w:t>-</w:t>
            </w:r>
          </w:p>
        </w:tc>
      </w:tr>
      <w:tr w:rsidR="006D61C1">
        <w:trPr>
          <w:divId w:val="19138520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D61C1" w:rsidRDefault="0002552E">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D61C1" w:rsidRDefault="0002552E">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D61C1" w:rsidRDefault="0002552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D61C1" w:rsidRDefault="0002552E">
            <w:pPr>
              <w:jc w:val="right"/>
            </w:pPr>
            <w:r>
              <w:rPr>
                <w:rFonts w:ascii="宋体" w:hAnsi="宋体" w:hint="eastAsia"/>
                <w:szCs w:val="24"/>
                <w:lang w:eastAsia="zh-Hans"/>
              </w:rPr>
              <w:t>-</w:t>
            </w:r>
          </w:p>
        </w:tc>
      </w:tr>
      <w:tr w:rsidR="006D61C1">
        <w:trPr>
          <w:divId w:val="19138520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D61C1" w:rsidRDefault="0002552E">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D61C1" w:rsidRDefault="0002552E">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D61C1" w:rsidRDefault="0002552E">
            <w:pPr>
              <w:jc w:val="right"/>
            </w:pPr>
            <w:r>
              <w:rPr>
                <w:rFonts w:ascii="宋体" w:hAnsi="宋体" w:hint="eastAsia"/>
                <w:szCs w:val="24"/>
                <w:lang w:eastAsia="zh-Hans"/>
              </w:rPr>
              <w:t>335,774,520.60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D61C1" w:rsidRDefault="0002552E">
            <w:pPr>
              <w:jc w:val="right"/>
            </w:pPr>
            <w:r>
              <w:rPr>
                <w:rFonts w:ascii="宋体" w:hAnsi="宋体" w:hint="eastAsia"/>
                <w:szCs w:val="24"/>
                <w:lang w:eastAsia="zh-Hans"/>
              </w:rPr>
              <w:t>80.06</w:t>
            </w:r>
          </w:p>
        </w:tc>
      </w:tr>
      <w:tr w:rsidR="006D61C1">
        <w:trPr>
          <w:divId w:val="19138520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D61C1" w:rsidRDefault="0002552E">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D61C1" w:rsidRDefault="0002552E">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D61C1" w:rsidRDefault="0002552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D61C1" w:rsidRDefault="0002552E">
            <w:pPr>
              <w:jc w:val="right"/>
            </w:pPr>
            <w:r>
              <w:rPr>
                <w:rFonts w:ascii="宋体" w:hAnsi="宋体" w:hint="eastAsia"/>
                <w:szCs w:val="24"/>
                <w:lang w:eastAsia="zh-Hans"/>
              </w:rPr>
              <w:t>-</w:t>
            </w:r>
          </w:p>
        </w:tc>
      </w:tr>
      <w:tr w:rsidR="006D61C1">
        <w:trPr>
          <w:divId w:val="19138520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D61C1" w:rsidRDefault="0002552E">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D61C1" w:rsidRDefault="0002552E">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D61C1" w:rsidRDefault="0002552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D61C1" w:rsidRDefault="0002552E">
            <w:pPr>
              <w:jc w:val="right"/>
            </w:pPr>
            <w:r>
              <w:rPr>
                <w:rFonts w:ascii="宋体" w:hAnsi="宋体" w:hint="eastAsia"/>
                <w:szCs w:val="24"/>
                <w:lang w:eastAsia="zh-Hans"/>
              </w:rPr>
              <w:t>-</w:t>
            </w:r>
          </w:p>
        </w:tc>
      </w:tr>
      <w:tr w:rsidR="006D61C1">
        <w:trPr>
          <w:divId w:val="19138520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D61C1" w:rsidRDefault="0002552E">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D61C1" w:rsidRDefault="0002552E">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D61C1" w:rsidRDefault="0002552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D61C1" w:rsidRDefault="0002552E">
            <w:pPr>
              <w:jc w:val="right"/>
            </w:pPr>
            <w:r>
              <w:rPr>
                <w:rFonts w:ascii="宋体" w:hAnsi="宋体" w:hint="eastAsia"/>
                <w:szCs w:val="24"/>
                <w:lang w:eastAsia="zh-Hans"/>
              </w:rPr>
              <w:t>-</w:t>
            </w:r>
          </w:p>
        </w:tc>
      </w:tr>
      <w:tr w:rsidR="006D61C1">
        <w:trPr>
          <w:divId w:val="19138520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D61C1" w:rsidRDefault="0002552E">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D61C1" w:rsidRDefault="0002552E">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D61C1" w:rsidRDefault="0002552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D61C1" w:rsidRDefault="0002552E">
            <w:pPr>
              <w:jc w:val="right"/>
            </w:pPr>
            <w:r>
              <w:rPr>
                <w:rFonts w:ascii="宋体" w:hAnsi="宋体" w:hint="eastAsia"/>
                <w:szCs w:val="24"/>
                <w:lang w:eastAsia="zh-Hans"/>
              </w:rPr>
              <w:t>-</w:t>
            </w:r>
          </w:p>
        </w:tc>
      </w:tr>
      <w:tr w:rsidR="006D61C1">
        <w:trPr>
          <w:divId w:val="19138520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D61C1" w:rsidRDefault="0002552E">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D61C1" w:rsidRDefault="0002552E">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D61C1" w:rsidRDefault="0002552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D61C1" w:rsidRDefault="0002552E">
            <w:pPr>
              <w:jc w:val="right"/>
            </w:pPr>
            <w:r>
              <w:rPr>
                <w:rFonts w:ascii="宋体" w:hAnsi="宋体" w:hint="eastAsia"/>
                <w:szCs w:val="24"/>
                <w:lang w:eastAsia="zh-Hans"/>
              </w:rPr>
              <w:t>-</w:t>
            </w:r>
          </w:p>
        </w:tc>
      </w:tr>
      <w:tr w:rsidR="006D61C1">
        <w:trPr>
          <w:divId w:val="19138520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D61C1" w:rsidRDefault="0002552E">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D61C1" w:rsidRDefault="0002552E">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D61C1" w:rsidRDefault="0002552E">
            <w:pPr>
              <w:jc w:val="right"/>
            </w:pPr>
            <w:r>
              <w:rPr>
                <w:rFonts w:ascii="宋体" w:hAnsi="宋体" w:hint="eastAsia"/>
                <w:szCs w:val="24"/>
                <w:lang w:eastAsia="zh-Hans"/>
              </w:rPr>
              <w:t>11,120,000.00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D61C1" w:rsidRDefault="0002552E">
            <w:pPr>
              <w:jc w:val="right"/>
            </w:pPr>
            <w:r>
              <w:rPr>
                <w:rFonts w:ascii="宋体" w:hAnsi="宋体" w:hint="eastAsia"/>
                <w:szCs w:val="24"/>
                <w:lang w:eastAsia="zh-Hans"/>
              </w:rPr>
              <w:t>2.65</w:t>
            </w:r>
          </w:p>
        </w:tc>
      </w:tr>
      <w:tr w:rsidR="006D61C1">
        <w:trPr>
          <w:divId w:val="19138520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D61C1" w:rsidRDefault="0002552E">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D61C1" w:rsidRDefault="0002552E">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D61C1" w:rsidRDefault="0002552E">
            <w:pPr>
              <w:jc w:val="right"/>
            </w:pPr>
            <w:r>
              <w:rPr>
                <w:rFonts w:ascii="宋体" w:hAnsi="宋体" w:hint="eastAsia"/>
                <w:szCs w:val="24"/>
                <w:lang w:eastAsia="zh-Hans"/>
              </w:rPr>
              <w:t>12,028,520.00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D61C1" w:rsidRDefault="0002552E">
            <w:pPr>
              <w:jc w:val="right"/>
            </w:pPr>
            <w:r>
              <w:rPr>
                <w:rFonts w:ascii="宋体" w:hAnsi="宋体" w:hint="eastAsia"/>
                <w:szCs w:val="24"/>
                <w:lang w:eastAsia="zh-Hans"/>
              </w:rPr>
              <w:t>2.87</w:t>
            </w:r>
          </w:p>
        </w:tc>
      </w:tr>
      <w:tr w:rsidR="006D61C1">
        <w:trPr>
          <w:divId w:val="19138520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D61C1" w:rsidRDefault="0002552E">
            <w:pPr>
              <w:jc w:val="center"/>
            </w:pPr>
            <w:r>
              <w:rPr>
                <w:rFonts w:ascii="宋体" w:hAnsi="宋体" w:hint="eastAsia"/>
                <w:color w:val="000000"/>
              </w:rPr>
              <w:lastRenderedPageBreak/>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D61C1" w:rsidRDefault="0002552E">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D61C1" w:rsidRDefault="0002552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D61C1" w:rsidRDefault="0002552E">
            <w:pPr>
              <w:jc w:val="right"/>
            </w:pPr>
            <w:r>
              <w:rPr>
                <w:rFonts w:ascii="宋体" w:hAnsi="宋体" w:hint="eastAsia"/>
                <w:szCs w:val="24"/>
                <w:lang w:eastAsia="zh-Hans"/>
              </w:rPr>
              <w:t>-</w:t>
            </w:r>
          </w:p>
        </w:tc>
      </w:tr>
      <w:tr w:rsidR="006D61C1">
        <w:trPr>
          <w:divId w:val="19138520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D61C1" w:rsidRDefault="0002552E">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D61C1" w:rsidRDefault="0002552E">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D61C1" w:rsidRDefault="0002552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D61C1" w:rsidRDefault="0002552E">
            <w:pPr>
              <w:jc w:val="right"/>
            </w:pPr>
            <w:r>
              <w:rPr>
                <w:rFonts w:ascii="宋体" w:hAnsi="宋体" w:hint="eastAsia"/>
                <w:szCs w:val="24"/>
                <w:lang w:eastAsia="zh-Hans"/>
              </w:rPr>
              <w:t>-</w:t>
            </w:r>
          </w:p>
        </w:tc>
      </w:tr>
      <w:tr w:rsidR="006D61C1">
        <w:trPr>
          <w:divId w:val="19138520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D61C1" w:rsidRDefault="0002552E">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D61C1" w:rsidRDefault="0002552E">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D61C1" w:rsidRDefault="0002552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D61C1" w:rsidRDefault="0002552E">
            <w:pPr>
              <w:jc w:val="right"/>
            </w:pPr>
            <w:r>
              <w:rPr>
                <w:rFonts w:ascii="宋体" w:hAnsi="宋体" w:hint="eastAsia"/>
                <w:szCs w:val="24"/>
                <w:lang w:eastAsia="zh-Hans"/>
              </w:rPr>
              <w:t>-</w:t>
            </w:r>
          </w:p>
        </w:tc>
      </w:tr>
      <w:tr w:rsidR="006D61C1">
        <w:trPr>
          <w:divId w:val="19138520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D61C1" w:rsidRDefault="0002552E">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D61C1" w:rsidRDefault="0002552E">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D61C1" w:rsidRDefault="0002552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D61C1" w:rsidRDefault="0002552E">
            <w:pPr>
              <w:jc w:val="right"/>
            </w:pPr>
            <w:r>
              <w:rPr>
                <w:rFonts w:ascii="宋体" w:hAnsi="宋体" w:hint="eastAsia"/>
                <w:szCs w:val="24"/>
                <w:lang w:eastAsia="zh-Hans"/>
              </w:rPr>
              <w:t>-</w:t>
            </w:r>
          </w:p>
        </w:tc>
      </w:tr>
      <w:tr w:rsidR="006D61C1">
        <w:trPr>
          <w:divId w:val="19138520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D61C1" w:rsidRDefault="0002552E">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D61C1" w:rsidRDefault="0002552E">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D61C1" w:rsidRDefault="0002552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D61C1" w:rsidRDefault="0002552E">
            <w:pPr>
              <w:jc w:val="right"/>
            </w:pPr>
            <w:r>
              <w:rPr>
                <w:rFonts w:ascii="宋体" w:hAnsi="宋体" w:hint="eastAsia"/>
                <w:szCs w:val="24"/>
                <w:lang w:eastAsia="zh-Hans"/>
              </w:rPr>
              <w:t>-</w:t>
            </w:r>
          </w:p>
        </w:tc>
      </w:tr>
      <w:tr w:rsidR="006D61C1">
        <w:trPr>
          <w:divId w:val="19138520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D61C1" w:rsidRDefault="0002552E">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D61C1" w:rsidRDefault="0002552E">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D61C1" w:rsidRDefault="0002552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D61C1" w:rsidRDefault="0002552E">
            <w:pPr>
              <w:jc w:val="right"/>
            </w:pPr>
            <w:r>
              <w:rPr>
                <w:rFonts w:ascii="宋体" w:hAnsi="宋体" w:hint="eastAsia"/>
                <w:szCs w:val="24"/>
                <w:lang w:eastAsia="zh-Hans"/>
              </w:rPr>
              <w:t>-</w:t>
            </w:r>
          </w:p>
        </w:tc>
      </w:tr>
      <w:tr w:rsidR="006D61C1">
        <w:trPr>
          <w:divId w:val="19138520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D61C1" w:rsidRDefault="0002552E">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D61C1" w:rsidRDefault="0002552E">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D61C1" w:rsidRDefault="0002552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D61C1" w:rsidRDefault="0002552E">
            <w:pPr>
              <w:jc w:val="right"/>
            </w:pPr>
            <w:r>
              <w:rPr>
                <w:rFonts w:ascii="宋体" w:hAnsi="宋体" w:hint="eastAsia"/>
                <w:szCs w:val="24"/>
                <w:lang w:eastAsia="zh-Hans"/>
              </w:rPr>
              <w:t>-</w:t>
            </w:r>
          </w:p>
        </w:tc>
      </w:tr>
      <w:tr w:rsidR="006D61C1">
        <w:trPr>
          <w:divId w:val="19138520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D61C1" w:rsidRDefault="0002552E">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D61C1" w:rsidRDefault="0002552E">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D61C1" w:rsidRDefault="0002552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D61C1" w:rsidRDefault="0002552E">
            <w:pPr>
              <w:jc w:val="right"/>
            </w:pPr>
            <w:r>
              <w:rPr>
                <w:rFonts w:ascii="宋体" w:hAnsi="宋体" w:hint="eastAsia"/>
                <w:szCs w:val="24"/>
                <w:lang w:eastAsia="zh-Hans"/>
              </w:rPr>
              <w:t>-</w:t>
            </w:r>
          </w:p>
        </w:tc>
      </w:tr>
      <w:tr w:rsidR="006D61C1">
        <w:trPr>
          <w:divId w:val="19138520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D61C1" w:rsidRDefault="0002552E">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D61C1" w:rsidRDefault="0002552E">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D61C1" w:rsidRDefault="0002552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D61C1" w:rsidRDefault="0002552E">
            <w:pPr>
              <w:jc w:val="right"/>
            </w:pPr>
            <w:r>
              <w:rPr>
                <w:rFonts w:ascii="宋体" w:hAnsi="宋体" w:hint="eastAsia"/>
                <w:szCs w:val="24"/>
                <w:lang w:eastAsia="zh-Hans"/>
              </w:rPr>
              <w:t>-</w:t>
            </w:r>
          </w:p>
        </w:tc>
      </w:tr>
      <w:tr w:rsidR="006D61C1">
        <w:trPr>
          <w:divId w:val="19138520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D61C1" w:rsidRDefault="0002552E">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D61C1" w:rsidRDefault="0002552E">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D61C1" w:rsidRDefault="0002552E">
            <w:pPr>
              <w:jc w:val="right"/>
            </w:pPr>
            <w:r>
              <w:rPr>
                <w:rFonts w:ascii="宋体" w:hAnsi="宋体" w:hint="eastAsia"/>
                <w:szCs w:val="24"/>
                <w:lang w:eastAsia="zh-Hans"/>
              </w:rPr>
              <w:t>358,923,040.60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D61C1" w:rsidRDefault="0002552E">
            <w:pPr>
              <w:jc w:val="right"/>
            </w:pPr>
            <w:r>
              <w:rPr>
                <w:rFonts w:ascii="宋体" w:hAnsi="宋体" w:hint="eastAsia"/>
                <w:szCs w:val="24"/>
                <w:lang w:eastAsia="zh-Hans"/>
              </w:rPr>
              <w:t>85.58</w:t>
            </w:r>
          </w:p>
        </w:tc>
      </w:tr>
    </w:tbl>
    <w:p w:rsidR="006D61C1" w:rsidRDefault="0002552E">
      <w:pPr>
        <w:pStyle w:val="XBRLTitle3"/>
        <w:spacing w:before="156"/>
        <w:ind w:left="0"/>
      </w:pPr>
      <w:bookmarkStart w:id="179" w:name="_Toc17898199"/>
      <w:bookmarkStart w:id="180" w:name="_Toc481075068"/>
      <w:bookmarkStart w:id="181" w:name="_Toc490050021"/>
      <w:bookmarkStart w:id="182" w:name="_Toc512519500"/>
      <w:bookmarkStart w:id="183" w:name="_Toc513295912"/>
      <w:bookmarkStart w:id="184" w:name="m502_tab"/>
      <w:proofErr w:type="spellStart"/>
      <w:r>
        <w:rPr>
          <w:rFonts w:hint="eastAsia"/>
        </w:rPr>
        <w:t>报告期末按行业分类的港股通投资股票投资组合</w:t>
      </w:r>
      <w:bookmarkEnd w:id="179"/>
      <w:bookmarkEnd w:id="180"/>
      <w:bookmarkEnd w:id="181"/>
      <w:bookmarkEnd w:id="182"/>
      <w:bookmarkEnd w:id="183"/>
      <w:proofErr w:type="spellEnd"/>
      <w:r>
        <w:rPr>
          <w:rFonts w:hint="eastAsia"/>
          <w:szCs w:val="24"/>
        </w:rPr>
        <w:t xml:space="preserve"> </w:t>
      </w:r>
    </w:p>
    <w:p w:rsidR="006D61C1" w:rsidRDefault="0002552E">
      <w:pPr>
        <w:spacing w:line="360" w:lineRule="auto"/>
        <w:ind w:firstLineChars="200" w:firstLine="420"/>
        <w:divId w:val="912276064"/>
      </w:pPr>
      <w:r>
        <w:rPr>
          <w:rFonts w:ascii="宋体" w:hAnsi="宋体" w:hint="eastAsia"/>
          <w:szCs w:val="21"/>
          <w:lang w:eastAsia="zh-Hans"/>
        </w:rPr>
        <w:t>本基金本报告期末未持有港股通股票 。</w:t>
      </w:r>
    </w:p>
    <w:p w:rsidR="006D61C1" w:rsidRDefault="0002552E">
      <w:pPr>
        <w:pStyle w:val="XBRLTitle2"/>
        <w:spacing w:before="156"/>
        <w:ind w:left="454"/>
      </w:pPr>
      <w:bookmarkStart w:id="185" w:name="_Toc178982961"/>
      <w:bookmarkStart w:id="186" w:name="_Toc17897958"/>
      <w:bookmarkStart w:id="187" w:name="_Toc485300375"/>
      <w:bookmarkStart w:id="188" w:name="_Toc453852755"/>
      <w:bookmarkStart w:id="189" w:name="_Toc452398761"/>
      <w:bookmarkStart w:id="190" w:name="_Toc454983410"/>
      <w:bookmarkStart w:id="191" w:name="_Toc497398255"/>
      <w:bookmarkStart w:id="192" w:name="_Toc506208451"/>
      <w:bookmarkStart w:id="193" w:name="m08QD_10"/>
      <w:proofErr w:type="spellStart"/>
      <w:r>
        <w:rPr>
          <w:rFonts w:hint="eastAsia"/>
        </w:rPr>
        <w:t>期末按公允价值占基金资产净值比例大小排序的股票投资明细</w:t>
      </w:r>
      <w:bookmarkEnd w:id="185"/>
      <w:proofErr w:type="spellEnd"/>
    </w:p>
    <w:p w:rsidR="006D61C1" w:rsidRDefault="0002552E">
      <w:pPr>
        <w:pStyle w:val="XBRLTitle3"/>
        <w:spacing w:before="156"/>
        <w:ind w:left="0"/>
      </w:pPr>
      <w:bookmarkStart w:id="194" w:name="_Toc178982962"/>
      <w:bookmarkStart w:id="195" w:name="_Toc485300376"/>
      <w:bookmarkStart w:id="196" w:name="_Toc497398256"/>
      <w:bookmarkStart w:id="197" w:name="_Toc453852756"/>
      <w:bookmarkStart w:id="198" w:name="_Toc454983411"/>
      <w:proofErr w:type="spellStart"/>
      <w:r>
        <w:rPr>
          <w:rFonts w:hAnsi="宋体" w:hint="eastAsia"/>
        </w:rPr>
        <w:t>报告期末按公允价值占基金资产净值比例大小排序的前十名股票投资明细</w:t>
      </w:r>
      <w:bookmarkEnd w:id="194"/>
      <w:bookmarkEnd w:id="195"/>
      <w:bookmarkEnd w:id="196"/>
      <w:bookmarkEnd w:id="197"/>
      <w:bookmarkEnd w:id="198"/>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6D61C1">
        <w:trPr>
          <w:divId w:val="376244260"/>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61C1" w:rsidRDefault="0002552E">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61C1" w:rsidRDefault="0002552E">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61C1" w:rsidRDefault="0002552E">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61C1" w:rsidRDefault="0002552E">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61C1" w:rsidRDefault="0002552E">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61C1" w:rsidRDefault="0002552E">
            <w:pPr>
              <w:jc w:val="center"/>
            </w:pPr>
            <w:r>
              <w:rPr>
                <w:rFonts w:ascii="宋体" w:hAnsi="宋体" w:hint="eastAsia"/>
                <w:color w:val="000000"/>
              </w:rPr>
              <w:t xml:space="preserve">占基金资产净值比例（%） </w:t>
            </w:r>
          </w:p>
        </w:tc>
      </w:tr>
      <w:tr w:rsidR="006D61C1">
        <w:trPr>
          <w:divId w:val="37624426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002541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鸿路钢构</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1,533,000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30,874,620.00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7.36</w:t>
            </w:r>
          </w:p>
        </w:tc>
      </w:tr>
      <w:tr w:rsidR="006D61C1">
        <w:trPr>
          <w:divId w:val="37624426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000932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华菱钢铁</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5,140,900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25,601,682.00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6.10</w:t>
            </w:r>
          </w:p>
        </w:tc>
      </w:tr>
      <w:tr w:rsidR="006D61C1">
        <w:trPr>
          <w:divId w:val="37624426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593,300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24,260,037.00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5.78</w:t>
            </w:r>
          </w:p>
        </w:tc>
      </w:tr>
      <w:tr w:rsidR="006D61C1">
        <w:trPr>
          <w:divId w:val="37624426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93,300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23,599,302.00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5.63</w:t>
            </w:r>
          </w:p>
        </w:tc>
      </w:tr>
      <w:tr w:rsidR="006D61C1">
        <w:trPr>
          <w:divId w:val="37624426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000425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徐工机械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2,660,000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22,929,200.00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5.47</w:t>
            </w:r>
          </w:p>
        </w:tc>
      </w:tr>
      <w:tr w:rsidR="006D61C1">
        <w:trPr>
          <w:divId w:val="37624426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600160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巨化股份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874,251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21,602,742.21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5.15</w:t>
            </w:r>
          </w:p>
        </w:tc>
      </w:tr>
      <w:tr w:rsidR="006D61C1">
        <w:trPr>
          <w:divId w:val="37624426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213,000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17,255,130.00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4.11</w:t>
            </w:r>
          </w:p>
        </w:tc>
      </w:tr>
      <w:tr w:rsidR="006D61C1">
        <w:trPr>
          <w:divId w:val="37624426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000831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中国稀土</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437,900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13,868,293.00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3.31</w:t>
            </w:r>
          </w:p>
        </w:tc>
      </w:tr>
      <w:tr w:rsidR="006D61C1">
        <w:trPr>
          <w:divId w:val="37624426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300821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东岳硅材</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1,660,000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13,595,400.00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3.24</w:t>
            </w:r>
          </w:p>
        </w:tc>
      </w:tr>
      <w:tr w:rsidR="006D61C1">
        <w:trPr>
          <w:divId w:val="37624426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393,000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12,866,820.00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3.07</w:t>
            </w:r>
          </w:p>
        </w:tc>
      </w:tr>
    </w:tbl>
    <w:p w:rsidR="006D61C1" w:rsidRDefault="0002552E">
      <w:pPr>
        <w:pStyle w:val="XBRLTitle2"/>
        <w:spacing w:before="156" w:line="360" w:lineRule="auto"/>
        <w:ind w:left="454"/>
      </w:pPr>
      <w:bookmarkStart w:id="199" w:name="_Toc17898201"/>
      <w:bookmarkStart w:id="200" w:name="_Toc17897953"/>
      <w:bookmarkStart w:id="201" w:name="_Toc481075070"/>
      <w:bookmarkStart w:id="202" w:name="_Toc438646471"/>
      <w:bookmarkStart w:id="203" w:name="_Toc490050023"/>
      <w:bookmarkStart w:id="204" w:name="_Toc512519502"/>
      <w:bookmarkStart w:id="205" w:name="_Toc513295862"/>
      <w:bookmarkStart w:id="206" w:name="_Toc513295914"/>
      <w:bookmarkStart w:id="207" w:name="m505"/>
      <w:proofErr w:type="spellStart"/>
      <w:r>
        <w:rPr>
          <w:rFonts w:hAnsi="宋体" w:hint="eastAsia"/>
        </w:rPr>
        <w:t>报告期末按债券品种分类的债券投资组合</w:t>
      </w:r>
      <w:bookmarkEnd w:id="199"/>
      <w:bookmarkEnd w:id="200"/>
      <w:bookmarkEnd w:id="201"/>
      <w:bookmarkEnd w:id="202"/>
      <w:bookmarkEnd w:id="203"/>
      <w:bookmarkEnd w:id="204"/>
      <w:bookmarkEnd w:id="205"/>
      <w:bookmarkEnd w:id="206"/>
      <w:proofErr w:type="spellEnd"/>
      <w:r>
        <w:rPr>
          <w:rFonts w:hAnsi="宋体" w:hint="eastAsia"/>
        </w:rPr>
        <w:t xml:space="preserve"> </w:t>
      </w:r>
    </w:p>
    <w:p w:rsidR="006D61C1" w:rsidRDefault="0002552E">
      <w:pPr>
        <w:spacing w:line="360" w:lineRule="auto"/>
        <w:ind w:firstLineChars="200" w:firstLine="420"/>
        <w:jc w:val="left"/>
      </w:pPr>
      <w:r>
        <w:rPr>
          <w:rFonts w:ascii="宋体" w:hAnsi="宋体" w:hint="eastAsia"/>
        </w:rPr>
        <w:t>本基金本报告期末未持有债券。</w:t>
      </w:r>
      <w:bookmarkStart w:id="208" w:name="m08QD_06"/>
      <w:bookmarkEnd w:id="208"/>
      <w:r>
        <w:rPr>
          <w:rFonts w:ascii="宋体" w:hAnsi="宋体" w:hint="eastAsia"/>
        </w:rPr>
        <w:t xml:space="preserve"> </w:t>
      </w:r>
    </w:p>
    <w:p w:rsidR="006D61C1" w:rsidRDefault="0002552E">
      <w:pPr>
        <w:pStyle w:val="XBRLTitle2"/>
        <w:spacing w:before="156" w:line="360" w:lineRule="auto"/>
        <w:ind w:left="454"/>
      </w:pPr>
      <w:bookmarkStart w:id="209" w:name="_Toc17898202"/>
      <w:bookmarkStart w:id="210" w:name="_Toc17897954"/>
      <w:bookmarkStart w:id="211" w:name="_Toc481075071"/>
      <w:bookmarkStart w:id="212" w:name="_Toc438646472"/>
      <w:bookmarkStart w:id="213" w:name="_Toc490050024"/>
      <w:bookmarkStart w:id="214" w:name="_Toc512519503"/>
      <w:bookmarkStart w:id="215" w:name="_Toc513295863"/>
      <w:bookmarkStart w:id="216" w:name="_Toc513295915"/>
      <w:bookmarkStart w:id="217" w:name="m506"/>
      <w:bookmarkEnd w:id="207"/>
      <w:proofErr w:type="spellStart"/>
      <w:r>
        <w:rPr>
          <w:rFonts w:hAnsi="宋体" w:hint="eastAsia"/>
        </w:rPr>
        <w:t>报告期末按公允价值占基金资产净值比例大小排序的前五名债券投资明细</w:t>
      </w:r>
      <w:bookmarkEnd w:id="209"/>
      <w:bookmarkEnd w:id="210"/>
      <w:bookmarkEnd w:id="211"/>
      <w:bookmarkEnd w:id="212"/>
      <w:bookmarkEnd w:id="213"/>
      <w:bookmarkEnd w:id="214"/>
      <w:bookmarkEnd w:id="215"/>
      <w:bookmarkEnd w:id="216"/>
      <w:proofErr w:type="spellEnd"/>
      <w:r>
        <w:rPr>
          <w:rFonts w:hAnsi="宋体" w:hint="eastAsia"/>
        </w:rPr>
        <w:t xml:space="preserve"> </w:t>
      </w:r>
    </w:p>
    <w:p w:rsidR="006D61C1" w:rsidRDefault="0002552E">
      <w:pPr>
        <w:spacing w:line="360" w:lineRule="auto"/>
        <w:ind w:firstLineChars="200" w:firstLine="420"/>
        <w:jc w:val="left"/>
      </w:pPr>
      <w:r>
        <w:rPr>
          <w:rFonts w:ascii="宋体" w:hAnsi="宋体" w:hint="eastAsia"/>
          <w:color w:val="000000"/>
          <w:szCs w:val="21"/>
          <w:lang w:eastAsia="zh-Hans"/>
        </w:rPr>
        <w:t>本基金本报告期末未持有债券。</w:t>
      </w:r>
    </w:p>
    <w:p w:rsidR="006D61C1" w:rsidRDefault="0002552E">
      <w:pPr>
        <w:pStyle w:val="XBRLTitle2"/>
        <w:spacing w:before="156" w:line="360" w:lineRule="auto"/>
        <w:ind w:left="454"/>
      </w:pPr>
      <w:bookmarkStart w:id="218" w:name="_Toc17898203"/>
      <w:bookmarkStart w:id="219" w:name="_Toc17897955"/>
      <w:bookmarkStart w:id="220" w:name="_Toc481075072"/>
      <w:bookmarkStart w:id="221" w:name="_Toc438646473"/>
      <w:bookmarkStart w:id="222" w:name="_Toc490050025"/>
      <w:bookmarkStart w:id="223" w:name="_Toc512519504"/>
      <w:bookmarkStart w:id="224" w:name="_Toc513295864"/>
      <w:bookmarkStart w:id="225" w:name="_Toc513295916"/>
      <w:bookmarkStart w:id="226" w:name="m507"/>
      <w:bookmarkEnd w:id="217"/>
      <w:proofErr w:type="spellStart"/>
      <w:r>
        <w:rPr>
          <w:rFonts w:hAnsi="宋体" w:hint="eastAsia"/>
        </w:rPr>
        <w:t>报告期末按公允价值占基金资产净值比例大小排序的前十名资产支持证券投资明细</w:t>
      </w:r>
      <w:bookmarkEnd w:id="218"/>
      <w:bookmarkEnd w:id="219"/>
      <w:bookmarkEnd w:id="220"/>
      <w:bookmarkEnd w:id="221"/>
      <w:bookmarkEnd w:id="222"/>
      <w:bookmarkEnd w:id="223"/>
      <w:bookmarkEnd w:id="224"/>
      <w:bookmarkEnd w:id="225"/>
      <w:proofErr w:type="spellEnd"/>
      <w:r>
        <w:rPr>
          <w:rFonts w:hAnsi="宋体" w:hint="eastAsia"/>
        </w:rPr>
        <w:t xml:space="preserve"> </w:t>
      </w:r>
    </w:p>
    <w:p w:rsidR="006D61C1" w:rsidRDefault="0002552E">
      <w:pPr>
        <w:spacing w:line="360" w:lineRule="auto"/>
        <w:ind w:firstLineChars="200" w:firstLine="420"/>
        <w:jc w:val="left"/>
      </w:pPr>
      <w:r>
        <w:rPr>
          <w:rFonts w:ascii="宋体" w:hAnsi="宋体" w:hint="eastAsia"/>
          <w:color w:val="000000"/>
          <w:szCs w:val="21"/>
          <w:lang w:eastAsia="zh-Hans"/>
        </w:rPr>
        <w:t>本基金本报告期末未持有资产支持证券。</w:t>
      </w:r>
    </w:p>
    <w:p w:rsidR="006D61C1" w:rsidRDefault="0002552E">
      <w:pPr>
        <w:pStyle w:val="XBRLTitle2"/>
        <w:spacing w:before="156" w:line="360" w:lineRule="auto"/>
        <w:ind w:left="454"/>
      </w:pPr>
      <w:bookmarkStart w:id="227" w:name="_Toc17898204"/>
      <w:bookmarkStart w:id="228" w:name="_Toc17897956"/>
      <w:bookmarkStart w:id="229" w:name="_Toc481075073"/>
      <w:bookmarkStart w:id="230" w:name="_Toc438646474"/>
      <w:bookmarkStart w:id="231" w:name="_Toc490050026"/>
      <w:bookmarkStart w:id="232" w:name="_Toc512519505"/>
      <w:bookmarkStart w:id="233" w:name="_Toc513295865"/>
      <w:bookmarkStart w:id="234" w:name="_Toc513295917"/>
      <w:bookmarkStart w:id="235" w:name="m508"/>
      <w:bookmarkEnd w:id="226"/>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7"/>
      <w:bookmarkEnd w:id="228"/>
      <w:bookmarkEnd w:id="229"/>
      <w:bookmarkEnd w:id="230"/>
      <w:bookmarkEnd w:id="231"/>
      <w:bookmarkEnd w:id="232"/>
      <w:bookmarkEnd w:id="233"/>
      <w:bookmarkEnd w:id="234"/>
      <w:proofErr w:type="spellEnd"/>
      <w:r>
        <w:rPr>
          <w:rFonts w:hAnsi="宋体" w:hint="eastAsia"/>
        </w:rPr>
        <w:t xml:space="preserve"> </w:t>
      </w:r>
    </w:p>
    <w:p w:rsidR="006D61C1" w:rsidRDefault="0002552E">
      <w:pPr>
        <w:spacing w:line="360" w:lineRule="auto"/>
        <w:ind w:firstLineChars="200" w:firstLine="420"/>
        <w:divId w:val="1551183349"/>
      </w:pPr>
      <w:r>
        <w:rPr>
          <w:rFonts w:ascii="宋体" w:hAnsi="宋体" w:hint="eastAsia"/>
          <w:szCs w:val="21"/>
          <w:lang w:eastAsia="zh-Hans"/>
        </w:rPr>
        <w:t>本基金本报告期末未持有贵金属。</w:t>
      </w:r>
    </w:p>
    <w:p w:rsidR="006D61C1" w:rsidRDefault="0002552E">
      <w:pPr>
        <w:pStyle w:val="XBRLTitle2"/>
        <w:spacing w:before="156" w:line="360" w:lineRule="auto"/>
        <w:ind w:left="454"/>
      </w:pPr>
      <w:bookmarkStart w:id="236" w:name="_Toc17898205"/>
      <w:bookmarkStart w:id="237" w:name="_Toc17897957"/>
      <w:bookmarkStart w:id="238" w:name="_Toc481075074"/>
      <w:bookmarkStart w:id="239" w:name="_Toc438646475"/>
      <w:bookmarkStart w:id="240" w:name="_Toc490050027"/>
      <w:bookmarkStart w:id="241" w:name="_Toc512519506"/>
      <w:bookmarkStart w:id="242" w:name="_Toc513295866"/>
      <w:bookmarkStart w:id="243" w:name="_Toc513295918"/>
      <w:bookmarkStart w:id="244" w:name="m509"/>
      <w:bookmarkEnd w:id="235"/>
      <w:proofErr w:type="spellStart"/>
      <w:r>
        <w:rPr>
          <w:rFonts w:hAnsi="宋体" w:hint="eastAsia"/>
        </w:rPr>
        <w:lastRenderedPageBreak/>
        <w:t>报告期末按公允价值占基金资产净值比例大小排序的前五名权证投资明细</w:t>
      </w:r>
      <w:bookmarkEnd w:id="236"/>
      <w:bookmarkEnd w:id="237"/>
      <w:bookmarkEnd w:id="238"/>
      <w:bookmarkEnd w:id="239"/>
      <w:bookmarkEnd w:id="240"/>
      <w:bookmarkEnd w:id="241"/>
      <w:bookmarkEnd w:id="242"/>
      <w:bookmarkEnd w:id="243"/>
      <w:proofErr w:type="spellEnd"/>
      <w:r>
        <w:rPr>
          <w:rFonts w:hAnsi="宋体" w:hint="eastAsia"/>
        </w:rPr>
        <w:t xml:space="preserve"> </w:t>
      </w:r>
      <w:bookmarkEnd w:id="244"/>
    </w:p>
    <w:p w:rsidR="006D61C1" w:rsidRDefault="0002552E">
      <w:pPr>
        <w:spacing w:line="360" w:lineRule="auto"/>
        <w:ind w:firstLineChars="200" w:firstLine="420"/>
        <w:divId w:val="493229466"/>
      </w:pPr>
      <w:r>
        <w:rPr>
          <w:rFonts w:ascii="宋体" w:hAnsi="宋体" w:hint="eastAsia"/>
          <w:szCs w:val="21"/>
          <w:lang w:eastAsia="zh-Hans"/>
        </w:rPr>
        <w:t>本基金本报告期末未持有权证。</w:t>
      </w:r>
    </w:p>
    <w:p w:rsidR="006D61C1" w:rsidRDefault="0002552E">
      <w:pPr>
        <w:pStyle w:val="XBRLTitle2"/>
        <w:spacing w:before="156"/>
        <w:ind w:left="454"/>
      </w:pPr>
      <w:bookmarkStart w:id="245" w:name="_Toc17898206"/>
      <w:proofErr w:type="spellStart"/>
      <w:r>
        <w:rPr>
          <w:rFonts w:hint="eastAsia"/>
        </w:rPr>
        <w:t>报告期末本基金投资的股指期货交易情况说明</w:t>
      </w:r>
      <w:bookmarkEnd w:id="245"/>
      <w:bookmarkEnd w:id="186"/>
      <w:bookmarkEnd w:id="187"/>
      <w:bookmarkEnd w:id="188"/>
      <w:bookmarkEnd w:id="189"/>
      <w:bookmarkEnd w:id="190"/>
      <w:bookmarkEnd w:id="191"/>
      <w:bookmarkEnd w:id="192"/>
      <w:bookmarkEnd w:id="193"/>
      <w:bookmarkEnd w:id="71"/>
      <w:bookmarkEnd w:id="72"/>
      <w:bookmarkEnd w:id="17"/>
      <w:proofErr w:type="spellEnd"/>
    </w:p>
    <w:p w:rsidR="006D61C1" w:rsidRDefault="0002552E">
      <w:pPr>
        <w:spacing w:line="360" w:lineRule="auto"/>
        <w:ind w:firstLineChars="200" w:firstLine="420"/>
        <w:divId w:val="1178345501"/>
      </w:pPr>
      <w:r>
        <w:rPr>
          <w:rFonts w:ascii="宋体" w:hAnsi="宋体" w:hint="eastAsia"/>
          <w:szCs w:val="21"/>
          <w:lang w:eastAsia="zh-Hans"/>
        </w:rPr>
        <w:t>本基金本报告期末未持有股指期货。</w:t>
      </w:r>
    </w:p>
    <w:p w:rsidR="006D61C1" w:rsidRDefault="0002552E">
      <w:pPr>
        <w:pStyle w:val="XBRLTitle2"/>
        <w:spacing w:before="156" w:line="360" w:lineRule="auto"/>
        <w:ind w:left="454"/>
      </w:pPr>
      <w:bookmarkStart w:id="246" w:name="_Toc17898209"/>
      <w:bookmarkStart w:id="247" w:name="_Toc17897959"/>
      <w:bookmarkStart w:id="248" w:name="_Toc512519510"/>
      <w:bookmarkStart w:id="249" w:name="_Toc481075078"/>
      <w:bookmarkStart w:id="250" w:name="_Toc490050031"/>
      <w:bookmarkStart w:id="251" w:name="_Toc513295868"/>
      <w:bookmarkStart w:id="252" w:name="_Toc513295922"/>
      <w:bookmarkStart w:id="253" w:name="_Toc438646476"/>
      <w:proofErr w:type="spellStart"/>
      <w:r>
        <w:rPr>
          <w:rFonts w:hAnsi="宋体" w:hint="eastAsia"/>
        </w:rPr>
        <w:t>报告期末本基金投资的国债期货交易情况说明</w:t>
      </w:r>
      <w:bookmarkEnd w:id="246"/>
      <w:bookmarkEnd w:id="247"/>
      <w:bookmarkEnd w:id="248"/>
      <w:bookmarkEnd w:id="249"/>
      <w:bookmarkEnd w:id="250"/>
      <w:bookmarkEnd w:id="251"/>
      <w:bookmarkEnd w:id="252"/>
      <w:proofErr w:type="spellEnd"/>
      <w:r>
        <w:rPr>
          <w:rFonts w:hAnsi="宋体" w:hint="eastAsia"/>
        </w:rPr>
        <w:t xml:space="preserve"> </w:t>
      </w:r>
      <w:bookmarkEnd w:id="253"/>
    </w:p>
    <w:p w:rsidR="006D61C1" w:rsidRDefault="0002552E">
      <w:pPr>
        <w:spacing w:line="360" w:lineRule="auto"/>
        <w:ind w:firstLineChars="200" w:firstLine="420"/>
        <w:divId w:val="2066372463"/>
      </w:pPr>
      <w:bookmarkStart w:id="254" w:name="m510_01_1597"/>
      <w:bookmarkStart w:id="255" w:name="m510_01_1598"/>
      <w:bookmarkEnd w:id="254"/>
      <w:r>
        <w:rPr>
          <w:rFonts w:ascii="宋体" w:hAnsi="宋体" w:hint="eastAsia"/>
          <w:szCs w:val="21"/>
          <w:lang w:eastAsia="zh-Hans"/>
        </w:rPr>
        <w:t>本基金本报告期末未持有国债期货。</w:t>
      </w:r>
    </w:p>
    <w:p w:rsidR="006D61C1" w:rsidRDefault="0002552E">
      <w:pPr>
        <w:pStyle w:val="XBRLTitle2"/>
        <w:spacing w:before="156" w:line="360" w:lineRule="auto"/>
        <w:ind w:left="454"/>
      </w:pPr>
      <w:bookmarkStart w:id="256" w:name="_Toc17898213"/>
      <w:bookmarkStart w:id="257" w:name="_Toc17897960"/>
      <w:bookmarkStart w:id="258" w:name="_Toc512519514"/>
      <w:bookmarkStart w:id="259" w:name="_Toc481075082"/>
      <w:bookmarkStart w:id="260" w:name="_Toc490050035"/>
      <w:bookmarkStart w:id="261" w:name="_Toc513295869"/>
      <w:bookmarkStart w:id="262" w:name="_Toc513295926"/>
      <w:proofErr w:type="spellStart"/>
      <w:r>
        <w:rPr>
          <w:rFonts w:hAnsi="宋体" w:hint="eastAsia"/>
        </w:rPr>
        <w:t>投资组合报告附注</w:t>
      </w:r>
      <w:bookmarkEnd w:id="256"/>
      <w:bookmarkEnd w:id="257"/>
      <w:bookmarkEnd w:id="258"/>
      <w:bookmarkEnd w:id="259"/>
      <w:bookmarkEnd w:id="260"/>
      <w:bookmarkEnd w:id="261"/>
      <w:bookmarkEnd w:id="262"/>
      <w:proofErr w:type="spellEnd"/>
      <w:r>
        <w:rPr>
          <w:rFonts w:hAnsi="宋体" w:hint="eastAsia"/>
        </w:rPr>
        <w:t xml:space="preserve"> </w:t>
      </w:r>
    </w:p>
    <w:p w:rsidR="006D61C1" w:rsidRDefault="0002552E">
      <w:pPr>
        <w:pStyle w:val="XBRLTitle3"/>
        <w:spacing w:before="156"/>
        <w:ind w:left="0"/>
      </w:pPr>
      <w:bookmarkStart w:id="263" w:name="_Toc513295927"/>
      <w:bookmarkStart w:id="264" w:name="_Toc490050036"/>
      <w:bookmarkStart w:id="265" w:name="_Toc481075083"/>
      <w:bookmarkStart w:id="266" w:name="_Toc512519515"/>
      <w:bookmarkStart w:id="267" w:name="_Toc17898214"/>
      <w:bookmarkEnd w:id="263"/>
      <w:bookmarkEnd w:id="264"/>
      <w:bookmarkEnd w:id="265"/>
      <w:bookmarkEnd w:id="266"/>
      <w:r>
        <w:rPr>
          <w:rFonts w:hint="eastAsia"/>
          <w:lang w:eastAsia="zh-CN"/>
        </w:rPr>
        <w:t xml:space="preserve"> </w:t>
      </w:r>
      <w:bookmarkEnd w:id="267"/>
    </w:p>
    <w:p w:rsidR="006D61C1" w:rsidRDefault="0002552E">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rsidR="006D61C1" w:rsidRDefault="0002552E">
      <w:pPr>
        <w:pStyle w:val="XBRLTitle3"/>
        <w:spacing w:before="156"/>
        <w:ind w:left="0"/>
      </w:pPr>
      <w:bookmarkStart w:id="268" w:name="_Toc490050037"/>
      <w:bookmarkStart w:id="269" w:name="_Toc481075084"/>
      <w:bookmarkStart w:id="270" w:name="_Toc512519516"/>
      <w:bookmarkStart w:id="271" w:name="_Toc513295928"/>
      <w:bookmarkStart w:id="272" w:name="_Toc17898215"/>
      <w:bookmarkEnd w:id="268"/>
      <w:bookmarkEnd w:id="269"/>
      <w:bookmarkEnd w:id="270"/>
      <w:bookmarkEnd w:id="271"/>
      <w:r>
        <w:rPr>
          <w:rFonts w:hint="eastAsia"/>
          <w:lang w:eastAsia="zh-CN"/>
        </w:rPr>
        <w:t xml:space="preserve"> </w:t>
      </w:r>
      <w:bookmarkEnd w:id="272"/>
    </w:p>
    <w:p w:rsidR="006D61C1" w:rsidRDefault="0002552E">
      <w:pPr>
        <w:spacing w:line="360" w:lineRule="auto"/>
        <w:ind w:firstLineChars="200" w:firstLine="420"/>
      </w:pPr>
      <w:r>
        <w:rPr>
          <w:rFonts w:ascii="宋体" w:hAnsi="宋体" w:hint="eastAsia"/>
        </w:rPr>
        <w:t>报告期内本基金投资的前十名股票中没有在基金合同规定备选股票库之外的股票。</w:t>
      </w:r>
    </w:p>
    <w:p w:rsidR="006D61C1" w:rsidRDefault="0002552E">
      <w:pPr>
        <w:pStyle w:val="XBRLTitle3"/>
        <w:spacing w:before="156"/>
        <w:ind w:left="0"/>
      </w:pPr>
      <w:bookmarkStart w:id="273" w:name="_Toc17898216"/>
      <w:bookmarkStart w:id="274" w:name="_Toc481075085"/>
      <w:bookmarkStart w:id="275" w:name="_Toc490050038"/>
      <w:bookmarkStart w:id="276" w:name="_Toc512519517"/>
      <w:bookmarkStart w:id="277" w:name="_Toc513295929"/>
      <w:bookmarkStart w:id="278" w:name="m510_02"/>
      <w:bookmarkEnd w:id="255"/>
      <w:proofErr w:type="spellStart"/>
      <w:r>
        <w:rPr>
          <w:rFonts w:hint="eastAsia"/>
        </w:rPr>
        <w:t>其他资产构成</w:t>
      </w:r>
      <w:bookmarkEnd w:id="273"/>
      <w:bookmarkEnd w:id="274"/>
      <w:bookmarkEnd w:id="275"/>
      <w:bookmarkEnd w:id="276"/>
      <w:bookmarkEnd w:id="277"/>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6D61C1">
        <w:trPr>
          <w:divId w:val="173689102"/>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D61C1" w:rsidRDefault="0002552E">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D61C1" w:rsidRDefault="0002552E">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D61C1" w:rsidRDefault="0002552E">
            <w:pPr>
              <w:jc w:val="center"/>
            </w:pPr>
            <w:r>
              <w:rPr>
                <w:rFonts w:ascii="宋体" w:hAnsi="宋体" w:hint="eastAsia"/>
              </w:rPr>
              <w:t>金额（元）</w:t>
            </w:r>
            <w:r>
              <w:t xml:space="preserve"> </w:t>
            </w:r>
          </w:p>
        </w:tc>
      </w:tr>
      <w:tr w:rsidR="006D61C1">
        <w:trPr>
          <w:divId w:val="17368910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rPr>
              <w:t>155,575.52</w:t>
            </w:r>
          </w:p>
        </w:tc>
      </w:tr>
      <w:tr w:rsidR="006D61C1">
        <w:trPr>
          <w:divId w:val="17368910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rPr>
              <w:t>8,679,542.24</w:t>
            </w:r>
          </w:p>
        </w:tc>
      </w:tr>
      <w:tr w:rsidR="006D61C1">
        <w:trPr>
          <w:divId w:val="17368910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rPr>
              <w:t>-</w:t>
            </w:r>
          </w:p>
        </w:tc>
      </w:tr>
      <w:tr w:rsidR="006D61C1">
        <w:trPr>
          <w:divId w:val="17368910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rPr>
              <w:t>-</w:t>
            </w:r>
          </w:p>
        </w:tc>
      </w:tr>
      <w:tr w:rsidR="006D61C1">
        <w:trPr>
          <w:divId w:val="17368910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rPr>
              <w:t>55,454.20</w:t>
            </w:r>
          </w:p>
        </w:tc>
      </w:tr>
      <w:tr w:rsidR="006D61C1">
        <w:trPr>
          <w:divId w:val="17368910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rPr>
              <w:t>-</w:t>
            </w:r>
          </w:p>
        </w:tc>
      </w:tr>
      <w:tr w:rsidR="006D61C1">
        <w:trPr>
          <w:divId w:val="17368910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rPr>
              <w:t>-</w:t>
            </w:r>
          </w:p>
        </w:tc>
      </w:tr>
      <w:tr w:rsidR="006D61C1">
        <w:trPr>
          <w:divId w:val="17368910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rPr>
              <w:t>8,890,571.96</w:t>
            </w:r>
          </w:p>
        </w:tc>
      </w:tr>
    </w:tbl>
    <w:p w:rsidR="006D61C1" w:rsidRDefault="0002552E">
      <w:pPr>
        <w:pStyle w:val="XBRLTitle3"/>
        <w:spacing w:before="156"/>
        <w:ind w:left="0"/>
      </w:pPr>
      <w:bookmarkStart w:id="279" w:name="_Toc17898217"/>
      <w:bookmarkStart w:id="280" w:name="_Toc481075086"/>
      <w:bookmarkStart w:id="281" w:name="_Toc490050039"/>
      <w:bookmarkStart w:id="282" w:name="_Toc512519518"/>
      <w:bookmarkStart w:id="283" w:name="_Toc513295930"/>
      <w:bookmarkStart w:id="284" w:name="m510_03"/>
      <w:bookmarkEnd w:id="278"/>
      <w:proofErr w:type="spellStart"/>
      <w:r>
        <w:rPr>
          <w:rFonts w:hint="eastAsia"/>
        </w:rPr>
        <w:t>报告期末持有的处于转股期的可转换债券明细</w:t>
      </w:r>
      <w:bookmarkEnd w:id="279"/>
      <w:bookmarkEnd w:id="280"/>
      <w:bookmarkEnd w:id="281"/>
      <w:bookmarkEnd w:id="282"/>
      <w:bookmarkEnd w:id="283"/>
      <w:proofErr w:type="spellEnd"/>
    </w:p>
    <w:p w:rsidR="006D61C1" w:rsidRDefault="0002552E">
      <w:pPr>
        <w:spacing w:line="360" w:lineRule="auto"/>
        <w:ind w:firstLineChars="200" w:firstLine="420"/>
        <w:jc w:val="left"/>
      </w:pPr>
      <w:r>
        <w:rPr>
          <w:rFonts w:ascii="宋体" w:hAnsi="宋体" w:hint="eastAsia"/>
        </w:rPr>
        <w:t xml:space="preserve">本基金本报告期末未持有处于转股期的可转换债券。 </w:t>
      </w:r>
    </w:p>
    <w:p w:rsidR="006D61C1" w:rsidRDefault="0002552E">
      <w:pPr>
        <w:pStyle w:val="XBRLTitle3"/>
        <w:spacing w:before="156"/>
        <w:ind w:left="0"/>
      </w:pPr>
      <w:bookmarkStart w:id="285" w:name="_Toc17898218"/>
      <w:bookmarkStart w:id="286" w:name="_Toc481075087"/>
      <w:bookmarkStart w:id="287" w:name="_Toc490050040"/>
      <w:bookmarkStart w:id="288" w:name="_Toc512519519"/>
      <w:bookmarkStart w:id="289" w:name="_Toc513295931"/>
      <w:bookmarkStart w:id="290" w:name="m510_04"/>
      <w:bookmarkEnd w:id="284"/>
      <w:proofErr w:type="spellStart"/>
      <w:r>
        <w:rPr>
          <w:rFonts w:hint="eastAsia"/>
        </w:rPr>
        <w:t>报告期末前十名股票中存在流通受限情况的说明</w:t>
      </w:r>
      <w:bookmarkEnd w:id="285"/>
      <w:bookmarkEnd w:id="286"/>
      <w:bookmarkEnd w:id="287"/>
      <w:bookmarkEnd w:id="288"/>
      <w:bookmarkEnd w:id="289"/>
      <w:proofErr w:type="spellEnd"/>
    </w:p>
    <w:p w:rsidR="006D61C1" w:rsidRDefault="0002552E">
      <w:pPr>
        <w:spacing w:line="360" w:lineRule="auto"/>
        <w:ind w:firstLineChars="200" w:firstLine="420"/>
        <w:jc w:val="left"/>
        <w:divId w:val="2092501790"/>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9"/>
      <w:bookmarkEnd w:id="20"/>
      <w:bookmarkEnd w:id="21"/>
      <w:bookmarkEnd w:id="22"/>
      <w:bookmarkEnd w:id="18"/>
    </w:p>
    <w:p w:rsidR="006D61C1" w:rsidRDefault="0002552E">
      <w:pPr>
        <w:pStyle w:val="XBRLTitle3"/>
        <w:spacing w:before="156"/>
        <w:ind w:left="0"/>
      </w:pPr>
      <w:bookmarkStart w:id="291" w:name="_Toc17898219"/>
      <w:bookmarkStart w:id="292" w:name="_Toc512519520"/>
      <w:bookmarkStart w:id="293" w:name="_Toc481075088"/>
      <w:bookmarkStart w:id="294" w:name="_Toc490050041"/>
      <w:bookmarkStart w:id="295" w:name="_Toc513295932"/>
      <w:bookmarkStart w:id="296" w:name="m510_05_1678"/>
      <w:bookmarkEnd w:id="290"/>
      <w:proofErr w:type="spellStart"/>
      <w:r>
        <w:rPr>
          <w:rFonts w:hint="eastAsia"/>
        </w:rPr>
        <w:t>投资组合报告附注的其他文字描述部分</w:t>
      </w:r>
      <w:bookmarkEnd w:id="291"/>
      <w:bookmarkEnd w:id="292"/>
      <w:bookmarkEnd w:id="293"/>
      <w:bookmarkEnd w:id="294"/>
      <w:bookmarkEnd w:id="295"/>
      <w:proofErr w:type="spellEnd"/>
      <w:r>
        <w:rPr>
          <w:rFonts w:hint="eastAsia"/>
          <w:sz w:val="21"/>
        </w:rPr>
        <w:t xml:space="preserve"> </w:t>
      </w:r>
    </w:p>
    <w:p w:rsidR="006D61C1" w:rsidRDefault="0002552E">
      <w:pPr>
        <w:spacing w:line="360" w:lineRule="auto"/>
        <w:ind w:firstLineChars="200" w:firstLine="420"/>
        <w:jc w:val="left"/>
      </w:pPr>
      <w:r>
        <w:rPr>
          <w:rFonts w:ascii="宋体" w:hAnsi="宋体" w:hint="eastAsia"/>
        </w:rPr>
        <w:t>因四舍五入原因，投资组合报告中分项之和与合计可能存在尾差。</w:t>
      </w:r>
      <w:bookmarkEnd w:id="296"/>
      <w:r>
        <w:rPr>
          <w:rFonts w:ascii="宋体" w:hAnsi="宋体" w:hint="eastAsia"/>
        </w:rPr>
        <w:t xml:space="preserve"> </w:t>
      </w:r>
    </w:p>
    <w:p w:rsidR="006D61C1" w:rsidRDefault="0002552E">
      <w:pPr>
        <w:pStyle w:val="XBRLTitle1"/>
        <w:spacing w:before="156" w:line="360" w:lineRule="auto"/>
        <w:ind w:left="425"/>
      </w:pPr>
      <w:bookmarkStart w:id="297" w:name="_Toc17898220"/>
      <w:bookmarkStart w:id="298" w:name="_Toc17897961"/>
      <w:bookmarkStart w:id="299" w:name="_Toc512519521"/>
      <w:bookmarkStart w:id="300" w:name="_Toc481075089"/>
      <w:bookmarkStart w:id="301" w:name="_Toc438646477"/>
      <w:bookmarkStart w:id="302" w:name="_Toc490050042"/>
      <w:bookmarkStart w:id="303" w:name="_Toc513295870"/>
      <w:bookmarkStart w:id="304" w:name="_Toc513295933"/>
      <w:bookmarkStart w:id="305" w:name="m601"/>
      <w:bookmarkEnd w:id="184"/>
      <w:proofErr w:type="spellStart"/>
      <w:r>
        <w:rPr>
          <w:rFonts w:hAnsi="宋体" w:hint="eastAsia"/>
        </w:rPr>
        <w:lastRenderedPageBreak/>
        <w:t>开放式基金份额变动</w:t>
      </w:r>
      <w:bookmarkStart w:id="306" w:name="m601_tab"/>
      <w:bookmarkEnd w:id="297"/>
      <w:bookmarkEnd w:id="298"/>
      <w:bookmarkEnd w:id="299"/>
      <w:bookmarkEnd w:id="300"/>
      <w:bookmarkEnd w:id="301"/>
      <w:bookmarkEnd w:id="302"/>
      <w:bookmarkEnd w:id="303"/>
      <w:bookmarkEnd w:id="304"/>
      <w:proofErr w:type="spellEnd"/>
      <w:r>
        <w:rPr>
          <w:rFonts w:hAnsi="宋体" w:hint="eastAsia"/>
        </w:rPr>
        <w:t xml:space="preserve"> </w:t>
      </w:r>
    </w:p>
    <w:p w:rsidR="006D61C1" w:rsidRDefault="0002552E">
      <w:pPr>
        <w:wordWrap w:val="0"/>
        <w:spacing w:line="360" w:lineRule="auto"/>
        <w:jc w:val="right"/>
        <w:divId w:val="1456826450"/>
      </w:pPr>
      <w:bookmarkStart w:id="307"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1899"/>
        <w:gridCol w:w="1519"/>
        <w:gridCol w:w="1804"/>
      </w:tblGrid>
      <w:tr w:rsidR="006D61C1">
        <w:trPr>
          <w:divId w:val="1456826450"/>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6D61C1" w:rsidRDefault="0002552E">
            <w:pPr>
              <w:pStyle w:val="xl33"/>
              <w:widowControl w:val="0"/>
              <w:pBdr>
                <w:left w:val="none" w:sz="0" w:space="0" w:color="auto"/>
                <w:bottom w:val="none" w:sz="0" w:space="0" w:color="auto"/>
                <w:right w:val="none" w:sz="0" w:space="0" w:color="auto"/>
              </w:pBdr>
              <w:spacing w:before="0" w:beforeAutospacing="0" w:after="0" w:afterAutospacing="0"/>
              <w:jc w:val="both"/>
            </w:pPr>
            <w:bookmarkStart w:id="308" w:name="m10_01" w:colFirst="1" w:colLast="3"/>
            <w:bookmarkEnd w:id="307"/>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61C1" w:rsidRDefault="0002552E">
            <w:pPr>
              <w:ind w:right="3"/>
              <w:jc w:val="center"/>
            </w:pPr>
            <w:r>
              <w:rPr>
                <w:rFonts w:ascii="宋体" w:hAnsi="宋体" w:hint="eastAsia"/>
                <w:lang w:eastAsia="zh-Hans"/>
              </w:rPr>
              <w:t>摩根行业轮动混合A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61C1" w:rsidRDefault="0002552E">
            <w:pPr>
              <w:ind w:right="3"/>
              <w:jc w:val="center"/>
            </w:pPr>
            <w:r>
              <w:rPr>
                <w:rFonts w:ascii="宋体" w:hAnsi="宋体" w:hint="eastAsia"/>
                <w:lang w:eastAsia="zh-Hans"/>
              </w:rPr>
              <w:t>摩根行业轮动混合C</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61C1" w:rsidRDefault="0002552E">
            <w:pPr>
              <w:ind w:right="3"/>
              <w:jc w:val="center"/>
            </w:pPr>
            <w:r>
              <w:rPr>
                <w:rFonts w:ascii="宋体" w:hAnsi="宋体" w:hint="eastAsia"/>
                <w:lang w:eastAsia="zh-Hans"/>
              </w:rPr>
              <w:t>摩根行业轮动混合H</w:t>
            </w:r>
            <w:r>
              <w:rPr>
                <w:rFonts w:ascii="宋体" w:hAnsi="宋体" w:hint="eastAsia"/>
                <w:kern w:val="0"/>
                <w:szCs w:val="24"/>
                <w:lang w:eastAsia="zh-Hans"/>
              </w:rPr>
              <w:t xml:space="preserve"> </w:t>
            </w:r>
          </w:p>
        </w:tc>
      </w:tr>
      <w:tr w:rsidR="006D61C1">
        <w:trPr>
          <w:divId w:val="145682645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D61C1" w:rsidRDefault="0002552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D61C1" w:rsidRDefault="0002552E">
            <w:pPr>
              <w:jc w:val="right"/>
            </w:pPr>
            <w:r>
              <w:rPr>
                <w:rFonts w:ascii="宋体" w:hAnsi="宋体" w:hint="eastAsia"/>
              </w:rPr>
              <w:t>177,056,276.33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D61C1" w:rsidRDefault="0002552E">
            <w:pPr>
              <w:jc w:val="right"/>
            </w:pPr>
            <w:r>
              <w:rPr>
                <w:rFonts w:ascii="宋体" w:hAnsi="宋体" w:hint="eastAsia"/>
              </w:rPr>
              <w:t>266,948.96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D61C1" w:rsidRDefault="0002552E">
            <w:pPr>
              <w:jc w:val="right"/>
            </w:pPr>
            <w:r>
              <w:rPr>
                <w:rFonts w:ascii="宋体" w:hAnsi="宋体" w:hint="eastAsia"/>
              </w:rPr>
              <w:t>25,532,593.14</w:t>
            </w:r>
          </w:p>
        </w:tc>
      </w:tr>
      <w:tr w:rsidR="006D61C1">
        <w:trPr>
          <w:divId w:val="145682645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D61C1" w:rsidRDefault="0002552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D61C1" w:rsidRDefault="0002552E">
            <w:pPr>
              <w:jc w:val="right"/>
            </w:pPr>
            <w:r>
              <w:rPr>
                <w:rFonts w:ascii="宋体" w:hAnsi="宋体" w:hint="eastAsia"/>
              </w:rPr>
              <w:t>1,233,617.23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D61C1" w:rsidRDefault="0002552E">
            <w:pPr>
              <w:jc w:val="right"/>
            </w:pPr>
            <w:r>
              <w:rPr>
                <w:rFonts w:ascii="宋体" w:hAnsi="宋体" w:hint="eastAsia"/>
              </w:rPr>
              <w:t>10,503.80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D61C1" w:rsidRDefault="0002552E">
            <w:pPr>
              <w:jc w:val="right"/>
            </w:pPr>
            <w:r>
              <w:rPr>
                <w:rFonts w:ascii="宋体" w:hAnsi="宋体" w:hint="eastAsia"/>
              </w:rPr>
              <w:t>19,919.13</w:t>
            </w:r>
          </w:p>
        </w:tc>
      </w:tr>
      <w:tr w:rsidR="006D61C1">
        <w:trPr>
          <w:divId w:val="145682645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D61C1" w:rsidRDefault="0002552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D61C1" w:rsidRDefault="0002552E">
            <w:pPr>
              <w:jc w:val="right"/>
            </w:pPr>
            <w:r>
              <w:rPr>
                <w:rFonts w:ascii="宋体" w:hAnsi="宋体" w:hint="eastAsia"/>
              </w:rPr>
              <w:t>7,332,228.11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D61C1" w:rsidRDefault="0002552E">
            <w:pPr>
              <w:jc w:val="right"/>
            </w:pPr>
            <w:r>
              <w:rPr>
                <w:rFonts w:ascii="宋体" w:hAnsi="宋体" w:hint="eastAsia"/>
              </w:rPr>
              <w:t>94,483.10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D61C1" w:rsidRDefault="0002552E">
            <w:pPr>
              <w:jc w:val="right"/>
            </w:pPr>
            <w:r>
              <w:rPr>
                <w:rFonts w:ascii="宋体" w:hAnsi="宋体" w:hint="eastAsia"/>
              </w:rPr>
              <w:t>1,820,943.83</w:t>
            </w:r>
          </w:p>
        </w:tc>
      </w:tr>
      <w:tr w:rsidR="006D61C1">
        <w:trPr>
          <w:divId w:val="145682645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D61C1" w:rsidRDefault="0002552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D61C1" w:rsidRDefault="0002552E">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D61C1" w:rsidRDefault="0002552E">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D61C1" w:rsidRDefault="0002552E">
            <w:pPr>
              <w:jc w:val="right"/>
            </w:pPr>
            <w:r>
              <w:rPr>
                <w:rFonts w:ascii="宋体" w:hAnsi="宋体" w:hint="eastAsia"/>
              </w:rPr>
              <w:t>-</w:t>
            </w:r>
          </w:p>
        </w:tc>
      </w:tr>
      <w:tr w:rsidR="006D61C1">
        <w:trPr>
          <w:divId w:val="145682645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D61C1" w:rsidRDefault="0002552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D61C1" w:rsidRDefault="0002552E">
            <w:pPr>
              <w:jc w:val="right"/>
            </w:pPr>
            <w:r>
              <w:rPr>
                <w:rFonts w:ascii="宋体" w:hAnsi="宋体" w:hint="eastAsia"/>
              </w:rPr>
              <w:t>170,957,665.45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D61C1" w:rsidRDefault="0002552E">
            <w:pPr>
              <w:jc w:val="right"/>
            </w:pPr>
            <w:r>
              <w:rPr>
                <w:rFonts w:ascii="宋体" w:hAnsi="宋体" w:hint="eastAsia"/>
              </w:rPr>
              <w:t>182,969.66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D61C1" w:rsidRDefault="0002552E">
            <w:pPr>
              <w:jc w:val="right"/>
            </w:pPr>
            <w:r>
              <w:rPr>
                <w:rFonts w:ascii="宋体" w:hAnsi="宋体" w:hint="eastAsia"/>
              </w:rPr>
              <w:t>23,731,568.44</w:t>
            </w:r>
          </w:p>
        </w:tc>
      </w:tr>
    </w:tbl>
    <w:p w:rsidR="006D61C1" w:rsidRDefault="0002552E">
      <w:pPr>
        <w:spacing w:line="360" w:lineRule="auto"/>
        <w:jc w:val="left"/>
        <w:divId w:val="1456826450"/>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8"/>
      <w:r>
        <w:rPr>
          <w:rFonts w:ascii="宋体" w:hAnsi="宋体" w:hint="eastAsia"/>
        </w:rPr>
        <w:t xml:space="preserve"> </w:t>
      </w:r>
    </w:p>
    <w:p w:rsidR="006D61C1" w:rsidRDefault="0002552E">
      <w:pPr>
        <w:pStyle w:val="XBRLTitle1"/>
        <w:spacing w:before="156" w:line="360" w:lineRule="auto"/>
        <w:ind w:left="425"/>
      </w:pPr>
      <w:bookmarkStart w:id="309" w:name="_Toc17898221"/>
      <w:bookmarkStart w:id="310" w:name="_Toc17897962"/>
      <w:bookmarkStart w:id="311" w:name="m7manage01"/>
      <w:bookmarkStart w:id="312" w:name="_Toc512519522"/>
      <w:bookmarkStart w:id="313" w:name="_Toc481075090"/>
      <w:bookmarkStart w:id="314" w:name="_Toc438646478"/>
      <w:bookmarkStart w:id="315" w:name="_Toc490050043"/>
      <w:bookmarkStart w:id="316" w:name="_Toc513295871"/>
      <w:bookmarkStart w:id="317" w:name="_Toc513295934"/>
      <w:bookmarkEnd w:id="305"/>
      <w:bookmarkEnd w:id="306"/>
      <w:proofErr w:type="spellStart"/>
      <w:r>
        <w:rPr>
          <w:rFonts w:hAnsi="宋体" w:hint="eastAsia"/>
        </w:rPr>
        <w:t>基金管理人运用固有资金投资本基金情况</w:t>
      </w:r>
      <w:bookmarkEnd w:id="309"/>
      <w:bookmarkEnd w:id="310"/>
      <w:bookmarkEnd w:id="311"/>
      <w:bookmarkEnd w:id="312"/>
      <w:bookmarkEnd w:id="313"/>
      <w:bookmarkEnd w:id="314"/>
      <w:bookmarkEnd w:id="315"/>
      <w:bookmarkEnd w:id="316"/>
      <w:bookmarkEnd w:id="317"/>
      <w:proofErr w:type="spellEnd"/>
      <w:r>
        <w:rPr>
          <w:rFonts w:hAnsi="宋体" w:hint="eastAsia"/>
        </w:rPr>
        <w:t xml:space="preserve"> </w:t>
      </w:r>
    </w:p>
    <w:p w:rsidR="006D61C1" w:rsidRDefault="0002552E">
      <w:pPr>
        <w:pStyle w:val="XBRLTitle2"/>
        <w:spacing w:before="156" w:line="360" w:lineRule="auto"/>
        <w:ind w:left="454"/>
      </w:pPr>
      <w:bookmarkStart w:id="318" w:name="_Toc17898222"/>
      <w:bookmarkStart w:id="319" w:name="_Toc17897963"/>
      <w:bookmarkStart w:id="320" w:name="_Toc512519523"/>
      <w:bookmarkStart w:id="321" w:name="_Toc481075091"/>
      <w:bookmarkStart w:id="322" w:name="_Toc458599606"/>
      <w:bookmarkStart w:id="323" w:name="_Toc490050044"/>
      <w:bookmarkStart w:id="324" w:name="_Toc513295872"/>
      <w:bookmarkStart w:id="325" w:name="_Toc513295935"/>
      <w:proofErr w:type="spellStart"/>
      <w:r>
        <w:rPr>
          <w:rFonts w:hAnsi="宋体" w:hint="eastAsia"/>
        </w:rPr>
        <w:t>基金管理人持有本基金份额变动情况</w:t>
      </w:r>
      <w:bookmarkEnd w:id="318"/>
      <w:bookmarkEnd w:id="319"/>
      <w:bookmarkEnd w:id="320"/>
      <w:bookmarkEnd w:id="321"/>
      <w:bookmarkEnd w:id="322"/>
      <w:bookmarkEnd w:id="323"/>
      <w:bookmarkEnd w:id="324"/>
      <w:bookmarkEnd w:id="325"/>
      <w:proofErr w:type="spellEnd"/>
      <w:r>
        <w:rPr>
          <w:rFonts w:hAnsi="宋体" w:hint="eastAsia"/>
          <w:lang w:eastAsia="zh-CN"/>
        </w:rPr>
        <w:t xml:space="preserve"> </w:t>
      </w:r>
    </w:p>
    <w:p w:rsidR="006D61C1" w:rsidRDefault="0002552E">
      <w:pPr>
        <w:wordWrap w:val="0"/>
        <w:spacing w:line="360" w:lineRule="auto"/>
        <w:jc w:val="right"/>
        <w:divId w:val="1623145862"/>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6"/>
        <w:gridCol w:w="1963"/>
        <w:gridCol w:w="1963"/>
        <w:gridCol w:w="1963"/>
      </w:tblGrid>
      <w:tr w:rsidR="006D61C1">
        <w:trPr>
          <w:divId w:val="1623145862"/>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jc w:val="center"/>
            </w:pPr>
            <w:r>
              <w:rPr>
                <w:rFonts w:ascii="宋体" w:hAnsi="宋体" w:hint="eastAsia"/>
                <w:lang w:eastAsia="zh-Hans"/>
              </w:rPr>
              <w:t>摩根行业轮动混合A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jc w:val="center"/>
            </w:pPr>
            <w:r>
              <w:rPr>
                <w:rFonts w:ascii="宋体" w:hAnsi="宋体" w:hint="eastAsia"/>
                <w:lang w:eastAsia="zh-Hans"/>
              </w:rPr>
              <w:t>摩根行业轮动混合C</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jc w:val="center"/>
            </w:pPr>
            <w:r>
              <w:rPr>
                <w:rFonts w:ascii="宋体" w:hAnsi="宋体" w:hint="eastAsia"/>
                <w:lang w:eastAsia="zh-Hans"/>
              </w:rPr>
              <w:t>摩根行业轮动混合H</w:t>
            </w:r>
            <w:r>
              <w:rPr>
                <w:rFonts w:ascii="宋体" w:hAnsi="宋体" w:hint="eastAsia"/>
                <w:color w:val="000000"/>
              </w:rPr>
              <w:t xml:space="preserve"> </w:t>
            </w:r>
          </w:p>
        </w:tc>
      </w:tr>
      <w:tr w:rsidR="006D61C1">
        <w:trPr>
          <w:divId w:val="162314586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kern w:val="0"/>
                <w:szCs w:val="24"/>
                <w:lang w:eastAsia="zh-Hans"/>
              </w:rPr>
              <w:t>37,528.92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kern w:val="0"/>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kern w:val="0"/>
                <w:szCs w:val="24"/>
                <w:lang w:eastAsia="zh-Hans"/>
              </w:rPr>
              <w:t>-</w:t>
            </w:r>
          </w:p>
        </w:tc>
      </w:tr>
      <w:tr w:rsidR="006D61C1">
        <w:trPr>
          <w:divId w:val="162314586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154,828.45</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szCs w:val="24"/>
                <w:lang w:eastAsia="zh-Hans"/>
              </w:rPr>
              <w:t>-</w:t>
            </w:r>
          </w:p>
        </w:tc>
      </w:tr>
      <w:tr w:rsidR="006D61C1">
        <w:trPr>
          <w:divId w:val="162314586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lang w:eastAsia="zh-Hans"/>
              </w:rPr>
              <w:t>-</w:t>
            </w:r>
          </w:p>
        </w:tc>
      </w:tr>
      <w:tr w:rsidR="006D61C1">
        <w:trPr>
          <w:divId w:val="162314586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lang w:eastAsia="zh-Hans"/>
              </w:rPr>
              <w:t>192,357.37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lang w:eastAsia="zh-Hans"/>
              </w:rPr>
              <w:t>-</w:t>
            </w:r>
          </w:p>
        </w:tc>
      </w:tr>
      <w:tr w:rsidR="006D61C1">
        <w:trPr>
          <w:divId w:val="162314586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lang w:eastAsia="zh-Hans"/>
              </w:rPr>
              <w:t>0.10</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jc w:val="right"/>
            </w:pPr>
            <w:r>
              <w:rPr>
                <w:rFonts w:ascii="宋体" w:hAnsi="宋体" w:hint="eastAsia"/>
                <w:lang w:eastAsia="zh-Hans"/>
              </w:rPr>
              <w:t>-</w:t>
            </w:r>
          </w:p>
        </w:tc>
      </w:tr>
    </w:tbl>
    <w:p w:rsidR="006D61C1" w:rsidRDefault="0002552E">
      <w:pPr>
        <w:pStyle w:val="XBRLTitle2"/>
        <w:spacing w:before="156" w:line="360" w:lineRule="auto"/>
        <w:ind w:left="454"/>
      </w:pPr>
      <w:bookmarkStart w:id="326" w:name="_Toc17898223"/>
      <w:bookmarkStart w:id="327" w:name="_Toc17897964"/>
      <w:bookmarkStart w:id="328" w:name="_Toc512519524"/>
      <w:bookmarkStart w:id="329" w:name="_Toc481075092"/>
      <w:bookmarkStart w:id="330" w:name="_Toc458599607"/>
      <w:bookmarkStart w:id="331" w:name="_Toc490050045"/>
      <w:bookmarkStart w:id="332" w:name="_Toc513295873"/>
      <w:bookmarkStart w:id="333" w:name="_Toc513295936"/>
      <w:proofErr w:type="spellStart"/>
      <w:r>
        <w:rPr>
          <w:rFonts w:hAnsi="宋体" w:hint="eastAsia"/>
        </w:rPr>
        <w:t>基金管理人运用固有资金投资本基金交易明细</w:t>
      </w:r>
      <w:bookmarkEnd w:id="326"/>
      <w:bookmarkEnd w:id="327"/>
      <w:bookmarkEnd w:id="328"/>
      <w:bookmarkEnd w:id="329"/>
      <w:bookmarkEnd w:id="330"/>
      <w:bookmarkEnd w:id="331"/>
      <w:bookmarkEnd w:id="332"/>
      <w:bookmarkEnd w:id="333"/>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6D61C1">
        <w:trPr>
          <w:divId w:val="326828830"/>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适用费率(%) </w:t>
            </w:r>
          </w:p>
        </w:tc>
      </w:tr>
      <w:tr w:rsidR="006D61C1">
        <w:trPr>
          <w:divId w:val="326828830"/>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154,828.45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321,300.00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w:t>
            </w:r>
            <w:r>
              <w:t xml:space="preserve"> </w:t>
            </w:r>
          </w:p>
        </w:tc>
      </w:tr>
      <w:tr w:rsidR="006D61C1">
        <w:trPr>
          <w:divId w:val="326828830"/>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6D61C1"/>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6D61C1">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154,828.45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02552E">
            <w:pPr>
              <w:spacing w:line="360" w:lineRule="auto"/>
              <w:jc w:val="right"/>
            </w:pPr>
            <w:r>
              <w:rPr>
                <w:rFonts w:ascii="宋体" w:hAnsi="宋体" w:hint="eastAsia"/>
              </w:rPr>
              <w:t>321,300.00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D61C1" w:rsidRDefault="006D61C1"/>
        </w:tc>
      </w:tr>
    </w:tbl>
    <w:p w:rsidR="006D61C1" w:rsidRDefault="0002552E">
      <w:pPr>
        <w:spacing w:line="360" w:lineRule="auto"/>
        <w:jc w:val="left"/>
        <w:divId w:val="781148907"/>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rsidR="006D61C1" w:rsidRDefault="0002552E">
      <w:pPr>
        <w:pStyle w:val="XBRLTitle1"/>
        <w:spacing w:before="156" w:line="360" w:lineRule="auto"/>
        <w:ind w:left="425"/>
      </w:pPr>
      <w:bookmarkStart w:id="334" w:name="_Toc17898225"/>
      <w:bookmarkStart w:id="335" w:name="_Toc17897966"/>
      <w:bookmarkStart w:id="336" w:name="_Toc512519526"/>
      <w:bookmarkStart w:id="337" w:name="_Toc490050046"/>
      <w:bookmarkStart w:id="338" w:name="_Toc481075094"/>
      <w:bookmarkStart w:id="339" w:name="_Toc479856294"/>
      <w:bookmarkStart w:id="340" w:name="_Toc513295875"/>
      <w:bookmarkStart w:id="341" w:name="_Toc513295938"/>
      <w:bookmarkStart w:id="342" w:name="m701"/>
      <w:proofErr w:type="spellStart"/>
      <w:r>
        <w:rPr>
          <w:rFonts w:hAnsi="宋体" w:hint="eastAsia"/>
        </w:rPr>
        <w:t>影响投资者决策的其他重要信息</w:t>
      </w:r>
      <w:bookmarkEnd w:id="334"/>
      <w:bookmarkEnd w:id="335"/>
      <w:bookmarkEnd w:id="336"/>
      <w:bookmarkEnd w:id="337"/>
      <w:bookmarkEnd w:id="338"/>
      <w:bookmarkEnd w:id="339"/>
      <w:bookmarkEnd w:id="340"/>
      <w:bookmarkEnd w:id="341"/>
      <w:proofErr w:type="spellEnd"/>
      <w:r>
        <w:rPr>
          <w:rFonts w:hAnsi="宋体" w:hint="eastAsia"/>
          <w:lang w:eastAsia="zh-CN"/>
        </w:rPr>
        <w:t xml:space="preserve"> </w:t>
      </w:r>
    </w:p>
    <w:p w:rsidR="006D61C1" w:rsidRDefault="0002552E">
      <w:pPr>
        <w:pStyle w:val="XBRLTitle2"/>
        <w:spacing w:before="156" w:line="360" w:lineRule="auto"/>
        <w:ind w:left="454"/>
      </w:pPr>
      <w:bookmarkStart w:id="343" w:name="_Toc17898226"/>
      <w:bookmarkStart w:id="344" w:name="_Toc17897967"/>
      <w:bookmarkStart w:id="345" w:name="_Toc512519527"/>
      <w:bookmarkStart w:id="346" w:name="_Toc481075095"/>
      <w:bookmarkStart w:id="347" w:name="_Toc490050047"/>
      <w:bookmarkStart w:id="348" w:name="_Toc513295876"/>
      <w:bookmarkStart w:id="349" w:name="_Toc513295939"/>
      <w:r>
        <w:rPr>
          <w:rFonts w:hAnsi="宋体" w:hint="eastAsia"/>
          <w:kern w:val="0"/>
        </w:rPr>
        <w:t>报告期内单一投资者持有基金份额比例达到或超过20%的情况</w:t>
      </w:r>
      <w:bookmarkEnd w:id="343"/>
      <w:bookmarkEnd w:id="344"/>
      <w:bookmarkEnd w:id="345"/>
      <w:bookmarkEnd w:id="346"/>
      <w:bookmarkEnd w:id="347"/>
      <w:bookmarkEnd w:id="348"/>
      <w:bookmarkEnd w:id="349"/>
      <w:r>
        <w:rPr>
          <w:rFonts w:hAnsi="宋体" w:hint="eastAsia"/>
          <w:kern w:val="0"/>
          <w:lang w:eastAsia="zh-CN"/>
        </w:rPr>
        <w:t xml:space="preserve"> </w:t>
      </w:r>
    </w:p>
    <w:bookmarkEnd w:id="23"/>
    <w:bookmarkEnd w:id="43"/>
    <w:bookmarkEnd w:id="44"/>
    <w:p w:rsidR="006D61C1" w:rsidRDefault="0002552E">
      <w:pPr>
        <w:spacing w:line="360" w:lineRule="auto"/>
        <w:ind w:firstLineChars="200" w:firstLine="420"/>
        <w:divId w:val="109785280"/>
        <w:rPr>
          <w:rFonts w:ascii="宋体" w:hAnsi="宋体"/>
          <w:szCs w:val="21"/>
          <w:lang w:eastAsia="zh-Hans"/>
        </w:rPr>
      </w:pPr>
      <w:r>
        <w:rPr>
          <w:rFonts w:ascii="宋体" w:hAnsi="宋体" w:hint="eastAsia"/>
          <w:szCs w:val="21"/>
          <w:lang w:eastAsia="zh-Hans"/>
        </w:rPr>
        <w:t>无。</w:t>
      </w:r>
    </w:p>
    <w:p w:rsidR="006D61C1" w:rsidRDefault="0002552E">
      <w:pPr>
        <w:pStyle w:val="XBRLTitle1"/>
        <w:spacing w:before="156" w:line="360" w:lineRule="auto"/>
        <w:ind w:left="425"/>
      </w:pPr>
      <w:bookmarkStart w:id="350" w:name="_Toc17898228"/>
      <w:bookmarkStart w:id="351" w:name="_Toc17897969"/>
      <w:bookmarkStart w:id="352" w:name="_Toc512519529"/>
      <w:bookmarkStart w:id="353" w:name="_Toc490050049"/>
      <w:bookmarkStart w:id="354" w:name="_Toc481075097"/>
      <w:bookmarkStart w:id="355" w:name="_Toc438646481"/>
      <w:bookmarkStart w:id="356" w:name="_Toc513295878"/>
      <w:bookmarkStart w:id="357" w:name="_Toc513295941"/>
      <w:bookmarkEnd w:id="342"/>
      <w:proofErr w:type="spellStart"/>
      <w:r>
        <w:rPr>
          <w:rFonts w:hAnsi="宋体" w:hint="eastAsia"/>
        </w:rPr>
        <w:t>备查文件目录</w:t>
      </w:r>
      <w:bookmarkEnd w:id="350"/>
      <w:bookmarkEnd w:id="351"/>
      <w:bookmarkEnd w:id="352"/>
      <w:bookmarkEnd w:id="353"/>
      <w:bookmarkEnd w:id="354"/>
      <w:bookmarkEnd w:id="355"/>
      <w:bookmarkEnd w:id="356"/>
      <w:bookmarkEnd w:id="357"/>
      <w:proofErr w:type="spellEnd"/>
      <w:r>
        <w:rPr>
          <w:rFonts w:hAnsi="宋体" w:hint="eastAsia"/>
        </w:rPr>
        <w:t xml:space="preserve"> </w:t>
      </w:r>
    </w:p>
    <w:p w:rsidR="006D61C1" w:rsidRDefault="0002552E">
      <w:pPr>
        <w:pStyle w:val="XBRLTitle2"/>
        <w:spacing w:before="156" w:line="360" w:lineRule="auto"/>
        <w:ind w:left="454"/>
      </w:pPr>
      <w:bookmarkStart w:id="358" w:name="_Toc438646482"/>
      <w:bookmarkStart w:id="359" w:name="_Toc17898229"/>
      <w:bookmarkStart w:id="360" w:name="_Toc17897970"/>
      <w:bookmarkStart w:id="361" w:name="_Toc512519530"/>
      <w:bookmarkStart w:id="362" w:name="_Toc481075098"/>
      <w:bookmarkStart w:id="363" w:name="_Toc490050050"/>
      <w:bookmarkStart w:id="364" w:name="_Toc513295879"/>
      <w:bookmarkStart w:id="365" w:name="_Toc513295942"/>
      <w:bookmarkStart w:id="366" w:name="m801_01_1733"/>
      <w:proofErr w:type="spellStart"/>
      <w:r>
        <w:rPr>
          <w:rFonts w:hAnsi="宋体" w:hint="eastAsia"/>
        </w:rPr>
        <w:lastRenderedPageBreak/>
        <w:t>备查文件目录</w:t>
      </w:r>
      <w:bookmarkEnd w:id="358"/>
      <w:bookmarkEnd w:id="359"/>
      <w:bookmarkEnd w:id="360"/>
      <w:bookmarkEnd w:id="361"/>
      <w:bookmarkEnd w:id="362"/>
      <w:bookmarkEnd w:id="363"/>
      <w:bookmarkEnd w:id="364"/>
      <w:bookmarkEnd w:id="365"/>
      <w:proofErr w:type="spellEnd"/>
      <w:r>
        <w:rPr>
          <w:rFonts w:hAnsi="宋体" w:hint="eastAsia"/>
        </w:rPr>
        <w:t xml:space="preserve"> </w:t>
      </w:r>
    </w:p>
    <w:p w:rsidR="006D61C1" w:rsidRDefault="0002552E">
      <w:pPr>
        <w:spacing w:line="360" w:lineRule="auto"/>
        <w:ind w:firstLineChars="200" w:firstLine="420"/>
        <w:jc w:val="left"/>
      </w:pPr>
      <w:r>
        <w:rPr>
          <w:rFonts w:ascii="宋体" w:hAnsi="宋体" w:cs="宋体" w:hint="eastAsia"/>
          <w:color w:val="000000"/>
          <w:kern w:val="0"/>
        </w:rPr>
        <w:t>1、中国证监会批准本基金设立的文件；</w:t>
      </w:r>
      <w:r>
        <w:rPr>
          <w:rFonts w:ascii="宋体" w:hAnsi="宋体" w:cs="宋体" w:hint="eastAsia"/>
          <w:color w:val="000000"/>
          <w:kern w:val="0"/>
        </w:rPr>
        <w:br/>
        <w:t xml:space="preserve">　　2、《摩根行业轮动混合型证券投资基金基金合同》；</w:t>
      </w:r>
      <w:r>
        <w:rPr>
          <w:rFonts w:ascii="宋体" w:hAnsi="宋体" w:cs="宋体" w:hint="eastAsia"/>
          <w:color w:val="000000"/>
          <w:kern w:val="0"/>
        </w:rPr>
        <w:br/>
        <w:t xml:space="preserve">　　3、《摩根行业轮动混合型证券投资基金基金托管协议》；</w:t>
      </w:r>
      <w:r>
        <w:rPr>
          <w:rFonts w:ascii="宋体" w:hAnsi="宋体" w:cs="宋体" w:hint="eastAsia"/>
          <w:color w:val="000000"/>
          <w:kern w:val="0"/>
        </w:rPr>
        <w:br/>
        <w:t xml:space="preserve">　　4、《摩根基金管理(中国)有限公司开放式基金业务规则》；</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6、基金托管人业务资格批件和营业执照。</w:t>
      </w:r>
    </w:p>
    <w:p w:rsidR="006D61C1" w:rsidRDefault="0002552E">
      <w:pPr>
        <w:pStyle w:val="XBRLTitle2"/>
        <w:spacing w:before="156" w:line="360" w:lineRule="auto"/>
        <w:ind w:left="454"/>
      </w:pPr>
      <w:bookmarkStart w:id="367" w:name="_Toc438646483"/>
      <w:bookmarkStart w:id="368" w:name="_Toc17898230"/>
      <w:bookmarkStart w:id="369" w:name="_Toc17897971"/>
      <w:bookmarkStart w:id="370" w:name="_Toc512519531"/>
      <w:bookmarkStart w:id="371" w:name="_Toc481075099"/>
      <w:bookmarkStart w:id="372" w:name="_Toc490050051"/>
      <w:bookmarkStart w:id="373" w:name="_Toc513295880"/>
      <w:bookmarkStart w:id="374" w:name="_Toc513295943"/>
      <w:bookmarkStart w:id="375" w:name="m801_01_1734"/>
      <w:bookmarkEnd w:id="366"/>
      <w:proofErr w:type="spellStart"/>
      <w:r>
        <w:rPr>
          <w:rFonts w:hAnsi="宋体" w:hint="eastAsia"/>
        </w:rPr>
        <w:t>存放地点</w:t>
      </w:r>
      <w:bookmarkEnd w:id="367"/>
      <w:bookmarkEnd w:id="368"/>
      <w:bookmarkEnd w:id="369"/>
      <w:bookmarkEnd w:id="370"/>
      <w:bookmarkEnd w:id="371"/>
      <w:bookmarkEnd w:id="372"/>
      <w:bookmarkEnd w:id="373"/>
      <w:bookmarkEnd w:id="374"/>
      <w:proofErr w:type="spellEnd"/>
      <w:r>
        <w:rPr>
          <w:rFonts w:hAnsi="宋体" w:hint="eastAsia"/>
        </w:rPr>
        <w:t xml:space="preserve"> </w:t>
      </w:r>
    </w:p>
    <w:p w:rsidR="006D61C1" w:rsidRDefault="0002552E">
      <w:pPr>
        <w:spacing w:line="360" w:lineRule="auto"/>
        <w:ind w:firstLineChars="200" w:firstLine="420"/>
        <w:jc w:val="left"/>
      </w:pPr>
      <w:r>
        <w:rPr>
          <w:rFonts w:ascii="宋体" w:hAnsi="宋体" w:cs="宋体" w:hint="eastAsia"/>
          <w:color w:val="000000"/>
          <w:kern w:val="0"/>
        </w:rPr>
        <w:t>基金管理人或基金托管人住所。</w:t>
      </w:r>
    </w:p>
    <w:p w:rsidR="006D61C1" w:rsidRDefault="0002552E">
      <w:pPr>
        <w:pStyle w:val="XBRLTitle2"/>
        <w:spacing w:before="156" w:line="360" w:lineRule="auto"/>
        <w:ind w:left="454"/>
      </w:pPr>
      <w:bookmarkStart w:id="376" w:name="_Toc438646484"/>
      <w:bookmarkStart w:id="377" w:name="_Toc17898231"/>
      <w:bookmarkStart w:id="378" w:name="_Toc17897972"/>
      <w:bookmarkStart w:id="379" w:name="_Toc512519532"/>
      <w:bookmarkStart w:id="380" w:name="_Toc481075100"/>
      <w:bookmarkStart w:id="381" w:name="_Toc490050052"/>
      <w:bookmarkStart w:id="382" w:name="_Toc513295881"/>
      <w:bookmarkStart w:id="383" w:name="_Toc513295944"/>
      <w:bookmarkStart w:id="384" w:name="m801_01_1735"/>
      <w:bookmarkEnd w:id="375"/>
      <w:proofErr w:type="spellStart"/>
      <w:r>
        <w:rPr>
          <w:rFonts w:hAnsi="宋体" w:hint="eastAsia"/>
        </w:rPr>
        <w:t>查阅方式</w:t>
      </w:r>
      <w:bookmarkEnd w:id="376"/>
      <w:bookmarkEnd w:id="377"/>
      <w:bookmarkEnd w:id="378"/>
      <w:bookmarkEnd w:id="379"/>
      <w:bookmarkEnd w:id="380"/>
      <w:bookmarkEnd w:id="381"/>
      <w:bookmarkEnd w:id="382"/>
      <w:bookmarkEnd w:id="383"/>
      <w:proofErr w:type="spellEnd"/>
      <w:r>
        <w:rPr>
          <w:rFonts w:hAnsi="宋体" w:hint="eastAsia"/>
        </w:rPr>
        <w:t xml:space="preserve"> </w:t>
      </w:r>
    </w:p>
    <w:p w:rsidR="006D61C1" w:rsidRDefault="0002552E">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4"/>
    <w:p w:rsidR="006D61C1" w:rsidRDefault="0002552E">
      <w:pPr>
        <w:spacing w:line="360" w:lineRule="auto"/>
        <w:ind w:firstLineChars="600" w:firstLine="1687"/>
        <w:jc w:val="left"/>
      </w:pPr>
      <w:r>
        <w:rPr>
          <w:rFonts w:ascii="宋体" w:hAnsi="宋体" w:hint="eastAsia"/>
          <w:b/>
          <w:bCs/>
          <w:sz w:val="28"/>
          <w:szCs w:val="30"/>
        </w:rPr>
        <w:t xml:space="preserve">　 </w:t>
      </w:r>
    </w:p>
    <w:p w:rsidR="006D61C1" w:rsidRDefault="0002552E">
      <w:pPr>
        <w:spacing w:line="360" w:lineRule="auto"/>
        <w:ind w:firstLineChars="600" w:firstLine="1687"/>
        <w:jc w:val="left"/>
      </w:pPr>
      <w:r>
        <w:rPr>
          <w:rFonts w:ascii="宋体" w:hAnsi="宋体" w:hint="eastAsia"/>
          <w:b/>
          <w:bCs/>
          <w:sz w:val="28"/>
          <w:szCs w:val="30"/>
        </w:rPr>
        <w:t xml:space="preserve">　 </w:t>
      </w:r>
    </w:p>
    <w:p w:rsidR="006D61C1" w:rsidRDefault="0002552E">
      <w:pPr>
        <w:spacing w:line="360" w:lineRule="auto"/>
        <w:ind w:firstLineChars="600" w:firstLine="1446"/>
        <w:jc w:val="right"/>
      </w:pPr>
      <w:r>
        <w:rPr>
          <w:rFonts w:ascii="宋体" w:hAnsi="宋体" w:hint="eastAsia"/>
          <w:b/>
          <w:bCs/>
          <w:sz w:val="24"/>
          <w:szCs w:val="24"/>
        </w:rPr>
        <w:t>摩根基金管理（中国）有限公司</w:t>
      </w:r>
    </w:p>
    <w:p w:rsidR="006D61C1" w:rsidRDefault="0002552E">
      <w:pPr>
        <w:spacing w:line="360" w:lineRule="auto"/>
        <w:ind w:firstLineChars="600" w:firstLine="1446"/>
        <w:jc w:val="right"/>
      </w:pPr>
      <w:r>
        <w:rPr>
          <w:rFonts w:ascii="宋体" w:hAnsi="宋体" w:hint="eastAsia"/>
          <w:b/>
          <w:bCs/>
          <w:sz w:val="24"/>
          <w:szCs w:val="24"/>
        </w:rPr>
        <w:t>2025年4月22日</w:t>
      </w:r>
      <w:bookmarkEnd w:id="24"/>
    </w:p>
    <w:sectPr w:rsidR="006D61C1">
      <w:headerReference w:type="default" r:id="rId11"/>
      <w:footerReference w:type="default" r:id="rId12"/>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1C1" w:rsidRDefault="0002552E">
      <w:pPr>
        <w:rPr>
          <w:szCs w:val="21"/>
        </w:rPr>
      </w:pPr>
      <w:r>
        <w:rPr>
          <w:szCs w:val="21"/>
        </w:rPr>
        <w:separator/>
      </w:r>
      <w:r>
        <w:rPr>
          <w:szCs w:val="21"/>
        </w:rPr>
        <w:t xml:space="preserve"> </w:t>
      </w:r>
    </w:p>
  </w:endnote>
  <w:endnote w:type="continuationSeparator" w:id="0">
    <w:p w:rsidR="006D61C1" w:rsidRDefault="0002552E">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1C1" w:rsidRDefault="0002552E">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BE4F7F">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BE4F7F">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1C1" w:rsidRDefault="0002552E">
      <w:pPr>
        <w:rPr>
          <w:szCs w:val="21"/>
        </w:rPr>
      </w:pPr>
      <w:r>
        <w:rPr>
          <w:szCs w:val="21"/>
        </w:rPr>
        <w:separator/>
      </w:r>
      <w:r>
        <w:rPr>
          <w:szCs w:val="21"/>
        </w:rPr>
        <w:t xml:space="preserve"> </w:t>
      </w:r>
    </w:p>
  </w:footnote>
  <w:footnote w:type="continuationSeparator" w:id="0">
    <w:p w:rsidR="006D61C1" w:rsidRDefault="0002552E">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1C1" w:rsidRDefault="0002552E">
    <w:pPr>
      <w:pStyle w:val="a8"/>
      <w:jc w:val="right"/>
    </w:pPr>
    <w:r>
      <w:rPr>
        <w:rFonts w:ascii="宋体" w:hAnsi="宋体" w:hint="eastAsia"/>
      </w:rPr>
      <w:t>摩根行业轮动混合型证券投资基金2025年第1季度报告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2E"/>
    <w:rsid w:val="0002552E"/>
    <w:rsid w:val="006D61C1"/>
    <w:rsid w:val="00BE4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FF01B4AC-D195-4A1C-8D6F-2489DFDB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5280">
      <w:marLeft w:val="0"/>
      <w:marRight w:val="0"/>
      <w:marTop w:val="0"/>
      <w:marBottom w:val="0"/>
      <w:divBdr>
        <w:top w:val="none" w:sz="0" w:space="0" w:color="auto"/>
        <w:left w:val="none" w:sz="0" w:space="0" w:color="auto"/>
        <w:bottom w:val="none" w:sz="0" w:space="0" w:color="auto"/>
        <w:right w:val="none" w:sz="0" w:space="0" w:color="auto"/>
      </w:divBdr>
    </w:div>
    <w:div w:id="207910854">
      <w:marLeft w:val="0"/>
      <w:marRight w:val="0"/>
      <w:marTop w:val="0"/>
      <w:marBottom w:val="0"/>
      <w:divBdr>
        <w:top w:val="none" w:sz="0" w:space="0" w:color="auto"/>
        <w:left w:val="none" w:sz="0" w:space="0" w:color="auto"/>
        <w:bottom w:val="none" w:sz="0" w:space="0" w:color="auto"/>
        <w:right w:val="none" w:sz="0" w:space="0" w:color="auto"/>
      </w:divBdr>
      <w:divsChild>
        <w:div w:id="545340033">
          <w:marLeft w:val="0"/>
          <w:marRight w:val="0"/>
          <w:marTop w:val="0"/>
          <w:marBottom w:val="0"/>
          <w:divBdr>
            <w:top w:val="none" w:sz="0" w:space="0" w:color="auto"/>
            <w:left w:val="none" w:sz="0" w:space="0" w:color="auto"/>
            <w:bottom w:val="none" w:sz="0" w:space="0" w:color="auto"/>
            <w:right w:val="none" w:sz="0" w:space="0" w:color="auto"/>
          </w:divBdr>
        </w:div>
      </w:divsChild>
    </w:div>
    <w:div w:id="376244260">
      <w:marLeft w:val="0"/>
      <w:marRight w:val="0"/>
      <w:marTop w:val="0"/>
      <w:marBottom w:val="0"/>
      <w:divBdr>
        <w:top w:val="none" w:sz="0" w:space="0" w:color="auto"/>
        <w:left w:val="none" w:sz="0" w:space="0" w:color="auto"/>
        <w:bottom w:val="none" w:sz="0" w:space="0" w:color="auto"/>
        <w:right w:val="none" w:sz="0" w:space="0" w:color="auto"/>
      </w:divBdr>
    </w:div>
    <w:div w:id="493229466">
      <w:marLeft w:val="0"/>
      <w:marRight w:val="0"/>
      <w:marTop w:val="0"/>
      <w:marBottom w:val="0"/>
      <w:divBdr>
        <w:top w:val="none" w:sz="0" w:space="0" w:color="auto"/>
        <w:left w:val="none" w:sz="0" w:space="0" w:color="auto"/>
        <w:bottom w:val="none" w:sz="0" w:space="0" w:color="auto"/>
        <w:right w:val="none" w:sz="0" w:space="0" w:color="auto"/>
      </w:divBdr>
    </w:div>
    <w:div w:id="705175435">
      <w:marLeft w:val="0"/>
      <w:marRight w:val="0"/>
      <w:marTop w:val="0"/>
      <w:marBottom w:val="0"/>
      <w:divBdr>
        <w:top w:val="none" w:sz="0" w:space="0" w:color="auto"/>
        <w:left w:val="none" w:sz="0" w:space="0" w:color="auto"/>
        <w:bottom w:val="none" w:sz="0" w:space="0" w:color="auto"/>
        <w:right w:val="none" w:sz="0" w:space="0" w:color="auto"/>
      </w:divBdr>
    </w:div>
    <w:div w:id="725181208">
      <w:marLeft w:val="0"/>
      <w:marRight w:val="0"/>
      <w:marTop w:val="0"/>
      <w:marBottom w:val="0"/>
      <w:divBdr>
        <w:top w:val="none" w:sz="0" w:space="0" w:color="auto"/>
        <w:left w:val="none" w:sz="0" w:space="0" w:color="auto"/>
        <w:bottom w:val="none" w:sz="0" w:space="0" w:color="auto"/>
        <w:right w:val="none" w:sz="0" w:space="0" w:color="auto"/>
      </w:divBdr>
      <w:divsChild>
        <w:div w:id="237987370">
          <w:marLeft w:val="0"/>
          <w:marRight w:val="0"/>
          <w:marTop w:val="0"/>
          <w:marBottom w:val="0"/>
          <w:divBdr>
            <w:top w:val="none" w:sz="0" w:space="0" w:color="auto"/>
            <w:left w:val="none" w:sz="0" w:space="0" w:color="auto"/>
            <w:bottom w:val="none" w:sz="0" w:space="0" w:color="auto"/>
            <w:right w:val="none" w:sz="0" w:space="0" w:color="auto"/>
          </w:divBdr>
        </w:div>
        <w:div w:id="1350714766">
          <w:marLeft w:val="0"/>
          <w:marRight w:val="0"/>
          <w:marTop w:val="0"/>
          <w:marBottom w:val="0"/>
          <w:divBdr>
            <w:top w:val="none" w:sz="0" w:space="0" w:color="auto"/>
            <w:left w:val="none" w:sz="0" w:space="0" w:color="auto"/>
            <w:bottom w:val="none" w:sz="0" w:space="0" w:color="auto"/>
            <w:right w:val="none" w:sz="0" w:space="0" w:color="auto"/>
          </w:divBdr>
        </w:div>
        <w:div w:id="629211751">
          <w:marLeft w:val="0"/>
          <w:marRight w:val="0"/>
          <w:marTop w:val="0"/>
          <w:marBottom w:val="0"/>
          <w:divBdr>
            <w:top w:val="none" w:sz="0" w:space="0" w:color="auto"/>
            <w:left w:val="none" w:sz="0" w:space="0" w:color="auto"/>
            <w:bottom w:val="none" w:sz="0" w:space="0" w:color="auto"/>
            <w:right w:val="none" w:sz="0" w:space="0" w:color="auto"/>
          </w:divBdr>
        </w:div>
      </w:divsChild>
    </w:div>
    <w:div w:id="781148907">
      <w:marLeft w:val="0"/>
      <w:marRight w:val="0"/>
      <w:marTop w:val="0"/>
      <w:marBottom w:val="0"/>
      <w:divBdr>
        <w:top w:val="none" w:sz="0" w:space="0" w:color="auto"/>
        <w:left w:val="none" w:sz="0" w:space="0" w:color="auto"/>
        <w:bottom w:val="none" w:sz="0" w:space="0" w:color="auto"/>
        <w:right w:val="none" w:sz="0" w:space="0" w:color="auto"/>
      </w:divBdr>
      <w:divsChild>
        <w:div w:id="326828830">
          <w:marLeft w:val="0"/>
          <w:marRight w:val="0"/>
          <w:marTop w:val="0"/>
          <w:marBottom w:val="0"/>
          <w:divBdr>
            <w:top w:val="none" w:sz="0" w:space="0" w:color="auto"/>
            <w:left w:val="none" w:sz="0" w:space="0" w:color="auto"/>
            <w:bottom w:val="none" w:sz="0" w:space="0" w:color="auto"/>
            <w:right w:val="none" w:sz="0" w:space="0" w:color="auto"/>
          </w:divBdr>
        </w:div>
      </w:divsChild>
    </w:div>
    <w:div w:id="912276064">
      <w:marLeft w:val="0"/>
      <w:marRight w:val="0"/>
      <w:marTop w:val="0"/>
      <w:marBottom w:val="0"/>
      <w:divBdr>
        <w:top w:val="none" w:sz="0" w:space="0" w:color="auto"/>
        <w:left w:val="none" w:sz="0" w:space="0" w:color="auto"/>
        <w:bottom w:val="none" w:sz="0" w:space="0" w:color="auto"/>
        <w:right w:val="none" w:sz="0" w:space="0" w:color="auto"/>
      </w:divBdr>
    </w:div>
    <w:div w:id="928276092">
      <w:marLeft w:val="0"/>
      <w:marRight w:val="0"/>
      <w:marTop w:val="0"/>
      <w:marBottom w:val="0"/>
      <w:divBdr>
        <w:top w:val="none" w:sz="0" w:space="0" w:color="auto"/>
        <w:left w:val="none" w:sz="0" w:space="0" w:color="auto"/>
        <w:bottom w:val="none" w:sz="0" w:space="0" w:color="auto"/>
        <w:right w:val="none" w:sz="0" w:space="0" w:color="auto"/>
      </w:divBdr>
    </w:div>
    <w:div w:id="1158422051">
      <w:marLeft w:val="0"/>
      <w:marRight w:val="0"/>
      <w:marTop w:val="0"/>
      <w:marBottom w:val="0"/>
      <w:divBdr>
        <w:top w:val="none" w:sz="0" w:space="0" w:color="auto"/>
        <w:left w:val="none" w:sz="0" w:space="0" w:color="auto"/>
        <w:bottom w:val="none" w:sz="0" w:space="0" w:color="auto"/>
        <w:right w:val="none" w:sz="0" w:space="0" w:color="auto"/>
      </w:divBdr>
      <w:divsChild>
        <w:div w:id="1623145862">
          <w:marLeft w:val="0"/>
          <w:marRight w:val="0"/>
          <w:marTop w:val="0"/>
          <w:marBottom w:val="0"/>
          <w:divBdr>
            <w:top w:val="none" w:sz="0" w:space="0" w:color="auto"/>
            <w:left w:val="none" w:sz="0" w:space="0" w:color="auto"/>
            <w:bottom w:val="none" w:sz="0" w:space="0" w:color="auto"/>
            <w:right w:val="none" w:sz="0" w:space="0" w:color="auto"/>
          </w:divBdr>
        </w:div>
      </w:divsChild>
    </w:div>
    <w:div w:id="1178345501">
      <w:marLeft w:val="0"/>
      <w:marRight w:val="0"/>
      <w:marTop w:val="0"/>
      <w:marBottom w:val="0"/>
      <w:divBdr>
        <w:top w:val="none" w:sz="0" w:space="0" w:color="auto"/>
        <w:left w:val="none" w:sz="0" w:space="0" w:color="auto"/>
        <w:bottom w:val="none" w:sz="0" w:space="0" w:color="auto"/>
        <w:right w:val="none" w:sz="0" w:space="0" w:color="auto"/>
      </w:divBdr>
    </w:div>
    <w:div w:id="1230922879">
      <w:marLeft w:val="0"/>
      <w:marRight w:val="0"/>
      <w:marTop w:val="0"/>
      <w:marBottom w:val="0"/>
      <w:divBdr>
        <w:top w:val="none" w:sz="0" w:space="0" w:color="auto"/>
        <w:left w:val="none" w:sz="0" w:space="0" w:color="auto"/>
        <w:bottom w:val="none" w:sz="0" w:space="0" w:color="auto"/>
        <w:right w:val="none" w:sz="0" w:space="0" w:color="auto"/>
      </w:divBdr>
      <w:divsChild>
        <w:div w:id="173689102">
          <w:marLeft w:val="0"/>
          <w:marRight w:val="0"/>
          <w:marTop w:val="0"/>
          <w:marBottom w:val="0"/>
          <w:divBdr>
            <w:top w:val="none" w:sz="0" w:space="0" w:color="auto"/>
            <w:left w:val="none" w:sz="0" w:space="0" w:color="auto"/>
            <w:bottom w:val="none" w:sz="0" w:space="0" w:color="auto"/>
            <w:right w:val="none" w:sz="0" w:space="0" w:color="auto"/>
          </w:divBdr>
        </w:div>
      </w:divsChild>
    </w:div>
    <w:div w:id="1331372807">
      <w:marLeft w:val="0"/>
      <w:marRight w:val="0"/>
      <w:marTop w:val="0"/>
      <w:marBottom w:val="0"/>
      <w:divBdr>
        <w:top w:val="none" w:sz="0" w:space="0" w:color="auto"/>
        <w:left w:val="none" w:sz="0" w:space="0" w:color="auto"/>
        <w:bottom w:val="none" w:sz="0" w:space="0" w:color="auto"/>
        <w:right w:val="none" w:sz="0" w:space="0" w:color="auto"/>
      </w:divBdr>
      <w:divsChild>
        <w:div w:id="1386443826">
          <w:marLeft w:val="0"/>
          <w:marRight w:val="0"/>
          <w:marTop w:val="0"/>
          <w:marBottom w:val="0"/>
          <w:divBdr>
            <w:top w:val="none" w:sz="0" w:space="0" w:color="auto"/>
            <w:left w:val="none" w:sz="0" w:space="0" w:color="auto"/>
            <w:bottom w:val="none" w:sz="0" w:space="0" w:color="auto"/>
            <w:right w:val="none" w:sz="0" w:space="0" w:color="auto"/>
          </w:divBdr>
          <w:divsChild>
            <w:div w:id="7951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18131">
      <w:marLeft w:val="0"/>
      <w:marRight w:val="0"/>
      <w:marTop w:val="0"/>
      <w:marBottom w:val="0"/>
      <w:divBdr>
        <w:top w:val="none" w:sz="0" w:space="0" w:color="auto"/>
        <w:left w:val="none" w:sz="0" w:space="0" w:color="auto"/>
        <w:bottom w:val="none" w:sz="0" w:space="0" w:color="auto"/>
        <w:right w:val="none" w:sz="0" w:space="0" w:color="auto"/>
      </w:divBdr>
      <w:divsChild>
        <w:div w:id="1505124674">
          <w:marLeft w:val="0"/>
          <w:marRight w:val="0"/>
          <w:marTop w:val="0"/>
          <w:marBottom w:val="0"/>
          <w:divBdr>
            <w:top w:val="none" w:sz="0" w:space="0" w:color="auto"/>
            <w:left w:val="none" w:sz="0" w:space="0" w:color="auto"/>
            <w:bottom w:val="none" w:sz="0" w:space="0" w:color="auto"/>
            <w:right w:val="none" w:sz="0" w:space="0" w:color="auto"/>
          </w:divBdr>
        </w:div>
      </w:divsChild>
    </w:div>
    <w:div w:id="1390110053">
      <w:marLeft w:val="0"/>
      <w:marRight w:val="0"/>
      <w:marTop w:val="0"/>
      <w:marBottom w:val="0"/>
      <w:divBdr>
        <w:top w:val="none" w:sz="0" w:space="0" w:color="auto"/>
        <w:left w:val="none" w:sz="0" w:space="0" w:color="auto"/>
        <w:bottom w:val="none" w:sz="0" w:space="0" w:color="auto"/>
        <w:right w:val="none" w:sz="0" w:space="0" w:color="auto"/>
      </w:divBdr>
    </w:div>
    <w:div w:id="1456826450">
      <w:marLeft w:val="0"/>
      <w:marRight w:val="0"/>
      <w:marTop w:val="0"/>
      <w:marBottom w:val="0"/>
      <w:divBdr>
        <w:top w:val="none" w:sz="0" w:space="0" w:color="auto"/>
        <w:left w:val="none" w:sz="0" w:space="0" w:color="auto"/>
        <w:bottom w:val="none" w:sz="0" w:space="0" w:color="auto"/>
        <w:right w:val="none" w:sz="0" w:space="0" w:color="auto"/>
      </w:divBdr>
    </w:div>
    <w:div w:id="1551183349">
      <w:marLeft w:val="0"/>
      <w:marRight w:val="0"/>
      <w:marTop w:val="0"/>
      <w:marBottom w:val="0"/>
      <w:divBdr>
        <w:top w:val="none" w:sz="0" w:space="0" w:color="auto"/>
        <w:left w:val="none" w:sz="0" w:space="0" w:color="auto"/>
        <w:bottom w:val="none" w:sz="0" w:space="0" w:color="auto"/>
        <w:right w:val="none" w:sz="0" w:space="0" w:color="auto"/>
      </w:divBdr>
    </w:div>
    <w:div w:id="1742022404">
      <w:marLeft w:val="0"/>
      <w:marRight w:val="0"/>
      <w:marTop w:val="0"/>
      <w:marBottom w:val="0"/>
      <w:divBdr>
        <w:top w:val="none" w:sz="0" w:space="0" w:color="auto"/>
        <w:left w:val="none" w:sz="0" w:space="0" w:color="auto"/>
        <w:bottom w:val="none" w:sz="0" w:space="0" w:color="auto"/>
        <w:right w:val="none" w:sz="0" w:space="0" w:color="auto"/>
      </w:divBdr>
      <w:divsChild>
        <w:div w:id="1466388895">
          <w:marLeft w:val="0"/>
          <w:marRight w:val="0"/>
          <w:marTop w:val="0"/>
          <w:marBottom w:val="0"/>
          <w:divBdr>
            <w:top w:val="none" w:sz="0" w:space="0" w:color="auto"/>
            <w:left w:val="none" w:sz="0" w:space="0" w:color="auto"/>
            <w:bottom w:val="none" w:sz="0" w:space="0" w:color="auto"/>
            <w:right w:val="none" w:sz="0" w:space="0" w:color="auto"/>
          </w:divBdr>
        </w:div>
      </w:divsChild>
    </w:div>
    <w:div w:id="1765345640">
      <w:marLeft w:val="0"/>
      <w:marRight w:val="0"/>
      <w:marTop w:val="0"/>
      <w:marBottom w:val="0"/>
      <w:divBdr>
        <w:top w:val="none" w:sz="0" w:space="0" w:color="auto"/>
        <w:left w:val="none" w:sz="0" w:space="0" w:color="auto"/>
        <w:bottom w:val="none" w:sz="0" w:space="0" w:color="auto"/>
        <w:right w:val="none" w:sz="0" w:space="0" w:color="auto"/>
      </w:divBdr>
    </w:div>
    <w:div w:id="1921404524">
      <w:marLeft w:val="0"/>
      <w:marRight w:val="0"/>
      <w:marTop w:val="0"/>
      <w:marBottom w:val="0"/>
      <w:divBdr>
        <w:top w:val="none" w:sz="0" w:space="0" w:color="auto"/>
        <w:left w:val="none" w:sz="0" w:space="0" w:color="auto"/>
        <w:bottom w:val="none" w:sz="0" w:space="0" w:color="auto"/>
        <w:right w:val="none" w:sz="0" w:space="0" w:color="auto"/>
      </w:divBdr>
      <w:divsChild>
        <w:div w:id="1913852028">
          <w:marLeft w:val="0"/>
          <w:marRight w:val="0"/>
          <w:marTop w:val="0"/>
          <w:marBottom w:val="0"/>
          <w:divBdr>
            <w:top w:val="none" w:sz="0" w:space="0" w:color="auto"/>
            <w:left w:val="none" w:sz="0" w:space="0" w:color="auto"/>
            <w:bottom w:val="none" w:sz="0" w:space="0" w:color="auto"/>
            <w:right w:val="none" w:sz="0" w:space="0" w:color="auto"/>
          </w:divBdr>
        </w:div>
      </w:divsChild>
    </w:div>
    <w:div w:id="2066372463">
      <w:marLeft w:val="0"/>
      <w:marRight w:val="0"/>
      <w:marTop w:val="0"/>
      <w:marBottom w:val="0"/>
      <w:divBdr>
        <w:top w:val="none" w:sz="0" w:space="0" w:color="auto"/>
        <w:left w:val="none" w:sz="0" w:space="0" w:color="auto"/>
        <w:bottom w:val="none" w:sz="0" w:space="0" w:color="auto"/>
        <w:right w:val="none" w:sz="0" w:space="0" w:color="auto"/>
      </w:divBdr>
    </w:div>
    <w:div w:id="20925017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8E423-04AE-4734-87B2-CA840999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6244</Words>
  <Characters>2655</Characters>
  <Application>Microsoft Office Word</Application>
  <DocSecurity>0</DocSecurity>
  <Lines>22</Lines>
  <Paragraphs>17</Paragraphs>
  <ScaleCrop>false</ScaleCrop>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Wenyu.Qiu@FA</cp:lastModifiedBy>
  <cp:revision>3</cp:revision>
  <dcterms:created xsi:type="dcterms:W3CDTF">2025-04-15T12:20:00Z</dcterms:created>
  <dcterms:modified xsi:type="dcterms:W3CDTF">2025-04-21T08:12:00Z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