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上投摩根行业轮动混合型证券投资基金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上投摩根行业轮动混合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377530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275,988,247.61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国际经验表明，受宏观经济周期波动的影响，产业发展存</w:t>
            </w:r>
            <w:r>
              <w:rPr>
                <w:rFonts w:eastAsiaTheme="minorEastAsia"/>
                <w:color w:val="000000" w:themeColor="text1"/>
                <w:kern w:val="0"/>
                <w:szCs w:val="21"/>
              </w:rPr>
              <w:lastRenderedPageBreak/>
              <w:t>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w:t>
            </w:r>
            <w:r>
              <w:rPr>
                <w:rFonts w:eastAsiaTheme="minorEastAsia"/>
                <w:color w:val="000000" w:themeColor="text1"/>
                <w:kern w:val="0"/>
                <w:szCs w:val="21"/>
              </w:rPr>
              <w:t>产的配置是从宏观层面出发，采用定量分析和定性分析相结合的手段，综合宏观经济环境、政策形势、行业景气度和证券市场走势的综合分析，积极进行大类资产配置。</w:t>
            </w:r>
          </w:p>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本基金运用</w:t>
            </w:r>
            <w:r>
              <w:rPr>
                <w:rFonts w:eastAsiaTheme="minorEastAsia"/>
                <w:color w:val="000000" w:themeColor="text1"/>
                <w:kern w:val="0"/>
                <w:szCs w:val="21"/>
              </w:rPr>
              <w:t>"</w:t>
            </w:r>
            <w:r>
              <w:rPr>
                <w:rFonts w:eastAsiaTheme="minorEastAsia"/>
                <w:color w:val="000000" w:themeColor="text1"/>
                <w:kern w:val="0"/>
                <w:szCs w:val="21"/>
              </w:rPr>
              <w:t>投资时钟理论</w:t>
            </w:r>
            <w:r>
              <w:rPr>
                <w:rFonts w:eastAsiaTheme="minorEastAsia"/>
                <w:color w:val="000000" w:themeColor="text1"/>
                <w:kern w:val="0"/>
                <w:szCs w:val="21"/>
              </w:rPr>
              <w:t>"</w:t>
            </w:r>
            <w:r>
              <w:rPr>
                <w:rFonts w:eastAsiaTheme="minorEastAsia"/>
                <w:color w:val="000000" w:themeColor="text1"/>
                <w:kern w:val="0"/>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、个股选择</w:t>
            </w:r>
          </w:p>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本基金重点投资于强势行业中获益程度最高且具有核心竞争</w:t>
            </w:r>
            <w:r>
              <w:rPr>
                <w:rFonts w:eastAsiaTheme="minorEastAsia"/>
                <w:color w:val="000000" w:themeColor="text1"/>
                <w:kern w:val="0"/>
                <w:szCs w:val="21"/>
              </w:rPr>
              <w:t>优势的上市公司。</w:t>
            </w:r>
          </w:p>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、其他投资策略：包括可转换债券投资策略、权证投资策略、存托凭证投资策略。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80B7D" w:rsidRDefault="00E472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本基金是主动管理的混合型证券投资基金，属于证券投资基金的较高风险品种，预期风险收益水平风险高于债券基金和货币市场基金，低于股票基金。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上投摩根行业轮动混合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上投摩根行业轮动混合</w:t>
            </w:r>
            <w:r w:rsidRPr="00B27A29">
              <w:rPr>
                <w:rFonts w:eastAsiaTheme="minorEastAsia"/>
                <w:color w:val="000000" w:themeColor="text1"/>
                <w:szCs w:val="21"/>
              </w:rPr>
              <w:t>H</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377530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960006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252,688,645.39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23,299,602.22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上投摩根行业轮动混合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上投摩根行业轮动混合</w:t>
            </w:r>
            <w:r w:rsidRPr="00B27A29">
              <w:rPr>
                <w:rFonts w:eastAsiaTheme="minorEastAsia"/>
                <w:color w:val="000000" w:themeColor="text1"/>
                <w:szCs w:val="21"/>
              </w:rPr>
              <w:t>H</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29,340,135.13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2,628,378.40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223,391,923.88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19,901,574.98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0.9076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0.9109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1,059,731,037.25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98,250,933.66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4.217</w:t>
            </w:r>
          </w:p>
        </w:tc>
      </w:tr>
    </w:tbl>
    <w:p w:rsidR="00A80B7D" w:rsidRDefault="00E472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上投摩根行业轮动混合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80B7D">
        <w:tc>
          <w:tcPr>
            <w:tcW w:w="1290" w:type="dxa"/>
            <w:vAlign w:val="center"/>
          </w:tcPr>
          <w:p w:rsidR="00A80B7D" w:rsidRDefault="00E47292">
            <w:pPr>
              <w:jc w:val="left"/>
            </w:pPr>
            <w:r>
              <w:rPr>
                <w:rFonts w:eastAsiaTheme="minorEastAsia"/>
                <w:color w:val="000000" w:themeColor="text1"/>
                <w:szCs w:val="21"/>
              </w:rPr>
              <w:t>过去三个月</w:t>
            </w:r>
          </w:p>
        </w:tc>
        <w:tc>
          <w:tcPr>
            <w:tcW w:w="1291" w:type="dxa"/>
            <w:vAlign w:val="center"/>
          </w:tcPr>
          <w:p w:rsidR="00A80B7D" w:rsidRDefault="00E47292">
            <w:pPr>
              <w:jc w:val="right"/>
            </w:pPr>
            <w:r>
              <w:rPr>
                <w:rFonts w:eastAsiaTheme="minorEastAsia"/>
                <w:color w:val="000000" w:themeColor="text1"/>
                <w:szCs w:val="21"/>
              </w:rPr>
              <w:t>27.21%</w:t>
            </w:r>
          </w:p>
        </w:tc>
        <w:tc>
          <w:tcPr>
            <w:tcW w:w="1291" w:type="dxa"/>
            <w:vAlign w:val="center"/>
          </w:tcPr>
          <w:p w:rsidR="00A80B7D" w:rsidRDefault="00E47292">
            <w:pPr>
              <w:jc w:val="right"/>
            </w:pPr>
            <w:r>
              <w:rPr>
                <w:rFonts w:eastAsiaTheme="minorEastAsia"/>
                <w:color w:val="000000" w:themeColor="text1"/>
                <w:szCs w:val="21"/>
              </w:rPr>
              <w:t>1.45%</w:t>
            </w:r>
          </w:p>
        </w:tc>
        <w:tc>
          <w:tcPr>
            <w:tcW w:w="1291" w:type="dxa"/>
            <w:vAlign w:val="center"/>
          </w:tcPr>
          <w:p w:rsidR="00A80B7D" w:rsidRDefault="00E47292">
            <w:pPr>
              <w:jc w:val="right"/>
            </w:pPr>
            <w:r>
              <w:rPr>
                <w:rFonts w:eastAsiaTheme="minorEastAsia"/>
                <w:color w:val="000000" w:themeColor="text1"/>
                <w:szCs w:val="21"/>
              </w:rPr>
              <w:t>2.96%</w:t>
            </w:r>
          </w:p>
        </w:tc>
        <w:tc>
          <w:tcPr>
            <w:tcW w:w="1291" w:type="dxa"/>
            <w:vAlign w:val="center"/>
          </w:tcPr>
          <w:p w:rsidR="00A80B7D" w:rsidRDefault="00E47292">
            <w:pPr>
              <w:jc w:val="right"/>
            </w:pPr>
            <w:r>
              <w:rPr>
                <w:rFonts w:eastAsiaTheme="minorEastAsia"/>
                <w:color w:val="000000" w:themeColor="text1"/>
                <w:szCs w:val="21"/>
              </w:rPr>
              <w:t>0.78%</w:t>
            </w:r>
          </w:p>
        </w:tc>
        <w:tc>
          <w:tcPr>
            <w:tcW w:w="1291" w:type="dxa"/>
            <w:vAlign w:val="center"/>
          </w:tcPr>
          <w:p w:rsidR="00A80B7D" w:rsidRDefault="00E47292">
            <w:pPr>
              <w:jc w:val="right"/>
            </w:pPr>
            <w:r>
              <w:rPr>
                <w:rFonts w:eastAsiaTheme="minorEastAsia"/>
                <w:color w:val="000000" w:themeColor="text1"/>
                <w:szCs w:val="21"/>
              </w:rPr>
              <w:t>24.25%</w:t>
            </w:r>
          </w:p>
        </w:tc>
        <w:tc>
          <w:tcPr>
            <w:tcW w:w="1291" w:type="dxa"/>
            <w:vAlign w:val="center"/>
          </w:tcPr>
          <w:p w:rsidR="00A80B7D" w:rsidRDefault="00E47292">
            <w:pPr>
              <w:jc w:val="right"/>
            </w:pPr>
            <w:r>
              <w:rPr>
                <w:rFonts w:eastAsiaTheme="minorEastAsia"/>
                <w:color w:val="000000" w:themeColor="text1"/>
                <w:szCs w:val="21"/>
              </w:rPr>
              <w:t>0.67%</w:t>
            </w:r>
          </w:p>
        </w:tc>
      </w:tr>
      <w:tr w:rsidR="00A80B7D">
        <w:tc>
          <w:tcPr>
            <w:tcW w:w="1290" w:type="dxa"/>
            <w:vAlign w:val="center"/>
          </w:tcPr>
          <w:p w:rsidR="00A80B7D" w:rsidRDefault="00E47292">
            <w:pPr>
              <w:jc w:val="left"/>
            </w:pPr>
            <w:r>
              <w:rPr>
                <w:rFonts w:eastAsiaTheme="minorEastAsia"/>
                <w:color w:val="000000" w:themeColor="text1"/>
                <w:szCs w:val="21"/>
              </w:rPr>
              <w:t>过去六个月</w:t>
            </w:r>
          </w:p>
        </w:tc>
        <w:tc>
          <w:tcPr>
            <w:tcW w:w="1291" w:type="dxa"/>
            <w:vAlign w:val="center"/>
          </w:tcPr>
          <w:p w:rsidR="00A80B7D" w:rsidRDefault="00E47292">
            <w:pPr>
              <w:jc w:val="right"/>
            </w:pPr>
            <w:r>
              <w:rPr>
                <w:rFonts w:eastAsiaTheme="minorEastAsia"/>
                <w:color w:val="000000" w:themeColor="text1"/>
                <w:szCs w:val="21"/>
              </w:rPr>
              <w:t>23.50%</w:t>
            </w:r>
          </w:p>
        </w:tc>
        <w:tc>
          <w:tcPr>
            <w:tcW w:w="1291" w:type="dxa"/>
            <w:vAlign w:val="center"/>
          </w:tcPr>
          <w:p w:rsidR="00A80B7D" w:rsidRDefault="00E47292">
            <w:pPr>
              <w:jc w:val="right"/>
            </w:pPr>
            <w:r>
              <w:rPr>
                <w:rFonts w:eastAsiaTheme="minorEastAsia"/>
                <w:color w:val="000000" w:themeColor="text1"/>
                <w:szCs w:val="21"/>
              </w:rPr>
              <w:t>1.92%</w:t>
            </w:r>
          </w:p>
        </w:tc>
        <w:tc>
          <w:tcPr>
            <w:tcW w:w="1291" w:type="dxa"/>
            <w:vAlign w:val="center"/>
          </w:tcPr>
          <w:p w:rsidR="00A80B7D" w:rsidRDefault="00E47292">
            <w:pPr>
              <w:jc w:val="right"/>
            </w:pPr>
            <w:r>
              <w:rPr>
                <w:rFonts w:eastAsiaTheme="minorEastAsia"/>
                <w:color w:val="000000" w:themeColor="text1"/>
                <w:szCs w:val="21"/>
              </w:rPr>
              <w:t>0.53%</w:t>
            </w:r>
          </w:p>
        </w:tc>
        <w:tc>
          <w:tcPr>
            <w:tcW w:w="1291" w:type="dxa"/>
            <w:vAlign w:val="center"/>
          </w:tcPr>
          <w:p w:rsidR="00A80B7D" w:rsidRDefault="00E47292">
            <w:pPr>
              <w:jc w:val="right"/>
            </w:pPr>
            <w:r>
              <w:rPr>
                <w:rFonts w:eastAsiaTheme="minorEastAsia"/>
                <w:color w:val="000000" w:themeColor="text1"/>
                <w:szCs w:val="21"/>
              </w:rPr>
              <w:t>1.05%</w:t>
            </w:r>
          </w:p>
        </w:tc>
        <w:tc>
          <w:tcPr>
            <w:tcW w:w="1291" w:type="dxa"/>
            <w:vAlign w:val="center"/>
          </w:tcPr>
          <w:p w:rsidR="00A80B7D" w:rsidRDefault="00E47292">
            <w:pPr>
              <w:jc w:val="right"/>
            </w:pPr>
            <w:r>
              <w:rPr>
                <w:rFonts w:eastAsiaTheme="minorEastAsia"/>
                <w:color w:val="000000" w:themeColor="text1"/>
                <w:szCs w:val="21"/>
              </w:rPr>
              <w:t>22.97%</w:t>
            </w:r>
          </w:p>
        </w:tc>
        <w:tc>
          <w:tcPr>
            <w:tcW w:w="1291" w:type="dxa"/>
            <w:vAlign w:val="center"/>
          </w:tcPr>
          <w:p w:rsidR="00A80B7D" w:rsidRDefault="00E47292">
            <w:pPr>
              <w:jc w:val="right"/>
            </w:pPr>
            <w:r>
              <w:rPr>
                <w:rFonts w:eastAsiaTheme="minorEastAsia"/>
                <w:color w:val="000000" w:themeColor="text1"/>
                <w:szCs w:val="21"/>
              </w:rPr>
              <w:t>0.87%</w:t>
            </w:r>
          </w:p>
        </w:tc>
      </w:tr>
      <w:tr w:rsidR="00A80B7D">
        <w:tc>
          <w:tcPr>
            <w:tcW w:w="1290" w:type="dxa"/>
            <w:vAlign w:val="center"/>
          </w:tcPr>
          <w:p w:rsidR="00A80B7D" w:rsidRDefault="00E47292">
            <w:pPr>
              <w:jc w:val="left"/>
            </w:pPr>
            <w:r>
              <w:rPr>
                <w:rFonts w:eastAsiaTheme="minorEastAsia"/>
                <w:color w:val="000000" w:themeColor="text1"/>
                <w:szCs w:val="21"/>
              </w:rPr>
              <w:t>过去一年</w:t>
            </w:r>
          </w:p>
        </w:tc>
        <w:tc>
          <w:tcPr>
            <w:tcW w:w="1291" w:type="dxa"/>
            <w:vAlign w:val="center"/>
          </w:tcPr>
          <w:p w:rsidR="00A80B7D" w:rsidRDefault="00E47292">
            <w:pPr>
              <w:jc w:val="right"/>
            </w:pPr>
            <w:r>
              <w:rPr>
                <w:rFonts w:eastAsiaTheme="minorEastAsia"/>
                <w:color w:val="000000" w:themeColor="text1"/>
                <w:szCs w:val="21"/>
              </w:rPr>
              <w:t>47.16%</w:t>
            </w:r>
          </w:p>
        </w:tc>
        <w:tc>
          <w:tcPr>
            <w:tcW w:w="1291" w:type="dxa"/>
            <w:vAlign w:val="center"/>
          </w:tcPr>
          <w:p w:rsidR="00A80B7D" w:rsidRDefault="00E47292">
            <w:pPr>
              <w:jc w:val="right"/>
            </w:pPr>
            <w:r>
              <w:rPr>
                <w:rFonts w:eastAsiaTheme="minorEastAsia"/>
                <w:color w:val="000000" w:themeColor="text1"/>
                <w:szCs w:val="21"/>
              </w:rPr>
              <w:t>1.89%</w:t>
            </w:r>
          </w:p>
        </w:tc>
        <w:tc>
          <w:tcPr>
            <w:tcW w:w="1291" w:type="dxa"/>
            <w:vAlign w:val="center"/>
          </w:tcPr>
          <w:p w:rsidR="00A80B7D" w:rsidRDefault="00E47292">
            <w:pPr>
              <w:jc w:val="right"/>
            </w:pPr>
            <w:r>
              <w:rPr>
                <w:rFonts w:eastAsiaTheme="minorEastAsia"/>
                <w:color w:val="000000" w:themeColor="text1"/>
                <w:szCs w:val="21"/>
              </w:rPr>
              <w:t>20.85%</w:t>
            </w:r>
          </w:p>
        </w:tc>
        <w:tc>
          <w:tcPr>
            <w:tcW w:w="1291" w:type="dxa"/>
            <w:vAlign w:val="center"/>
          </w:tcPr>
          <w:p w:rsidR="00A80B7D" w:rsidRDefault="00E47292">
            <w:pPr>
              <w:jc w:val="right"/>
            </w:pPr>
            <w:r>
              <w:rPr>
                <w:rFonts w:eastAsiaTheme="minorEastAsia"/>
                <w:color w:val="000000" w:themeColor="text1"/>
                <w:szCs w:val="21"/>
              </w:rPr>
              <w:t>1.07%</w:t>
            </w:r>
          </w:p>
        </w:tc>
        <w:tc>
          <w:tcPr>
            <w:tcW w:w="1291" w:type="dxa"/>
            <w:vAlign w:val="center"/>
          </w:tcPr>
          <w:p w:rsidR="00A80B7D" w:rsidRDefault="00E47292">
            <w:pPr>
              <w:jc w:val="right"/>
            </w:pPr>
            <w:r>
              <w:rPr>
                <w:rFonts w:eastAsiaTheme="minorEastAsia"/>
                <w:color w:val="000000" w:themeColor="text1"/>
                <w:szCs w:val="21"/>
              </w:rPr>
              <w:t>26.31%</w:t>
            </w:r>
          </w:p>
        </w:tc>
        <w:tc>
          <w:tcPr>
            <w:tcW w:w="1291" w:type="dxa"/>
            <w:vAlign w:val="center"/>
          </w:tcPr>
          <w:p w:rsidR="00A80B7D" w:rsidRDefault="00E47292">
            <w:pPr>
              <w:jc w:val="right"/>
            </w:pPr>
            <w:r>
              <w:rPr>
                <w:rFonts w:eastAsiaTheme="minorEastAsia"/>
                <w:color w:val="000000" w:themeColor="text1"/>
                <w:szCs w:val="21"/>
              </w:rPr>
              <w:t>0.82%</w:t>
            </w:r>
          </w:p>
        </w:tc>
      </w:tr>
      <w:tr w:rsidR="00A80B7D">
        <w:tc>
          <w:tcPr>
            <w:tcW w:w="1290" w:type="dxa"/>
            <w:vAlign w:val="center"/>
          </w:tcPr>
          <w:p w:rsidR="00A80B7D" w:rsidRDefault="00E47292">
            <w:pPr>
              <w:jc w:val="left"/>
            </w:pPr>
            <w:r>
              <w:rPr>
                <w:rFonts w:eastAsiaTheme="minorEastAsia"/>
                <w:color w:val="000000" w:themeColor="text1"/>
                <w:szCs w:val="21"/>
              </w:rPr>
              <w:t>过去三年</w:t>
            </w:r>
          </w:p>
        </w:tc>
        <w:tc>
          <w:tcPr>
            <w:tcW w:w="1291" w:type="dxa"/>
            <w:vAlign w:val="center"/>
          </w:tcPr>
          <w:p w:rsidR="00A80B7D" w:rsidRDefault="00E47292">
            <w:pPr>
              <w:jc w:val="right"/>
            </w:pPr>
            <w:r>
              <w:rPr>
                <w:rFonts w:eastAsiaTheme="minorEastAsia"/>
                <w:color w:val="000000" w:themeColor="text1"/>
                <w:szCs w:val="21"/>
              </w:rPr>
              <w:t>152.04%</w:t>
            </w:r>
          </w:p>
        </w:tc>
        <w:tc>
          <w:tcPr>
            <w:tcW w:w="1291" w:type="dxa"/>
            <w:vAlign w:val="center"/>
          </w:tcPr>
          <w:p w:rsidR="00A80B7D" w:rsidRDefault="00E47292">
            <w:pPr>
              <w:jc w:val="right"/>
            </w:pPr>
            <w:r>
              <w:rPr>
                <w:rFonts w:eastAsiaTheme="minorEastAsia"/>
                <w:color w:val="000000" w:themeColor="text1"/>
                <w:szCs w:val="21"/>
              </w:rPr>
              <w:t>1.77%</w:t>
            </w:r>
          </w:p>
        </w:tc>
        <w:tc>
          <w:tcPr>
            <w:tcW w:w="1291" w:type="dxa"/>
            <w:vAlign w:val="center"/>
          </w:tcPr>
          <w:p w:rsidR="00A80B7D" w:rsidRDefault="00E47292">
            <w:pPr>
              <w:jc w:val="right"/>
            </w:pPr>
            <w:r>
              <w:rPr>
                <w:rFonts w:eastAsiaTheme="minorEastAsia"/>
                <w:color w:val="000000" w:themeColor="text1"/>
                <w:szCs w:val="21"/>
              </w:rPr>
              <w:t>41.62%</w:t>
            </w:r>
          </w:p>
        </w:tc>
        <w:tc>
          <w:tcPr>
            <w:tcW w:w="1291" w:type="dxa"/>
            <w:vAlign w:val="center"/>
          </w:tcPr>
          <w:p w:rsidR="00A80B7D" w:rsidRDefault="00E47292">
            <w:pPr>
              <w:jc w:val="right"/>
            </w:pPr>
            <w:r>
              <w:rPr>
                <w:rFonts w:eastAsiaTheme="minorEastAsia"/>
                <w:color w:val="000000" w:themeColor="text1"/>
                <w:szCs w:val="21"/>
              </w:rPr>
              <w:t>1.09%</w:t>
            </w:r>
          </w:p>
        </w:tc>
        <w:tc>
          <w:tcPr>
            <w:tcW w:w="1291" w:type="dxa"/>
            <w:vAlign w:val="center"/>
          </w:tcPr>
          <w:p w:rsidR="00A80B7D" w:rsidRDefault="00E47292">
            <w:pPr>
              <w:jc w:val="right"/>
            </w:pPr>
            <w:r>
              <w:rPr>
                <w:rFonts w:eastAsiaTheme="minorEastAsia"/>
                <w:color w:val="000000" w:themeColor="text1"/>
                <w:szCs w:val="21"/>
              </w:rPr>
              <w:t>110.42%</w:t>
            </w:r>
          </w:p>
        </w:tc>
        <w:tc>
          <w:tcPr>
            <w:tcW w:w="1291" w:type="dxa"/>
            <w:vAlign w:val="center"/>
          </w:tcPr>
          <w:p w:rsidR="00A80B7D" w:rsidRDefault="00E47292">
            <w:pPr>
              <w:jc w:val="right"/>
            </w:pPr>
            <w:r>
              <w:rPr>
                <w:rFonts w:eastAsiaTheme="minorEastAsia"/>
                <w:color w:val="000000" w:themeColor="text1"/>
                <w:szCs w:val="21"/>
              </w:rPr>
              <w:t>0.68%</w:t>
            </w:r>
          </w:p>
        </w:tc>
      </w:tr>
      <w:tr w:rsidR="00A80B7D">
        <w:tc>
          <w:tcPr>
            <w:tcW w:w="1290" w:type="dxa"/>
            <w:vAlign w:val="center"/>
          </w:tcPr>
          <w:p w:rsidR="00A80B7D" w:rsidRDefault="00E47292">
            <w:pPr>
              <w:jc w:val="left"/>
            </w:pPr>
            <w:r>
              <w:rPr>
                <w:rFonts w:eastAsiaTheme="minorEastAsia"/>
                <w:color w:val="000000" w:themeColor="text1"/>
                <w:szCs w:val="21"/>
              </w:rPr>
              <w:t>过去五年</w:t>
            </w:r>
          </w:p>
        </w:tc>
        <w:tc>
          <w:tcPr>
            <w:tcW w:w="1291" w:type="dxa"/>
            <w:vAlign w:val="center"/>
          </w:tcPr>
          <w:p w:rsidR="00A80B7D" w:rsidRDefault="00E47292">
            <w:pPr>
              <w:jc w:val="right"/>
            </w:pPr>
            <w:r>
              <w:rPr>
                <w:rFonts w:eastAsiaTheme="minorEastAsia"/>
                <w:color w:val="000000" w:themeColor="text1"/>
                <w:szCs w:val="21"/>
              </w:rPr>
              <w:t>165.49%</w:t>
            </w:r>
          </w:p>
        </w:tc>
        <w:tc>
          <w:tcPr>
            <w:tcW w:w="1291" w:type="dxa"/>
            <w:vAlign w:val="center"/>
          </w:tcPr>
          <w:p w:rsidR="00A80B7D" w:rsidRDefault="00E47292">
            <w:pPr>
              <w:jc w:val="right"/>
            </w:pPr>
            <w:r>
              <w:rPr>
                <w:rFonts w:eastAsiaTheme="minorEastAsia"/>
                <w:color w:val="000000" w:themeColor="text1"/>
                <w:szCs w:val="21"/>
              </w:rPr>
              <w:t>1.61%</w:t>
            </w:r>
          </w:p>
        </w:tc>
        <w:tc>
          <w:tcPr>
            <w:tcW w:w="1291" w:type="dxa"/>
            <w:vAlign w:val="center"/>
          </w:tcPr>
          <w:p w:rsidR="00A80B7D" w:rsidRDefault="00E47292">
            <w:pPr>
              <w:jc w:val="right"/>
            </w:pPr>
            <w:r>
              <w:rPr>
                <w:rFonts w:eastAsiaTheme="minorEastAsia"/>
                <w:color w:val="000000" w:themeColor="text1"/>
                <w:szCs w:val="21"/>
              </w:rPr>
              <w:t>56.21%</w:t>
            </w:r>
          </w:p>
        </w:tc>
        <w:tc>
          <w:tcPr>
            <w:tcW w:w="1291" w:type="dxa"/>
            <w:vAlign w:val="center"/>
          </w:tcPr>
          <w:p w:rsidR="00A80B7D" w:rsidRDefault="00E47292">
            <w:pPr>
              <w:jc w:val="right"/>
            </w:pPr>
            <w:r>
              <w:rPr>
                <w:rFonts w:eastAsiaTheme="minorEastAsia"/>
                <w:color w:val="000000" w:themeColor="text1"/>
                <w:szCs w:val="21"/>
              </w:rPr>
              <w:t>0.94%</w:t>
            </w:r>
          </w:p>
        </w:tc>
        <w:tc>
          <w:tcPr>
            <w:tcW w:w="1291" w:type="dxa"/>
            <w:vAlign w:val="center"/>
          </w:tcPr>
          <w:p w:rsidR="00A80B7D" w:rsidRDefault="00E47292">
            <w:pPr>
              <w:jc w:val="right"/>
            </w:pPr>
            <w:r>
              <w:rPr>
                <w:rFonts w:eastAsiaTheme="minorEastAsia"/>
                <w:color w:val="000000" w:themeColor="text1"/>
                <w:szCs w:val="21"/>
              </w:rPr>
              <w:t>109.28%</w:t>
            </w:r>
          </w:p>
        </w:tc>
        <w:tc>
          <w:tcPr>
            <w:tcW w:w="1291" w:type="dxa"/>
            <w:vAlign w:val="center"/>
          </w:tcPr>
          <w:p w:rsidR="00A80B7D" w:rsidRDefault="00E47292">
            <w:pPr>
              <w:jc w:val="right"/>
            </w:pPr>
            <w:r>
              <w:rPr>
                <w:rFonts w:eastAsiaTheme="minorEastAsia"/>
                <w:color w:val="000000" w:themeColor="text1"/>
                <w:szCs w:val="21"/>
              </w:rPr>
              <w:t>0.67%</w:t>
            </w:r>
          </w:p>
        </w:tc>
      </w:tr>
      <w:tr w:rsidR="00A80B7D">
        <w:tc>
          <w:tcPr>
            <w:tcW w:w="1290" w:type="dxa"/>
            <w:vAlign w:val="center"/>
          </w:tcPr>
          <w:p w:rsidR="00A80B7D" w:rsidRDefault="00E47292">
            <w:pPr>
              <w:jc w:val="left"/>
            </w:pPr>
            <w:r>
              <w:rPr>
                <w:rFonts w:eastAsiaTheme="minorEastAsia"/>
                <w:color w:val="000000" w:themeColor="text1"/>
                <w:szCs w:val="21"/>
              </w:rPr>
              <w:t>自基金合同生效起至今</w:t>
            </w:r>
          </w:p>
        </w:tc>
        <w:tc>
          <w:tcPr>
            <w:tcW w:w="1291" w:type="dxa"/>
            <w:vAlign w:val="center"/>
          </w:tcPr>
          <w:p w:rsidR="00A80B7D" w:rsidRDefault="00E47292">
            <w:pPr>
              <w:jc w:val="right"/>
            </w:pPr>
            <w:r>
              <w:rPr>
                <w:rFonts w:eastAsiaTheme="minorEastAsia"/>
                <w:color w:val="000000" w:themeColor="text1"/>
                <w:szCs w:val="21"/>
              </w:rPr>
              <w:t>395.40%</w:t>
            </w:r>
          </w:p>
        </w:tc>
        <w:tc>
          <w:tcPr>
            <w:tcW w:w="1291" w:type="dxa"/>
            <w:vAlign w:val="center"/>
          </w:tcPr>
          <w:p w:rsidR="00A80B7D" w:rsidRDefault="00E47292">
            <w:pPr>
              <w:jc w:val="right"/>
            </w:pPr>
            <w:r>
              <w:rPr>
                <w:rFonts w:eastAsiaTheme="minorEastAsia"/>
                <w:color w:val="000000" w:themeColor="text1"/>
                <w:szCs w:val="21"/>
              </w:rPr>
              <w:t>1.70%</w:t>
            </w:r>
          </w:p>
        </w:tc>
        <w:tc>
          <w:tcPr>
            <w:tcW w:w="1291" w:type="dxa"/>
            <w:vAlign w:val="center"/>
          </w:tcPr>
          <w:p w:rsidR="00A80B7D" w:rsidRDefault="00E47292">
            <w:pPr>
              <w:jc w:val="right"/>
            </w:pPr>
            <w:r>
              <w:rPr>
                <w:rFonts w:eastAsiaTheme="minorEastAsia"/>
                <w:color w:val="000000" w:themeColor="text1"/>
                <w:szCs w:val="21"/>
              </w:rPr>
              <w:t>61.16%</w:t>
            </w:r>
          </w:p>
        </w:tc>
        <w:tc>
          <w:tcPr>
            <w:tcW w:w="1291" w:type="dxa"/>
            <w:vAlign w:val="center"/>
          </w:tcPr>
          <w:p w:rsidR="00A80B7D" w:rsidRDefault="00E47292">
            <w:pPr>
              <w:jc w:val="right"/>
            </w:pPr>
            <w:r>
              <w:rPr>
                <w:rFonts w:eastAsiaTheme="minorEastAsia"/>
                <w:color w:val="000000" w:themeColor="text1"/>
                <w:szCs w:val="21"/>
              </w:rPr>
              <w:t>1.16%</w:t>
            </w:r>
          </w:p>
        </w:tc>
        <w:tc>
          <w:tcPr>
            <w:tcW w:w="1291" w:type="dxa"/>
            <w:vAlign w:val="center"/>
          </w:tcPr>
          <w:p w:rsidR="00A80B7D" w:rsidRDefault="00E47292">
            <w:pPr>
              <w:jc w:val="right"/>
            </w:pPr>
            <w:r>
              <w:rPr>
                <w:rFonts w:eastAsiaTheme="minorEastAsia"/>
                <w:color w:val="000000" w:themeColor="text1"/>
                <w:szCs w:val="21"/>
              </w:rPr>
              <w:t>334.24%</w:t>
            </w:r>
          </w:p>
        </w:tc>
        <w:tc>
          <w:tcPr>
            <w:tcW w:w="1291" w:type="dxa"/>
            <w:vAlign w:val="center"/>
          </w:tcPr>
          <w:p w:rsidR="00A80B7D" w:rsidRDefault="00E47292">
            <w:pPr>
              <w:jc w:val="right"/>
            </w:pPr>
            <w:r>
              <w:rPr>
                <w:rFonts w:eastAsiaTheme="minorEastAsia"/>
                <w:color w:val="000000" w:themeColor="text1"/>
                <w:szCs w:val="21"/>
              </w:rPr>
              <w:t>0.54%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上投摩根行业轮动混合</w:t>
      </w:r>
      <w:r w:rsidRPr="00B27A29">
        <w:rPr>
          <w:rFonts w:eastAsiaTheme="minorEastAsia"/>
          <w:b/>
          <w:color w:val="000000" w:themeColor="text1"/>
          <w:kern w:val="0"/>
          <w:szCs w:val="21"/>
        </w:rPr>
        <w:t>H</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80B7D">
        <w:tc>
          <w:tcPr>
            <w:tcW w:w="1290" w:type="dxa"/>
            <w:vAlign w:val="center"/>
          </w:tcPr>
          <w:p w:rsidR="00A80B7D" w:rsidRDefault="00E47292">
            <w:pPr>
              <w:jc w:val="left"/>
            </w:pPr>
            <w:r>
              <w:rPr>
                <w:rFonts w:eastAsiaTheme="minorEastAsia"/>
                <w:color w:val="000000" w:themeColor="text1"/>
                <w:szCs w:val="21"/>
              </w:rPr>
              <w:t>过去三个月</w:t>
            </w:r>
          </w:p>
        </w:tc>
        <w:tc>
          <w:tcPr>
            <w:tcW w:w="1291" w:type="dxa"/>
            <w:vAlign w:val="center"/>
          </w:tcPr>
          <w:p w:rsidR="00A80B7D" w:rsidRDefault="00E47292">
            <w:pPr>
              <w:jc w:val="right"/>
            </w:pPr>
            <w:r>
              <w:rPr>
                <w:rFonts w:eastAsiaTheme="minorEastAsia"/>
                <w:color w:val="000000" w:themeColor="text1"/>
                <w:szCs w:val="21"/>
              </w:rPr>
              <w:t>27.17%</w:t>
            </w:r>
          </w:p>
        </w:tc>
        <w:tc>
          <w:tcPr>
            <w:tcW w:w="1291" w:type="dxa"/>
            <w:vAlign w:val="center"/>
          </w:tcPr>
          <w:p w:rsidR="00A80B7D" w:rsidRDefault="00E47292">
            <w:pPr>
              <w:jc w:val="right"/>
            </w:pPr>
            <w:r>
              <w:rPr>
                <w:rFonts w:eastAsiaTheme="minorEastAsia"/>
                <w:color w:val="000000" w:themeColor="text1"/>
                <w:szCs w:val="21"/>
              </w:rPr>
              <w:t>1.45%</w:t>
            </w:r>
          </w:p>
        </w:tc>
        <w:tc>
          <w:tcPr>
            <w:tcW w:w="1291" w:type="dxa"/>
            <w:vAlign w:val="center"/>
          </w:tcPr>
          <w:p w:rsidR="00A80B7D" w:rsidRDefault="00E47292">
            <w:pPr>
              <w:jc w:val="right"/>
            </w:pPr>
            <w:r>
              <w:rPr>
                <w:rFonts w:eastAsiaTheme="minorEastAsia"/>
                <w:color w:val="000000" w:themeColor="text1"/>
                <w:szCs w:val="21"/>
              </w:rPr>
              <w:t>2.96%</w:t>
            </w:r>
          </w:p>
        </w:tc>
        <w:tc>
          <w:tcPr>
            <w:tcW w:w="1291" w:type="dxa"/>
            <w:vAlign w:val="center"/>
          </w:tcPr>
          <w:p w:rsidR="00A80B7D" w:rsidRDefault="00E47292">
            <w:pPr>
              <w:jc w:val="right"/>
            </w:pPr>
            <w:r>
              <w:rPr>
                <w:rFonts w:eastAsiaTheme="minorEastAsia"/>
                <w:color w:val="000000" w:themeColor="text1"/>
                <w:szCs w:val="21"/>
              </w:rPr>
              <w:t>0.78%</w:t>
            </w:r>
          </w:p>
        </w:tc>
        <w:tc>
          <w:tcPr>
            <w:tcW w:w="1291" w:type="dxa"/>
            <w:vAlign w:val="center"/>
          </w:tcPr>
          <w:p w:rsidR="00A80B7D" w:rsidRDefault="00E47292">
            <w:pPr>
              <w:jc w:val="right"/>
            </w:pPr>
            <w:r>
              <w:rPr>
                <w:rFonts w:eastAsiaTheme="minorEastAsia"/>
                <w:color w:val="000000" w:themeColor="text1"/>
                <w:szCs w:val="21"/>
              </w:rPr>
              <w:t>24.21%</w:t>
            </w:r>
          </w:p>
        </w:tc>
        <w:tc>
          <w:tcPr>
            <w:tcW w:w="1291" w:type="dxa"/>
            <w:vAlign w:val="center"/>
          </w:tcPr>
          <w:p w:rsidR="00A80B7D" w:rsidRDefault="00E47292">
            <w:pPr>
              <w:jc w:val="right"/>
            </w:pPr>
            <w:r>
              <w:rPr>
                <w:rFonts w:eastAsiaTheme="minorEastAsia"/>
                <w:color w:val="000000" w:themeColor="text1"/>
                <w:szCs w:val="21"/>
              </w:rPr>
              <w:t>0.67%</w:t>
            </w:r>
          </w:p>
        </w:tc>
      </w:tr>
      <w:tr w:rsidR="00A80B7D">
        <w:tc>
          <w:tcPr>
            <w:tcW w:w="1290" w:type="dxa"/>
            <w:vAlign w:val="center"/>
          </w:tcPr>
          <w:p w:rsidR="00A80B7D" w:rsidRDefault="00E47292">
            <w:pPr>
              <w:jc w:val="left"/>
            </w:pPr>
            <w:r>
              <w:rPr>
                <w:rFonts w:eastAsiaTheme="minorEastAsia"/>
                <w:color w:val="000000" w:themeColor="text1"/>
                <w:szCs w:val="21"/>
              </w:rPr>
              <w:t>过去六个月</w:t>
            </w:r>
          </w:p>
        </w:tc>
        <w:tc>
          <w:tcPr>
            <w:tcW w:w="1291" w:type="dxa"/>
            <w:vAlign w:val="center"/>
          </w:tcPr>
          <w:p w:rsidR="00A80B7D" w:rsidRDefault="00E47292">
            <w:pPr>
              <w:jc w:val="right"/>
            </w:pPr>
            <w:r>
              <w:rPr>
                <w:rFonts w:eastAsiaTheme="minorEastAsia"/>
                <w:color w:val="000000" w:themeColor="text1"/>
                <w:szCs w:val="21"/>
              </w:rPr>
              <w:t>23.48%</w:t>
            </w:r>
          </w:p>
        </w:tc>
        <w:tc>
          <w:tcPr>
            <w:tcW w:w="1291" w:type="dxa"/>
            <w:vAlign w:val="center"/>
          </w:tcPr>
          <w:p w:rsidR="00A80B7D" w:rsidRDefault="00E47292">
            <w:pPr>
              <w:jc w:val="right"/>
            </w:pPr>
            <w:r>
              <w:rPr>
                <w:rFonts w:eastAsiaTheme="minorEastAsia"/>
                <w:color w:val="000000" w:themeColor="text1"/>
                <w:szCs w:val="21"/>
              </w:rPr>
              <w:t>1.92%</w:t>
            </w:r>
          </w:p>
        </w:tc>
        <w:tc>
          <w:tcPr>
            <w:tcW w:w="1291" w:type="dxa"/>
            <w:vAlign w:val="center"/>
          </w:tcPr>
          <w:p w:rsidR="00A80B7D" w:rsidRDefault="00E47292">
            <w:pPr>
              <w:jc w:val="right"/>
            </w:pPr>
            <w:r>
              <w:rPr>
                <w:rFonts w:eastAsiaTheme="minorEastAsia"/>
                <w:color w:val="000000" w:themeColor="text1"/>
                <w:szCs w:val="21"/>
              </w:rPr>
              <w:t>0.53%</w:t>
            </w:r>
          </w:p>
        </w:tc>
        <w:tc>
          <w:tcPr>
            <w:tcW w:w="1291" w:type="dxa"/>
            <w:vAlign w:val="center"/>
          </w:tcPr>
          <w:p w:rsidR="00A80B7D" w:rsidRDefault="00E47292">
            <w:pPr>
              <w:jc w:val="right"/>
            </w:pPr>
            <w:r>
              <w:rPr>
                <w:rFonts w:eastAsiaTheme="minorEastAsia"/>
                <w:color w:val="000000" w:themeColor="text1"/>
                <w:szCs w:val="21"/>
              </w:rPr>
              <w:t>1.05%</w:t>
            </w:r>
          </w:p>
        </w:tc>
        <w:tc>
          <w:tcPr>
            <w:tcW w:w="1291" w:type="dxa"/>
            <w:vAlign w:val="center"/>
          </w:tcPr>
          <w:p w:rsidR="00A80B7D" w:rsidRDefault="00E47292">
            <w:pPr>
              <w:jc w:val="right"/>
            </w:pPr>
            <w:r>
              <w:rPr>
                <w:rFonts w:eastAsiaTheme="minorEastAsia"/>
                <w:color w:val="000000" w:themeColor="text1"/>
                <w:szCs w:val="21"/>
              </w:rPr>
              <w:t>22.95%</w:t>
            </w:r>
          </w:p>
        </w:tc>
        <w:tc>
          <w:tcPr>
            <w:tcW w:w="1291" w:type="dxa"/>
            <w:vAlign w:val="center"/>
          </w:tcPr>
          <w:p w:rsidR="00A80B7D" w:rsidRDefault="00E47292">
            <w:pPr>
              <w:jc w:val="right"/>
            </w:pPr>
            <w:r>
              <w:rPr>
                <w:rFonts w:eastAsiaTheme="minorEastAsia"/>
                <w:color w:val="000000" w:themeColor="text1"/>
                <w:szCs w:val="21"/>
              </w:rPr>
              <w:t>0.87%</w:t>
            </w:r>
          </w:p>
        </w:tc>
      </w:tr>
      <w:tr w:rsidR="00A80B7D">
        <w:tc>
          <w:tcPr>
            <w:tcW w:w="1290" w:type="dxa"/>
            <w:vAlign w:val="center"/>
          </w:tcPr>
          <w:p w:rsidR="00A80B7D" w:rsidRDefault="00E47292">
            <w:pPr>
              <w:jc w:val="left"/>
            </w:pPr>
            <w:r>
              <w:rPr>
                <w:rFonts w:eastAsiaTheme="minorEastAsia"/>
                <w:color w:val="000000" w:themeColor="text1"/>
                <w:szCs w:val="21"/>
              </w:rPr>
              <w:t>过去一年</w:t>
            </w:r>
          </w:p>
        </w:tc>
        <w:tc>
          <w:tcPr>
            <w:tcW w:w="1291" w:type="dxa"/>
            <w:vAlign w:val="center"/>
          </w:tcPr>
          <w:p w:rsidR="00A80B7D" w:rsidRDefault="00E47292">
            <w:pPr>
              <w:jc w:val="right"/>
            </w:pPr>
            <w:r>
              <w:rPr>
                <w:rFonts w:eastAsiaTheme="minorEastAsia"/>
                <w:color w:val="000000" w:themeColor="text1"/>
                <w:szCs w:val="21"/>
              </w:rPr>
              <w:t>47.14%</w:t>
            </w:r>
          </w:p>
        </w:tc>
        <w:tc>
          <w:tcPr>
            <w:tcW w:w="1291" w:type="dxa"/>
            <w:vAlign w:val="center"/>
          </w:tcPr>
          <w:p w:rsidR="00A80B7D" w:rsidRDefault="00E47292">
            <w:pPr>
              <w:jc w:val="right"/>
            </w:pPr>
            <w:r>
              <w:rPr>
                <w:rFonts w:eastAsiaTheme="minorEastAsia"/>
                <w:color w:val="000000" w:themeColor="text1"/>
                <w:szCs w:val="21"/>
              </w:rPr>
              <w:t>1.89%</w:t>
            </w:r>
          </w:p>
        </w:tc>
        <w:tc>
          <w:tcPr>
            <w:tcW w:w="1291" w:type="dxa"/>
            <w:vAlign w:val="center"/>
          </w:tcPr>
          <w:p w:rsidR="00A80B7D" w:rsidRDefault="00E47292">
            <w:pPr>
              <w:jc w:val="right"/>
            </w:pPr>
            <w:r>
              <w:rPr>
                <w:rFonts w:eastAsiaTheme="minorEastAsia"/>
                <w:color w:val="000000" w:themeColor="text1"/>
                <w:szCs w:val="21"/>
              </w:rPr>
              <w:t>20.85%</w:t>
            </w:r>
          </w:p>
        </w:tc>
        <w:tc>
          <w:tcPr>
            <w:tcW w:w="1291" w:type="dxa"/>
            <w:vAlign w:val="center"/>
          </w:tcPr>
          <w:p w:rsidR="00A80B7D" w:rsidRDefault="00E47292">
            <w:pPr>
              <w:jc w:val="right"/>
            </w:pPr>
            <w:r>
              <w:rPr>
                <w:rFonts w:eastAsiaTheme="minorEastAsia"/>
                <w:color w:val="000000" w:themeColor="text1"/>
                <w:szCs w:val="21"/>
              </w:rPr>
              <w:t>1.07%</w:t>
            </w:r>
          </w:p>
        </w:tc>
        <w:tc>
          <w:tcPr>
            <w:tcW w:w="1291" w:type="dxa"/>
            <w:vAlign w:val="center"/>
          </w:tcPr>
          <w:p w:rsidR="00A80B7D" w:rsidRDefault="00E47292">
            <w:pPr>
              <w:jc w:val="right"/>
            </w:pPr>
            <w:r>
              <w:rPr>
                <w:rFonts w:eastAsiaTheme="minorEastAsia"/>
                <w:color w:val="000000" w:themeColor="text1"/>
                <w:szCs w:val="21"/>
              </w:rPr>
              <w:t>26.29%</w:t>
            </w:r>
          </w:p>
        </w:tc>
        <w:tc>
          <w:tcPr>
            <w:tcW w:w="1291" w:type="dxa"/>
            <w:vAlign w:val="center"/>
          </w:tcPr>
          <w:p w:rsidR="00A80B7D" w:rsidRDefault="00E47292">
            <w:pPr>
              <w:jc w:val="right"/>
            </w:pPr>
            <w:r>
              <w:rPr>
                <w:rFonts w:eastAsiaTheme="minorEastAsia"/>
                <w:color w:val="000000" w:themeColor="text1"/>
                <w:szCs w:val="21"/>
              </w:rPr>
              <w:t>0.82%</w:t>
            </w:r>
          </w:p>
        </w:tc>
      </w:tr>
      <w:tr w:rsidR="00A80B7D">
        <w:tc>
          <w:tcPr>
            <w:tcW w:w="1290" w:type="dxa"/>
            <w:vAlign w:val="center"/>
          </w:tcPr>
          <w:p w:rsidR="00A80B7D" w:rsidRDefault="00E47292">
            <w:pPr>
              <w:jc w:val="left"/>
            </w:pPr>
            <w:r>
              <w:rPr>
                <w:rFonts w:eastAsiaTheme="minorEastAsia"/>
                <w:color w:val="000000" w:themeColor="text1"/>
                <w:szCs w:val="21"/>
              </w:rPr>
              <w:t>过去三年</w:t>
            </w:r>
          </w:p>
        </w:tc>
        <w:tc>
          <w:tcPr>
            <w:tcW w:w="1291" w:type="dxa"/>
            <w:vAlign w:val="center"/>
          </w:tcPr>
          <w:p w:rsidR="00A80B7D" w:rsidRDefault="00E47292">
            <w:pPr>
              <w:jc w:val="right"/>
            </w:pPr>
            <w:r>
              <w:rPr>
                <w:rFonts w:eastAsiaTheme="minorEastAsia"/>
                <w:color w:val="000000" w:themeColor="text1"/>
                <w:szCs w:val="21"/>
              </w:rPr>
              <w:t>152.21%</w:t>
            </w:r>
          </w:p>
        </w:tc>
        <w:tc>
          <w:tcPr>
            <w:tcW w:w="1291" w:type="dxa"/>
            <w:vAlign w:val="center"/>
          </w:tcPr>
          <w:p w:rsidR="00A80B7D" w:rsidRDefault="00E47292">
            <w:pPr>
              <w:jc w:val="right"/>
            </w:pPr>
            <w:r>
              <w:rPr>
                <w:rFonts w:eastAsiaTheme="minorEastAsia"/>
                <w:color w:val="000000" w:themeColor="text1"/>
                <w:szCs w:val="21"/>
              </w:rPr>
              <w:t>1.77%</w:t>
            </w:r>
          </w:p>
        </w:tc>
        <w:tc>
          <w:tcPr>
            <w:tcW w:w="1291" w:type="dxa"/>
            <w:vAlign w:val="center"/>
          </w:tcPr>
          <w:p w:rsidR="00A80B7D" w:rsidRDefault="00E47292">
            <w:pPr>
              <w:jc w:val="right"/>
            </w:pPr>
            <w:r>
              <w:rPr>
                <w:rFonts w:eastAsiaTheme="minorEastAsia"/>
                <w:color w:val="000000" w:themeColor="text1"/>
                <w:szCs w:val="21"/>
              </w:rPr>
              <w:t>41.62%</w:t>
            </w:r>
          </w:p>
        </w:tc>
        <w:tc>
          <w:tcPr>
            <w:tcW w:w="1291" w:type="dxa"/>
            <w:vAlign w:val="center"/>
          </w:tcPr>
          <w:p w:rsidR="00A80B7D" w:rsidRDefault="00E47292">
            <w:pPr>
              <w:jc w:val="right"/>
            </w:pPr>
            <w:r>
              <w:rPr>
                <w:rFonts w:eastAsiaTheme="minorEastAsia"/>
                <w:color w:val="000000" w:themeColor="text1"/>
                <w:szCs w:val="21"/>
              </w:rPr>
              <w:t>1.09%</w:t>
            </w:r>
          </w:p>
        </w:tc>
        <w:tc>
          <w:tcPr>
            <w:tcW w:w="1291" w:type="dxa"/>
            <w:vAlign w:val="center"/>
          </w:tcPr>
          <w:p w:rsidR="00A80B7D" w:rsidRDefault="00E47292">
            <w:pPr>
              <w:jc w:val="right"/>
            </w:pPr>
            <w:r>
              <w:rPr>
                <w:rFonts w:eastAsiaTheme="minorEastAsia"/>
                <w:color w:val="000000" w:themeColor="text1"/>
                <w:szCs w:val="21"/>
              </w:rPr>
              <w:t>110.59%</w:t>
            </w:r>
          </w:p>
        </w:tc>
        <w:tc>
          <w:tcPr>
            <w:tcW w:w="1291" w:type="dxa"/>
            <w:vAlign w:val="center"/>
          </w:tcPr>
          <w:p w:rsidR="00A80B7D" w:rsidRDefault="00E47292">
            <w:pPr>
              <w:jc w:val="right"/>
            </w:pPr>
            <w:r>
              <w:rPr>
                <w:rFonts w:eastAsiaTheme="minorEastAsia"/>
                <w:color w:val="000000" w:themeColor="text1"/>
                <w:szCs w:val="21"/>
              </w:rPr>
              <w:t>0.68%</w:t>
            </w:r>
          </w:p>
        </w:tc>
      </w:tr>
      <w:tr w:rsidR="00A80B7D">
        <w:tc>
          <w:tcPr>
            <w:tcW w:w="1290" w:type="dxa"/>
            <w:vAlign w:val="center"/>
          </w:tcPr>
          <w:p w:rsidR="00A80B7D" w:rsidRDefault="00E47292">
            <w:pPr>
              <w:jc w:val="left"/>
            </w:pPr>
            <w:r>
              <w:rPr>
                <w:rFonts w:eastAsiaTheme="minorEastAsia"/>
                <w:color w:val="000000" w:themeColor="text1"/>
                <w:szCs w:val="21"/>
              </w:rPr>
              <w:t>过去五年</w:t>
            </w:r>
          </w:p>
        </w:tc>
        <w:tc>
          <w:tcPr>
            <w:tcW w:w="1291" w:type="dxa"/>
            <w:vAlign w:val="center"/>
          </w:tcPr>
          <w:p w:rsidR="00A80B7D" w:rsidRDefault="00E47292">
            <w:pPr>
              <w:jc w:val="right"/>
            </w:pPr>
            <w:r>
              <w:rPr>
                <w:rFonts w:eastAsiaTheme="minorEastAsia"/>
                <w:color w:val="000000" w:themeColor="text1"/>
                <w:szCs w:val="21"/>
              </w:rPr>
              <w:t>167.09%</w:t>
            </w:r>
          </w:p>
        </w:tc>
        <w:tc>
          <w:tcPr>
            <w:tcW w:w="1291" w:type="dxa"/>
            <w:vAlign w:val="center"/>
          </w:tcPr>
          <w:p w:rsidR="00A80B7D" w:rsidRDefault="00E47292">
            <w:pPr>
              <w:jc w:val="right"/>
            </w:pPr>
            <w:r>
              <w:rPr>
                <w:rFonts w:eastAsiaTheme="minorEastAsia"/>
                <w:color w:val="000000" w:themeColor="text1"/>
                <w:szCs w:val="21"/>
              </w:rPr>
              <w:t>1.61%</w:t>
            </w:r>
          </w:p>
        </w:tc>
        <w:tc>
          <w:tcPr>
            <w:tcW w:w="1291" w:type="dxa"/>
            <w:vAlign w:val="center"/>
          </w:tcPr>
          <w:p w:rsidR="00A80B7D" w:rsidRDefault="00E47292">
            <w:pPr>
              <w:jc w:val="right"/>
            </w:pPr>
            <w:r>
              <w:rPr>
                <w:rFonts w:eastAsiaTheme="minorEastAsia"/>
                <w:color w:val="000000" w:themeColor="text1"/>
                <w:szCs w:val="21"/>
              </w:rPr>
              <w:t>56.21%</w:t>
            </w:r>
          </w:p>
        </w:tc>
        <w:tc>
          <w:tcPr>
            <w:tcW w:w="1291" w:type="dxa"/>
            <w:vAlign w:val="center"/>
          </w:tcPr>
          <w:p w:rsidR="00A80B7D" w:rsidRDefault="00E47292">
            <w:pPr>
              <w:jc w:val="right"/>
            </w:pPr>
            <w:r>
              <w:rPr>
                <w:rFonts w:eastAsiaTheme="minorEastAsia"/>
                <w:color w:val="000000" w:themeColor="text1"/>
                <w:szCs w:val="21"/>
              </w:rPr>
              <w:t>0.94%</w:t>
            </w:r>
          </w:p>
        </w:tc>
        <w:tc>
          <w:tcPr>
            <w:tcW w:w="1291" w:type="dxa"/>
            <w:vAlign w:val="center"/>
          </w:tcPr>
          <w:p w:rsidR="00A80B7D" w:rsidRDefault="00E47292">
            <w:pPr>
              <w:jc w:val="right"/>
            </w:pPr>
            <w:r>
              <w:rPr>
                <w:rFonts w:eastAsiaTheme="minorEastAsia"/>
                <w:color w:val="000000" w:themeColor="text1"/>
                <w:szCs w:val="21"/>
              </w:rPr>
              <w:t>110.88%</w:t>
            </w:r>
          </w:p>
        </w:tc>
        <w:tc>
          <w:tcPr>
            <w:tcW w:w="1291" w:type="dxa"/>
            <w:vAlign w:val="center"/>
          </w:tcPr>
          <w:p w:rsidR="00A80B7D" w:rsidRDefault="00E47292">
            <w:pPr>
              <w:jc w:val="right"/>
            </w:pPr>
            <w:r>
              <w:rPr>
                <w:rFonts w:eastAsiaTheme="minorEastAsia"/>
                <w:color w:val="000000" w:themeColor="text1"/>
                <w:szCs w:val="21"/>
              </w:rPr>
              <w:t>0.67%</w:t>
            </w:r>
          </w:p>
        </w:tc>
      </w:tr>
      <w:tr w:rsidR="00A80B7D">
        <w:tc>
          <w:tcPr>
            <w:tcW w:w="1290" w:type="dxa"/>
            <w:vAlign w:val="center"/>
          </w:tcPr>
          <w:p w:rsidR="00A80B7D" w:rsidRDefault="00E47292">
            <w:pPr>
              <w:jc w:val="left"/>
            </w:pPr>
            <w:r>
              <w:rPr>
                <w:rFonts w:eastAsiaTheme="minorEastAsia"/>
                <w:color w:val="000000" w:themeColor="text1"/>
                <w:szCs w:val="21"/>
              </w:rPr>
              <w:t>自基金合同生效起至今</w:t>
            </w:r>
          </w:p>
        </w:tc>
        <w:tc>
          <w:tcPr>
            <w:tcW w:w="1291" w:type="dxa"/>
            <w:vAlign w:val="center"/>
          </w:tcPr>
          <w:p w:rsidR="00A80B7D" w:rsidRDefault="00E47292">
            <w:pPr>
              <w:jc w:val="right"/>
            </w:pPr>
            <w:r>
              <w:rPr>
                <w:rFonts w:eastAsiaTheme="minorEastAsia"/>
                <w:color w:val="000000" w:themeColor="text1"/>
                <w:szCs w:val="21"/>
              </w:rPr>
              <w:t>182.06%</w:t>
            </w:r>
          </w:p>
        </w:tc>
        <w:tc>
          <w:tcPr>
            <w:tcW w:w="1291" w:type="dxa"/>
            <w:vAlign w:val="center"/>
          </w:tcPr>
          <w:p w:rsidR="00A80B7D" w:rsidRDefault="00E47292">
            <w:pPr>
              <w:jc w:val="right"/>
            </w:pPr>
            <w:r>
              <w:rPr>
                <w:rFonts w:eastAsiaTheme="minorEastAsia"/>
                <w:color w:val="000000" w:themeColor="text1"/>
                <w:szCs w:val="21"/>
              </w:rPr>
              <w:t>1.66%</w:t>
            </w:r>
          </w:p>
        </w:tc>
        <w:tc>
          <w:tcPr>
            <w:tcW w:w="1291" w:type="dxa"/>
            <w:vAlign w:val="center"/>
          </w:tcPr>
          <w:p w:rsidR="00A80B7D" w:rsidRDefault="00E47292">
            <w:pPr>
              <w:jc w:val="right"/>
            </w:pPr>
            <w:r>
              <w:rPr>
                <w:rFonts w:eastAsiaTheme="minorEastAsia"/>
                <w:color w:val="000000" w:themeColor="text1"/>
                <w:szCs w:val="21"/>
              </w:rPr>
              <w:t>57.64%</w:t>
            </w:r>
          </w:p>
        </w:tc>
        <w:tc>
          <w:tcPr>
            <w:tcW w:w="1291" w:type="dxa"/>
            <w:vAlign w:val="center"/>
          </w:tcPr>
          <w:p w:rsidR="00A80B7D" w:rsidRDefault="00E47292">
            <w:pPr>
              <w:jc w:val="right"/>
            </w:pPr>
            <w:r>
              <w:rPr>
                <w:rFonts w:eastAsiaTheme="minorEastAsia"/>
                <w:color w:val="000000" w:themeColor="text1"/>
                <w:szCs w:val="21"/>
              </w:rPr>
              <w:t>0.97%</w:t>
            </w:r>
          </w:p>
        </w:tc>
        <w:tc>
          <w:tcPr>
            <w:tcW w:w="1291" w:type="dxa"/>
            <w:vAlign w:val="center"/>
          </w:tcPr>
          <w:p w:rsidR="00A80B7D" w:rsidRDefault="00E47292">
            <w:pPr>
              <w:jc w:val="right"/>
            </w:pPr>
            <w:r>
              <w:rPr>
                <w:rFonts w:eastAsiaTheme="minorEastAsia"/>
                <w:color w:val="000000" w:themeColor="text1"/>
                <w:szCs w:val="21"/>
              </w:rPr>
              <w:t>124.42%</w:t>
            </w:r>
          </w:p>
        </w:tc>
        <w:tc>
          <w:tcPr>
            <w:tcW w:w="1291" w:type="dxa"/>
            <w:vAlign w:val="center"/>
          </w:tcPr>
          <w:p w:rsidR="00A80B7D" w:rsidRDefault="00E47292">
            <w:pPr>
              <w:jc w:val="right"/>
            </w:pPr>
            <w:r>
              <w:rPr>
                <w:rFonts w:eastAsiaTheme="minorEastAsia"/>
                <w:color w:val="000000" w:themeColor="text1"/>
                <w:szCs w:val="21"/>
              </w:rPr>
              <w:t>0.69%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上投摩根行业轮动混合型证券投资基金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lastRenderedPageBreak/>
        <w:t>1</w:t>
      </w:r>
      <w:r w:rsidRPr="00B27A29">
        <w:rPr>
          <w:rFonts w:eastAsiaTheme="minorEastAsia"/>
          <w:color w:val="000000" w:themeColor="text1"/>
          <w:szCs w:val="21"/>
        </w:rPr>
        <w:t>．上投摩根行业轮动混合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．上投摩根行业轮动混合</w:t>
      </w:r>
      <w:r w:rsidRPr="00B27A29">
        <w:rPr>
          <w:rFonts w:eastAsiaTheme="minorEastAsia"/>
          <w:color w:val="000000" w:themeColor="text1"/>
          <w:szCs w:val="21"/>
        </w:rPr>
        <w:t>H</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w:t>
      </w:r>
      <w:r>
        <w:rPr>
          <w:rFonts w:eastAsiaTheme="minorEastAsia"/>
          <w:color w:val="000000" w:themeColor="text1"/>
          <w:szCs w:val="21"/>
        </w:rPr>
        <w:lastRenderedPageBreak/>
        <w:t>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80B7D">
        <w:tc>
          <w:tcPr>
            <w:tcW w:w="952" w:type="dxa"/>
            <w:vAlign w:val="center"/>
          </w:tcPr>
          <w:p w:rsidR="00A80B7D" w:rsidRDefault="00E47292">
            <w:pPr>
              <w:jc w:val="center"/>
            </w:pPr>
            <w:r>
              <w:rPr>
                <w:rFonts w:eastAsiaTheme="minorEastAsia"/>
                <w:color w:val="000000" w:themeColor="text1"/>
                <w:szCs w:val="21"/>
              </w:rPr>
              <w:t>孙芳</w:t>
            </w:r>
          </w:p>
        </w:tc>
        <w:tc>
          <w:tcPr>
            <w:tcW w:w="930" w:type="dxa"/>
            <w:vAlign w:val="center"/>
          </w:tcPr>
          <w:p w:rsidR="00A80B7D" w:rsidRDefault="00E47292">
            <w:pPr>
              <w:jc w:val="center"/>
            </w:pPr>
            <w:r>
              <w:rPr>
                <w:rFonts w:eastAsiaTheme="minorEastAsia"/>
                <w:color w:val="000000" w:themeColor="text1"/>
                <w:szCs w:val="21"/>
              </w:rPr>
              <w:t>本基金基金经理、副总经理兼投资副总监</w:t>
            </w:r>
          </w:p>
        </w:tc>
        <w:tc>
          <w:tcPr>
            <w:tcW w:w="1210" w:type="dxa"/>
            <w:vAlign w:val="center"/>
          </w:tcPr>
          <w:p w:rsidR="00A80B7D" w:rsidRDefault="00E47292">
            <w:pPr>
              <w:jc w:val="center"/>
            </w:pPr>
            <w:r>
              <w:rPr>
                <w:rFonts w:eastAsiaTheme="minorEastAsia"/>
                <w:color w:val="000000" w:themeColor="text1"/>
                <w:szCs w:val="21"/>
              </w:rPr>
              <w:t>2014-12-19</w:t>
            </w:r>
          </w:p>
        </w:tc>
        <w:tc>
          <w:tcPr>
            <w:tcW w:w="1309" w:type="dxa"/>
            <w:vAlign w:val="center"/>
          </w:tcPr>
          <w:p w:rsidR="00A80B7D" w:rsidRDefault="00E47292">
            <w:pPr>
              <w:jc w:val="center"/>
            </w:pPr>
            <w:r>
              <w:rPr>
                <w:rFonts w:eastAsiaTheme="minorEastAsia"/>
                <w:color w:val="000000" w:themeColor="text1"/>
                <w:szCs w:val="21"/>
              </w:rPr>
              <w:t>-</w:t>
            </w:r>
          </w:p>
        </w:tc>
        <w:tc>
          <w:tcPr>
            <w:tcW w:w="1254" w:type="dxa"/>
            <w:vAlign w:val="center"/>
          </w:tcPr>
          <w:p w:rsidR="00A80B7D" w:rsidRDefault="00E47292">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A80B7D" w:rsidRDefault="00E47292">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w:t>
            </w:r>
            <w:r>
              <w:rPr>
                <w:rFonts w:eastAsiaTheme="minorEastAsia"/>
                <w:color w:val="000000" w:themeColor="text1"/>
                <w:szCs w:val="21"/>
              </w:rPr>
              <w:t>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月起同时担任上投摩根行业睿选股票型证券投资基金基金经理。</w:t>
            </w:r>
          </w:p>
        </w:tc>
      </w:tr>
    </w:tbl>
    <w:p w:rsidR="00A80B7D" w:rsidRDefault="00E472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在本报告期内，基金管理人不存在损害基金份额持有人利益的行为，勤勉尽责地为基金份额持有人谋求利益。基金管理人遵守了《证券投资基金法》及其他有关法律法规、《上投摩根行业轮</w:t>
      </w:r>
      <w:r w:rsidRPr="00B27A29">
        <w:rPr>
          <w:rFonts w:eastAsiaTheme="minorEastAsia"/>
          <w:color w:val="000000" w:themeColor="text1"/>
          <w:szCs w:val="21"/>
        </w:rPr>
        <w:lastRenderedPageBreak/>
        <w:t>动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w:t>
      </w:r>
      <w:r>
        <w:rPr>
          <w:rFonts w:eastAsiaTheme="minorEastAsia"/>
          <w:color w:val="000000" w:themeColor="text1"/>
          <w:szCs w:val="21"/>
        </w:rPr>
        <w:t>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w:t>
      </w:r>
      <w:r>
        <w:rPr>
          <w:rFonts w:eastAsiaTheme="minorEastAsia"/>
          <w:color w:val="000000" w:themeColor="text1"/>
          <w:szCs w:val="21"/>
        </w:rPr>
        <w:t>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市场整体呈现反弹态势，部分指数还创出新高。市场在一季度后期对于流动性收紧的担忧被证明过于放大，实际上二季度市场流动性非常宽裕，资金利率走势与此前市场预期截然不同。同时，经济处于持续恢复过程中，一季报和中报预告显示，企业盈利也如期展示出同比</w:t>
      </w:r>
      <w:r>
        <w:rPr>
          <w:rFonts w:eastAsiaTheme="minorEastAsia"/>
          <w:color w:val="000000" w:themeColor="text1"/>
          <w:szCs w:val="21"/>
        </w:rPr>
        <w:lastRenderedPageBreak/>
        <w:t>高增速，且向好趋势从一季度延续到二季度，基本面因素对市场形成了强力支撑；特别是若干新兴成长性行业，高景气度清晰，利润高增长态势明确，为创业板、科创板指数贡献了主要涨幅。从行业结构来看，电气设备、电子、化工、汽车、医药等行业表现居前，农林牧渔、房地产、家电、休闲服务</w:t>
      </w:r>
      <w:r>
        <w:rPr>
          <w:rFonts w:eastAsiaTheme="minorEastAsia"/>
          <w:color w:val="000000" w:themeColor="text1"/>
          <w:szCs w:val="21"/>
        </w:rPr>
        <w:t>等行业表现垫底。行业的分化非常明显，表现较好的都是利润增长较高、未来预期较明确的方向；而落后的行业或为产品价格大幅下跌、或为利润增幅无望的领域。说明市场还是围绕着基本面在运行。本基金在一、二季度市场大幅波动之际未进行仓位的大幅调整，但是对组合的个股进行了优化：减持了周期性个股，增加了成长类核心个股的配置，在二季度的反弹中获得了良好收益。</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三季度，目前各界对于经济增长和宏观政策的争议颇大。策略胜过预测，我们认为，宏观经济的轨迹不会大幅变化，政策也同样将保持基本稳定，基于此作为主要的组合配置场景；同时我们也预设了风险因素下的应对策略。总体而言，本基金将继续沿着基本面的内核进行组合配置，对所配置行业和个股动态比较性价比来筛选和替换；并结合风险事件的时间点对组合估值进行评估，适当地进行均衡。</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本报告期上投摩根行业轮动混合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:27.21%</w:t>
      </w:r>
      <w:r>
        <w:rPr>
          <w:rFonts w:eastAsiaTheme="minorEastAsia"/>
          <w:color w:val="000000" w:themeColor="text1"/>
          <w:szCs w:val="21"/>
        </w:rPr>
        <w:t>，同期业绩比较基准收益率为</w:t>
      </w:r>
      <w:r>
        <w:rPr>
          <w:rFonts w:eastAsiaTheme="minorEastAsia"/>
          <w:color w:val="000000" w:themeColor="text1"/>
          <w:szCs w:val="21"/>
        </w:rPr>
        <w:t>:2.96%,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上投摩根行业轮动混合</w:t>
      </w:r>
      <w:r w:rsidRPr="00B27A29">
        <w:rPr>
          <w:rFonts w:eastAsiaTheme="minorEastAsia"/>
          <w:color w:val="000000" w:themeColor="text1"/>
          <w:szCs w:val="21"/>
        </w:rPr>
        <w:t>H</w:t>
      </w:r>
      <w:r w:rsidRPr="00B27A29">
        <w:rPr>
          <w:rFonts w:eastAsiaTheme="minorEastAsia"/>
          <w:color w:val="000000" w:themeColor="text1"/>
          <w:szCs w:val="21"/>
        </w:rPr>
        <w:t>份额净值增长率为</w:t>
      </w:r>
      <w:r w:rsidRPr="00B27A29">
        <w:rPr>
          <w:rFonts w:eastAsiaTheme="minorEastAsia"/>
          <w:color w:val="000000" w:themeColor="text1"/>
          <w:szCs w:val="21"/>
        </w:rPr>
        <w:t>:27.17%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:2.96%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1,076,413,769.61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1,076,413,769.61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114,861,445.06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9,479,551.88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1,200,754,766.55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25,335,540.00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988,057,324.41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13,020.39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5,045,243.37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73,523.22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7,245,721.07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1,873,571.10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22,304,102.40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8,405,200.80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18,055,115.20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5,407.65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1,076,413,769.61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92.96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80B7D">
        <w:tc>
          <w:tcPr>
            <w:tcW w:w="817" w:type="dxa"/>
            <w:vAlign w:val="center"/>
          </w:tcPr>
          <w:p w:rsidR="00A80B7D" w:rsidRDefault="00E47292">
            <w:pPr>
              <w:jc w:val="center"/>
            </w:pPr>
            <w:r>
              <w:rPr>
                <w:rFonts w:eastAsiaTheme="minorEastAsia"/>
                <w:kern w:val="0"/>
                <w:szCs w:val="21"/>
              </w:rPr>
              <w:t>1</w:t>
            </w:r>
          </w:p>
        </w:tc>
        <w:tc>
          <w:tcPr>
            <w:tcW w:w="1276" w:type="dxa"/>
            <w:vAlign w:val="center"/>
          </w:tcPr>
          <w:p w:rsidR="00A80B7D" w:rsidRDefault="00E47292">
            <w:pPr>
              <w:jc w:val="center"/>
            </w:pPr>
            <w:r>
              <w:rPr>
                <w:rFonts w:eastAsiaTheme="minorEastAsia"/>
                <w:kern w:val="0"/>
                <w:szCs w:val="21"/>
              </w:rPr>
              <w:t>603486</w:t>
            </w:r>
          </w:p>
        </w:tc>
        <w:tc>
          <w:tcPr>
            <w:tcW w:w="1701" w:type="dxa"/>
            <w:vAlign w:val="center"/>
          </w:tcPr>
          <w:p w:rsidR="00A80B7D" w:rsidRDefault="00E47292">
            <w:pPr>
              <w:jc w:val="center"/>
            </w:pPr>
            <w:r>
              <w:rPr>
                <w:rFonts w:eastAsiaTheme="minorEastAsia"/>
                <w:kern w:val="0"/>
                <w:szCs w:val="21"/>
              </w:rPr>
              <w:t>科沃斯</w:t>
            </w:r>
          </w:p>
        </w:tc>
        <w:tc>
          <w:tcPr>
            <w:tcW w:w="1276" w:type="dxa"/>
            <w:vAlign w:val="center"/>
          </w:tcPr>
          <w:p w:rsidR="00A80B7D" w:rsidRDefault="00E47292">
            <w:pPr>
              <w:jc w:val="right"/>
            </w:pPr>
            <w:r>
              <w:rPr>
                <w:rFonts w:eastAsiaTheme="minorEastAsia"/>
                <w:kern w:val="0"/>
                <w:szCs w:val="21"/>
              </w:rPr>
              <w:t>445,524</w:t>
            </w:r>
          </w:p>
        </w:tc>
        <w:tc>
          <w:tcPr>
            <w:tcW w:w="1842" w:type="dxa"/>
            <w:vAlign w:val="center"/>
          </w:tcPr>
          <w:p w:rsidR="00A80B7D" w:rsidRDefault="00E47292">
            <w:pPr>
              <w:jc w:val="right"/>
            </w:pPr>
            <w:r>
              <w:rPr>
                <w:rFonts w:eastAsiaTheme="minorEastAsia"/>
                <w:kern w:val="0"/>
                <w:szCs w:val="21"/>
              </w:rPr>
              <w:t>101,615,113.92</w:t>
            </w:r>
          </w:p>
        </w:tc>
        <w:tc>
          <w:tcPr>
            <w:tcW w:w="1616" w:type="dxa"/>
            <w:vAlign w:val="center"/>
          </w:tcPr>
          <w:p w:rsidR="00A80B7D" w:rsidRDefault="00E47292">
            <w:pPr>
              <w:jc w:val="right"/>
            </w:pPr>
            <w:r>
              <w:rPr>
                <w:rFonts w:eastAsiaTheme="minorEastAsia"/>
                <w:kern w:val="0"/>
                <w:szCs w:val="21"/>
              </w:rPr>
              <w:t>8.78</w:t>
            </w:r>
          </w:p>
        </w:tc>
      </w:tr>
      <w:tr w:rsidR="00A80B7D">
        <w:tc>
          <w:tcPr>
            <w:tcW w:w="817" w:type="dxa"/>
            <w:vAlign w:val="center"/>
          </w:tcPr>
          <w:p w:rsidR="00A80B7D" w:rsidRDefault="00E47292">
            <w:pPr>
              <w:jc w:val="center"/>
            </w:pPr>
            <w:r>
              <w:rPr>
                <w:rFonts w:eastAsiaTheme="minorEastAsia"/>
                <w:kern w:val="0"/>
                <w:szCs w:val="21"/>
              </w:rPr>
              <w:t>2</w:t>
            </w:r>
          </w:p>
        </w:tc>
        <w:tc>
          <w:tcPr>
            <w:tcW w:w="1276" w:type="dxa"/>
            <w:vAlign w:val="center"/>
          </w:tcPr>
          <w:p w:rsidR="00A80B7D" w:rsidRDefault="00E47292">
            <w:pPr>
              <w:jc w:val="center"/>
            </w:pPr>
            <w:r>
              <w:rPr>
                <w:rFonts w:eastAsiaTheme="minorEastAsia"/>
                <w:kern w:val="0"/>
                <w:szCs w:val="21"/>
              </w:rPr>
              <w:t>300750</w:t>
            </w:r>
          </w:p>
        </w:tc>
        <w:tc>
          <w:tcPr>
            <w:tcW w:w="1701" w:type="dxa"/>
            <w:vAlign w:val="center"/>
          </w:tcPr>
          <w:p w:rsidR="00A80B7D" w:rsidRDefault="00E47292">
            <w:pPr>
              <w:jc w:val="center"/>
            </w:pPr>
            <w:r>
              <w:rPr>
                <w:rFonts w:eastAsiaTheme="minorEastAsia"/>
                <w:kern w:val="0"/>
                <w:szCs w:val="21"/>
              </w:rPr>
              <w:t>宁德时代</w:t>
            </w:r>
          </w:p>
        </w:tc>
        <w:tc>
          <w:tcPr>
            <w:tcW w:w="1276" w:type="dxa"/>
            <w:vAlign w:val="center"/>
          </w:tcPr>
          <w:p w:rsidR="00A80B7D" w:rsidRDefault="00E47292">
            <w:pPr>
              <w:jc w:val="right"/>
            </w:pPr>
            <w:r>
              <w:rPr>
                <w:rFonts w:eastAsiaTheme="minorEastAsia"/>
                <w:kern w:val="0"/>
                <w:szCs w:val="21"/>
              </w:rPr>
              <w:t>144,471</w:t>
            </w:r>
          </w:p>
        </w:tc>
        <w:tc>
          <w:tcPr>
            <w:tcW w:w="1842" w:type="dxa"/>
            <w:vAlign w:val="center"/>
          </w:tcPr>
          <w:p w:rsidR="00A80B7D" w:rsidRDefault="00E47292">
            <w:pPr>
              <w:jc w:val="right"/>
            </w:pPr>
            <w:r>
              <w:rPr>
                <w:rFonts w:eastAsiaTheme="minorEastAsia"/>
                <w:kern w:val="0"/>
                <w:szCs w:val="21"/>
              </w:rPr>
              <w:t>77,263,090.80</w:t>
            </w:r>
          </w:p>
        </w:tc>
        <w:tc>
          <w:tcPr>
            <w:tcW w:w="1616" w:type="dxa"/>
            <w:vAlign w:val="center"/>
          </w:tcPr>
          <w:p w:rsidR="00A80B7D" w:rsidRDefault="00E47292">
            <w:pPr>
              <w:jc w:val="right"/>
            </w:pPr>
            <w:r>
              <w:rPr>
                <w:rFonts w:eastAsiaTheme="minorEastAsia"/>
                <w:kern w:val="0"/>
                <w:szCs w:val="21"/>
              </w:rPr>
              <w:t>6.67</w:t>
            </w:r>
          </w:p>
        </w:tc>
      </w:tr>
      <w:tr w:rsidR="00A80B7D">
        <w:tc>
          <w:tcPr>
            <w:tcW w:w="817" w:type="dxa"/>
            <w:vAlign w:val="center"/>
          </w:tcPr>
          <w:p w:rsidR="00A80B7D" w:rsidRDefault="00E47292">
            <w:pPr>
              <w:jc w:val="center"/>
            </w:pPr>
            <w:r>
              <w:rPr>
                <w:rFonts w:eastAsiaTheme="minorEastAsia"/>
                <w:kern w:val="0"/>
                <w:szCs w:val="21"/>
              </w:rPr>
              <w:t>3</w:t>
            </w:r>
          </w:p>
        </w:tc>
        <w:tc>
          <w:tcPr>
            <w:tcW w:w="1276" w:type="dxa"/>
            <w:vAlign w:val="center"/>
          </w:tcPr>
          <w:p w:rsidR="00A80B7D" w:rsidRDefault="00E47292">
            <w:pPr>
              <w:jc w:val="center"/>
            </w:pPr>
            <w:r>
              <w:rPr>
                <w:rFonts w:eastAsiaTheme="minorEastAsia"/>
                <w:kern w:val="0"/>
                <w:szCs w:val="21"/>
              </w:rPr>
              <w:t>688169</w:t>
            </w:r>
          </w:p>
        </w:tc>
        <w:tc>
          <w:tcPr>
            <w:tcW w:w="1701" w:type="dxa"/>
            <w:vAlign w:val="center"/>
          </w:tcPr>
          <w:p w:rsidR="00A80B7D" w:rsidRDefault="00E47292">
            <w:pPr>
              <w:jc w:val="center"/>
            </w:pPr>
            <w:r>
              <w:rPr>
                <w:rFonts w:eastAsiaTheme="minorEastAsia"/>
                <w:kern w:val="0"/>
                <w:szCs w:val="21"/>
              </w:rPr>
              <w:t>石头科技</w:t>
            </w:r>
          </w:p>
        </w:tc>
        <w:tc>
          <w:tcPr>
            <w:tcW w:w="1276" w:type="dxa"/>
            <w:vAlign w:val="center"/>
          </w:tcPr>
          <w:p w:rsidR="00A80B7D" w:rsidRDefault="00E47292">
            <w:pPr>
              <w:jc w:val="right"/>
            </w:pPr>
            <w:r>
              <w:rPr>
                <w:rFonts w:eastAsiaTheme="minorEastAsia"/>
                <w:kern w:val="0"/>
                <w:szCs w:val="21"/>
              </w:rPr>
              <w:t>60,195</w:t>
            </w:r>
          </w:p>
        </w:tc>
        <w:tc>
          <w:tcPr>
            <w:tcW w:w="1842" w:type="dxa"/>
            <w:vAlign w:val="center"/>
          </w:tcPr>
          <w:p w:rsidR="00A80B7D" w:rsidRDefault="00E47292">
            <w:pPr>
              <w:jc w:val="right"/>
            </w:pPr>
            <w:r>
              <w:rPr>
                <w:rFonts w:eastAsiaTheme="minorEastAsia"/>
                <w:kern w:val="0"/>
                <w:szCs w:val="21"/>
              </w:rPr>
              <w:t>75,905,895.00</w:t>
            </w:r>
          </w:p>
        </w:tc>
        <w:tc>
          <w:tcPr>
            <w:tcW w:w="1616" w:type="dxa"/>
            <w:vAlign w:val="center"/>
          </w:tcPr>
          <w:p w:rsidR="00A80B7D" w:rsidRDefault="00E47292">
            <w:pPr>
              <w:jc w:val="right"/>
            </w:pPr>
            <w:r>
              <w:rPr>
                <w:rFonts w:eastAsiaTheme="minorEastAsia"/>
                <w:kern w:val="0"/>
                <w:szCs w:val="21"/>
              </w:rPr>
              <w:t>6.56</w:t>
            </w:r>
          </w:p>
        </w:tc>
      </w:tr>
      <w:tr w:rsidR="00A80B7D">
        <w:tc>
          <w:tcPr>
            <w:tcW w:w="817" w:type="dxa"/>
            <w:vAlign w:val="center"/>
          </w:tcPr>
          <w:p w:rsidR="00A80B7D" w:rsidRDefault="00E47292">
            <w:pPr>
              <w:jc w:val="center"/>
            </w:pPr>
            <w:r>
              <w:rPr>
                <w:rFonts w:eastAsiaTheme="minorEastAsia"/>
                <w:kern w:val="0"/>
                <w:szCs w:val="21"/>
              </w:rPr>
              <w:t>4</w:t>
            </w:r>
          </w:p>
        </w:tc>
        <w:tc>
          <w:tcPr>
            <w:tcW w:w="1276" w:type="dxa"/>
            <w:vAlign w:val="center"/>
          </w:tcPr>
          <w:p w:rsidR="00A80B7D" w:rsidRDefault="00E47292">
            <w:pPr>
              <w:jc w:val="center"/>
            </w:pPr>
            <w:r>
              <w:rPr>
                <w:rFonts w:eastAsiaTheme="minorEastAsia"/>
                <w:kern w:val="0"/>
                <w:szCs w:val="21"/>
              </w:rPr>
              <w:t>600438</w:t>
            </w:r>
          </w:p>
        </w:tc>
        <w:tc>
          <w:tcPr>
            <w:tcW w:w="1701" w:type="dxa"/>
            <w:vAlign w:val="center"/>
          </w:tcPr>
          <w:p w:rsidR="00A80B7D" w:rsidRDefault="00E47292">
            <w:pPr>
              <w:jc w:val="center"/>
            </w:pPr>
            <w:r>
              <w:rPr>
                <w:rFonts w:eastAsiaTheme="minorEastAsia"/>
                <w:kern w:val="0"/>
                <w:szCs w:val="21"/>
              </w:rPr>
              <w:t>通威股份</w:t>
            </w:r>
          </w:p>
        </w:tc>
        <w:tc>
          <w:tcPr>
            <w:tcW w:w="1276" w:type="dxa"/>
            <w:vAlign w:val="center"/>
          </w:tcPr>
          <w:p w:rsidR="00A80B7D" w:rsidRDefault="00E47292">
            <w:pPr>
              <w:jc w:val="right"/>
            </w:pPr>
            <w:r>
              <w:rPr>
                <w:rFonts w:eastAsiaTheme="minorEastAsia"/>
                <w:kern w:val="0"/>
                <w:szCs w:val="21"/>
              </w:rPr>
              <w:t>1,564,162</w:t>
            </w:r>
          </w:p>
        </w:tc>
        <w:tc>
          <w:tcPr>
            <w:tcW w:w="1842" w:type="dxa"/>
            <w:vAlign w:val="center"/>
          </w:tcPr>
          <w:p w:rsidR="00A80B7D" w:rsidRDefault="00E47292">
            <w:pPr>
              <w:jc w:val="right"/>
            </w:pPr>
            <w:r>
              <w:rPr>
                <w:rFonts w:eastAsiaTheme="minorEastAsia"/>
                <w:kern w:val="0"/>
                <w:szCs w:val="21"/>
              </w:rPr>
              <w:t>67,681,289.74</w:t>
            </w:r>
          </w:p>
        </w:tc>
        <w:tc>
          <w:tcPr>
            <w:tcW w:w="1616" w:type="dxa"/>
            <w:vAlign w:val="center"/>
          </w:tcPr>
          <w:p w:rsidR="00A80B7D" w:rsidRDefault="00E47292">
            <w:pPr>
              <w:jc w:val="right"/>
            </w:pPr>
            <w:r>
              <w:rPr>
                <w:rFonts w:eastAsiaTheme="minorEastAsia"/>
                <w:kern w:val="0"/>
                <w:szCs w:val="21"/>
              </w:rPr>
              <w:t>5.84</w:t>
            </w:r>
          </w:p>
        </w:tc>
      </w:tr>
      <w:tr w:rsidR="00A80B7D">
        <w:tc>
          <w:tcPr>
            <w:tcW w:w="817" w:type="dxa"/>
            <w:vAlign w:val="center"/>
          </w:tcPr>
          <w:p w:rsidR="00A80B7D" w:rsidRDefault="00E47292">
            <w:pPr>
              <w:jc w:val="center"/>
            </w:pPr>
            <w:r>
              <w:rPr>
                <w:rFonts w:eastAsiaTheme="minorEastAsia"/>
                <w:kern w:val="0"/>
                <w:szCs w:val="21"/>
              </w:rPr>
              <w:t>5</w:t>
            </w:r>
          </w:p>
        </w:tc>
        <w:tc>
          <w:tcPr>
            <w:tcW w:w="1276" w:type="dxa"/>
            <w:vAlign w:val="center"/>
          </w:tcPr>
          <w:p w:rsidR="00A80B7D" w:rsidRDefault="00E47292">
            <w:pPr>
              <w:jc w:val="center"/>
            </w:pPr>
            <w:r>
              <w:rPr>
                <w:rFonts w:eastAsiaTheme="minorEastAsia"/>
                <w:kern w:val="0"/>
                <w:szCs w:val="21"/>
              </w:rPr>
              <w:t>300390</w:t>
            </w:r>
          </w:p>
        </w:tc>
        <w:tc>
          <w:tcPr>
            <w:tcW w:w="1701" w:type="dxa"/>
            <w:vAlign w:val="center"/>
          </w:tcPr>
          <w:p w:rsidR="00A80B7D" w:rsidRDefault="00E47292">
            <w:pPr>
              <w:jc w:val="center"/>
            </w:pPr>
            <w:r>
              <w:rPr>
                <w:rFonts w:eastAsiaTheme="minorEastAsia"/>
                <w:kern w:val="0"/>
                <w:szCs w:val="21"/>
              </w:rPr>
              <w:t>天华超净</w:t>
            </w:r>
          </w:p>
        </w:tc>
        <w:tc>
          <w:tcPr>
            <w:tcW w:w="1276" w:type="dxa"/>
            <w:vAlign w:val="center"/>
          </w:tcPr>
          <w:p w:rsidR="00A80B7D" w:rsidRDefault="00E47292">
            <w:pPr>
              <w:jc w:val="right"/>
            </w:pPr>
            <w:r>
              <w:rPr>
                <w:rFonts w:eastAsiaTheme="minorEastAsia"/>
                <w:kern w:val="0"/>
                <w:szCs w:val="21"/>
              </w:rPr>
              <w:t>1,151,820</w:t>
            </w:r>
          </w:p>
        </w:tc>
        <w:tc>
          <w:tcPr>
            <w:tcW w:w="1842" w:type="dxa"/>
            <w:vAlign w:val="center"/>
          </w:tcPr>
          <w:p w:rsidR="00A80B7D" w:rsidRDefault="00E47292">
            <w:pPr>
              <w:jc w:val="right"/>
            </w:pPr>
            <w:r>
              <w:rPr>
                <w:rFonts w:eastAsiaTheme="minorEastAsia"/>
                <w:kern w:val="0"/>
                <w:szCs w:val="21"/>
              </w:rPr>
              <w:t>54,088,124.10</w:t>
            </w:r>
          </w:p>
        </w:tc>
        <w:tc>
          <w:tcPr>
            <w:tcW w:w="1616" w:type="dxa"/>
            <w:vAlign w:val="center"/>
          </w:tcPr>
          <w:p w:rsidR="00A80B7D" w:rsidRDefault="00E47292">
            <w:pPr>
              <w:jc w:val="right"/>
            </w:pPr>
            <w:r>
              <w:rPr>
                <w:rFonts w:eastAsiaTheme="minorEastAsia"/>
                <w:kern w:val="0"/>
                <w:szCs w:val="21"/>
              </w:rPr>
              <w:t>4.67</w:t>
            </w:r>
          </w:p>
        </w:tc>
      </w:tr>
      <w:tr w:rsidR="00A80B7D">
        <w:tc>
          <w:tcPr>
            <w:tcW w:w="817" w:type="dxa"/>
            <w:vAlign w:val="center"/>
          </w:tcPr>
          <w:p w:rsidR="00A80B7D" w:rsidRDefault="00E47292">
            <w:pPr>
              <w:jc w:val="center"/>
            </w:pPr>
            <w:r>
              <w:rPr>
                <w:rFonts w:eastAsiaTheme="minorEastAsia"/>
                <w:kern w:val="0"/>
                <w:szCs w:val="21"/>
              </w:rPr>
              <w:t>6</w:t>
            </w:r>
          </w:p>
        </w:tc>
        <w:tc>
          <w:tcPr>
            <w:tcW w:w="1276" w:type="dxa"/>
            <w:vAlign w:val="center"/>
          </w:tcPr>
          <w:p w:rsidR="00A80B7D" w:rsidRDefault="00E47292">
            <w:pPr>
              <w:jc w:val="center"/>
            </w:pPr>
            <w:r>
              <w:rPr>
                <w:rFonts w:eastAsiaTheme="minorEastAsia"/>
                <w:kern w:val="0"/>
                <w:szCs w:val="21"/>
              </w:rPr>
              <w:t>000661</w:t>
            </w:r>
          </w:p>
        </w:tc>
        <w:tc>
          <w:tcPr>
            <w:tcW w:w="1701" w:type="dxa"/>
            <w:vAlign w:val="center"/>
          </w:tcPr>
          <w:p w:rsidR="00A80B7D" w:rsidRDefault="00E47292">
            <w:pPr>
              <w:jc w:val="center"/>
            </w:pPr>
            <w:r>
              <w:rPr>
                <w:rFonts w:eastAsiaTheme="minorEastAsia"/>
                <w:kern w:val="0"/>
                <w:szCs w:val="21"/>
              </w:rPr>
              <w:t>长春高新</w:t>
            </w:r>
          </w:p>
        </w:tc>
        <w:tc>
          <w:tcPr>
            <w:tcW w:w="1276" w:type="dxa"/>
            <w:vAlign w:val="center"/>
          </w:tcPr>
          <w:p w:rsidR="00A80B7D" w:rsidRDefault="00E47292">
            <w:pPr>
              <w:jc w:val="right"/>
            </w:pPr>
            <w:r>
              <w:rPr>
                <w:rFonts w:eastAsiaTheme="minorEastAsia"/>
                <w:kern w:val="0"/>
                <w:szCs w:val="21"/>
              </w:rPr>
              <w:t>124,493</w:t>
            </w:r>
          </w:p>
        </w:tc>
        <w:tc>
          <w:tcPr>
            <w:tcW w:w="1842" w:type="dxa"/>
            <w:vAlign w:val="center"/>
          </w:tcPr>
          <w:p w:rsidR="00A80B7D" w:rsidRDefault="00E47292">
            <w:pPr>
              <w:jc w:val="right"/>
            </w:pPr>
            <w:r>
              <w:rPr>
                <w:rFonts w:eastAsiaTheme="minorEastAsia"/>
                <w:kern w:val="0"/>
                <w:szCs w:val="21"/>
              </w:rPr>
              <w:t>48,178,791.00</w:t>
            </w:r>
          </w:p>
        </w:tc>
        <w:tc>
          <w:tcPr>
            <w:tcW w:w="1616" w:type="dxa"/>
            <w:vAlign w:val="center"/>
          </w:tcPr>
          <w:p w:rsidR="00A80B7D" w:rsidRDefault="00E47292">
            <w:pPr>
              <w:jc w:val="right"/>
            </w:pPr>
            <w:r>
              <w:rPr>
                <w:rFonts w:eastAsiaTheme="minorEastAsia"/>
                <w:kern w:val="0"/>
                <w:szCs w:val="21"/>
              </w:rPr>
              <w:t>4.16</w:t>
            </w:r>
          </w:p>
        </w:tc>
      </w:tr>
      <w:tr w:rsidR="00A80B7D">
        <w:tc>
          <w:tcPr>
            <w:tcW w:w="817" w:type="dxa"/>
            <w:vAlign w:val="center"/>
          </w:tcPr>
          <w:p w:rsidR="00A80B7D" w:rsidRDefault="00E47292">
            <w:pPr>
              <w:jc w:val="center"/>
            </w:pPr>
            <w:r>
              <w:rPr>
                <w:rFonts w:eastAsiaTheme="minorEastAsia"/>
                <w:kern w:val="0"/>
                <w:szCs w:val="21"/>
              </w:rPr>
              <w:t>7</w:t>
            </w:r>
          </w:p>
        </w:tc>
        <w:tc>
          <w:tcPr>
            <w:tcW w:w="1276" w:type="dxa"/>
            <w:vAlign w:val="center"/>
          </w:tcPr>
          <w:p w:rsidR="00A80B7D" w:rsidRDefault="00E47292">
            <w:pPr>
              <w:jc w:val="center"/>
            </w:pPr>
            <w:r>
              <w:rPr>
                <w:rFonts w:eastAsiaTheme="minorEastAsia"/>
                <w:kern w:val="0"/>
                <w:szCs w:val="21"/>
              </w:rPr>
              <w:t>300274</w:t>
            </w:r>
          </w:p>
        </w:tc>
        <w:tc>
          <w:tcPr>
            <w:tcW w:w="1701" w:type="dxa"/>
            <w:vAlign w:val="center"/>
          </w:tcPr>
          <w:p w:rsidR="00A80B7D" w:rsidRDefault="00E47292">
            <w:pPr>
              <w:jc w:val="center"/>
            </w:pPr>
            <w:r>
              <w:rPr>
                <w:rFonts w:eastAsiaTheme="minorEastAsia"/>
                <w:kern w:val="0"/>
                <w:szCs w:val="21"/>
              </w:rPr>
              <w:t>阳光电源</w:t>
            </w:r>
          </w:p>
        </w:tc>
        <w:tc>
          <w:tcPr>
            <w:tcW w:w="1276" w:type="dxa"/>
            <w:vAlign w:val="center"/>
          </w:tcPr>
          <w:p w:rsidR="00A80B7D" w:rsidRDefault="00E47292">
            <w:pPr>
              <w:jc w:val="right"/>
            </w:pPr>
            <w:r>
              <w:rPr>
                <w:rFonts w:eastAsiaTheme="minorEastAsia"/>
                <w:kern w:val="0"/>
                <w:szCs w:val="21"/>
              </w:rPr>
              <w:t>283,027</w:t>
            </w:r>
          </w:p>
        </w:tc>
        <w:tc>
          <w:tcPr>
            <w:tcW w:w="1842" w:type="dxa"/>
            <w:vAlign w:val="center"/>
          </w:tcPr>
          <w:p w:rsidR="00A80B7D" w:rsidRDefault="00E47292">
            <w:pPr>
              <w:jc w:val="right"/>
            </w:pPr>
            <w:r>
              <w:rPr>
                <w:rFonts w:eastAsiaTheme="minorEastAsia"/>
                <w:kern w:val="0"/>
                <w:szCs w:val="21"/>
              </w:rPr>
              <w:t>32,565,086.62</w:t>
            </w:r>
          </w:p>
        </w:tc>
        <w:tc>
          <w:tcPr>
            <w:tcW w:w="1616" w:type="dxa"/>
            <w:vAlign w:val="center"/>
          </w:tcPr>
          <w:p w:rsidR="00A80B7D" w:rsidRDefault="00E47292">
            <w:pPr>
              <w:jc w:val="right"/>
            </w:pPr>
            <w:r>
              <w:rPr>
                <w:rFonts w:eastAsiaTheme="minorEastAsia"/>
                <w:kern w:val="0"/>
                <w:szCs w:val="21"/>
              </w:rPr>
              <w:t>2.81</w:t>
            </w:r>
          </w:p>
        </w:tc>
      </w:tr>
      <w:tr w:rsidR="00A80B7D">
        <w:tc>
          <w:tcPr>
            <w:tcW w:w="817" w:type="dxa"/>
            <w:vAlign w:val="center"/>
          </w:tcPr>
          <w:p w:rsidR="00A80B7D" w:rsidRDefault="00E47292">
            <w:pPr>
              <w:jc w:val="center"/>
            </w:pPr>
            <w:r>
              <w:rPr>
                <w:rFonts w:eastAsiaTheme="minorEastAsia"/>
                <w:kern w:val="0"/>
                <w:szCs w:val="21"/>
              </w:rPr>
              <w:t>8</w:t>
            </w:r>
          </w:p>
        </w:tc>
        <w:tc>
          <w:tcPr>
            <w:tcW w:w="1276" w:type="dxa"/>
            <w:vAlign w:val="center"/>
          </w:tcPr>
          <w:p w:rsidR="00A80B7D" w:rsidRDefault="00E47292">
            <w:pPr>
              <w:jc w:val="center"/>
            </w:pPr>
            <w:r>
              <w:rPr>
                <w:rFonts w:eastAsiaTheme="minorEastAsia"/>
                <w:kern w:val="0"/>
                <w:szCs w:val="21"/>
              </w:rPr>
              <w:t>688005</w:t>
            </w:r>
          </w:p>
        </w:tc>
        <w:tc>
          <w:tcPr>
            <w:tcW w:w="1701" w:type="dxa"/>
            <w:vAlign w:val="center"/>
          </w:tcPr>
          <w:p w:rsidR="00A80B7D" w:rsidRDefault="00E47292">
            <w:pPr>
              <w:jc w:val="center"/>
            </w:pPr>
            <w:r>
              <w:rPr>
                <w:rFonts w:eastAsiaTheme="minorEastAsia"/>
                <w:kern w:val="0"/>
                <w:szCs w:val="21"/>
              </w:rPr>
              <w:t>容百科技</w:t>
            </w:r>
          </w:p>
        </w:tc>
        <w:tc>
          <w:tcPr>
            <w:tcW w:w="1276" w:type="dxa"/>
            <w:vAlign w:val="center"/>
          </w:tcPr>
          <w:p w:rsidR="00A80B7D" w:rsidRDefault="00E47292">
            <w:pPr>
              <w:jc w:val="right"/>
            </w:pPr>
            <w:r>
              <w:rPr>
                <w:rFonts w:eastAsiaTheme="minorEastAsia"/>
                <w:kern w:val="0"/>
                <w:szCs w:val="21"/>
              </w:rPr>
              <w:t>242,667</w:t>
            </w:r>
          </w:p>
        </w:tc>
        <w:tc>
          <w:tcPr>
            <w:tcW w:w="1842" w:type="dxa"/>
            <w:vAlign w:val="center"/>
          </w:tcPr>
          <w:p w:rsidR="00A80B7D" w:rsidRDefault="00E47292">
            <w:pPr>
              <w:jc w:val="right"/>
            </w:pPr>
            <w:r>
              <w:rPr>
                <w:rFonts w:eastAsiaTheme="minorEastAsia"/>
                <w:kern w:val="0"/>
                <w:szCs w:val="21"/>
              </w:rPr>
              <w:t>29,411,240.40</w:t>
            </w:r>
          </w:p>
        </w:tc>
        <w:tc>
          <w:tcPr>
            <w:tcW w:w="1616" w:type="dxa"/>
            <w:vAlign w:val="center"/>
          </w:tcPr>
          <w:p w:rsidR="00A80B7D" w:rsidRDefault="00E47292">
            <w:pPr>
              <w:jc w:val="right"/>
            </w:pPr>
            <w:r>
              <w:rPr>
                <w:rFonts w:eastAsiaTheme="minorEastAsia"/>
                <w:kern w:val="0"/>
                <w:szCs w:val="21"/>
              </w:rPr>
              <w:t>2.54</w:t>
            </w:r>
          </w:p>
        </w:tc>
      </w:tr>
      <w:tr w:rsidR="00A80B7D">
        <w:tc>
          <w:tcPr>
            <w:tcW w:w="817" w:type="dxa"/>
            <w:vAlign w:val="center"/>
          </w:tcPr>
          <w:p w:rsidR="00A80B7D" w:rsidRDefault="00E47292">
            <w:pPr>
              <w:jc w:val="center"/>
            </w:pPr>
            <w:r>
              <w:rPr>
                <w:rFonts w:eastAsiaTheme="minorEastAsia"/>
                <w:kern w:val="0"/>
                <w:szCs w:val="21"/>
              </w:rPr>
              <w:t>9</w:t>
            </w:r>
          </w:p>
        </w:tc>
        <w:tc>
          <w:tcPr>
            <w:tcW w:w="1276" w:type="dxa"/>
            <w:vAlign w:val="center"/>
          </w:tcPr>
          <w:p w:rsidR="00A80B7D" w:rsidRDefault="00E47292">
            <w:pPr>
              <w:jc w:val="center"/>
            </w:pPr>
            <w:r>
              <w:rPr>
                <w:rFonts w:eastAsiaTheme="minorEastAsia"/>
                <w:kern w:val="0"/>
                <w:szCs w:val="21"/>
              </w:rPr>
              <w:t>300014</w:t>
            </w:r>
          </w:p>
        </w:tc>
        <w:tc>
          <w:tcPr>
            <w:tcW w:w="1701" w:type="dxa"/>
            <w:vAlign w:val="center"/>
          </w:tcPr>
          <w:p w:rsidR="00A80B7D" w:rsidRDefault="00E47292">
            <w:pPr>
              <w:jc w:val="center"/>
            </w:pPr>
            <w:r>
              <w:rPr>
                <w:rFonts w:eastAsiaTheme="minorEastAsia"/>
                <w:kern w:val="0"/>
                <w:szCs w:val="21"/>
              </w:rPr>
              <w:t>亿纬锂能</w:t>
            </w:r>
          </w:p>
        </w:tc>
        <w:tc>
          <w:tcPr>
            <w:tcW w:w="1276" w:type="dxa"/>
            <w:vAlign w:val="center"/>
          </w:tcPr>
          <w:p w:rsidR="00A80B7D" w:rsidRDefault="00E47292">
            <w:pPr>
              <w:jc w:val="right"/>
            </w:pPr>
            <w:r>
              <w:rPr>
                <w:rFonts w:eastAsiaTheme="minorEastAsia"/>
                <w:kern w:val="0"/>
                <w:szCs w:val="21"/>
              </w:rPr>
              <w:t>282,044</w:t>
            </w:r>
          </w:p>
        </w:tc>
        <w:tc>
          <w:tcPr>
            <w:tcW w:w="1842" w:type="dxa"/>
            <w:vAlign w:val="center"/>
          </w:tcPr>
          <w:p w:rsidR="00A80B7D" w:rsidRDefault="00E47292">
            <w:pPr>
              <w:jc w:val="right"/>
            </w:pPr>
            <w:r>
              <w:rPr>
                <w:rFonts w:eastAsiaTheme="minorEastAsia"/>
                <w:kern w:val="0"/>
                <w:szCs w:val="21"/>
              </w:rPr>
              <w:t>29,312,832.92</w:t>
            </w:r>
          </w:p>
        </w:tc>
        <w:tc>
          <w:tcPr>
            <w:tcW w:w="1616" w:type="dxa"/>
            <w:vAlign w:val="center"/>
          </w:tcPr>
          <w:p w:rsidR="00A80B7D" w:rsidRDefault="00E47292">
            <w:pPr>
              <w:jc w:val="right"/>
            </w:pPr>
            <w:r>
              <w:rPr>
                <w:rFonts w:eastAsiaTheme="minorEastAsia"/>
                <w:kern w:val="0"/>
                <w:szCs w:val="21"/>
              </w:rPr>
              <w:t>2.53</w:t>
            </w:r>
          </w:p>
        </w:tc>
      </w:tr>
      <w:tr w:rsidR="00A80B7D">
        <w:tc>
          <w:tcPr>
            <w:tcW w:w="817" w:type="dxa"/>
            <w:vAlign w:val="center"/>
          </w:tcPr>
          <w:p w:rsidR="00A80B7D" w:rsidRDefault="00E47292">
            <w:pPr>
              <w:jc w:val="center"/>
            </w:pPr>
            <w:r>
              <w:rPr>
                <w:rFonts w:eastAsiaTheme="minorEastAsia"/>
                <w:kern w:val="0"/>
                <w:szCs w:val="21"/>
              </w:rPr>
              <w:t>10</w:t>
            </w:r>
          </w:p>
        </w:tc>
        <w:tc>
          <w:tcPr>
            <w:tcW w:w="1276" w:type="dxa"/>
            <w:vAlign w:val="center"/>
          </w:tcPr>
          <w:p w:rsidR="00A80B7D" w:rsidRDefault="00E47292">
            <w:pPr>
              <w:jc w:val="center"/>
            </w:pPr>
            <w:r>
              <w:rPr>
                <w:rFonts w:eastAsiaTheme="minorEastAsia"/>
                <w:kern w:val="0"/>
                <w:szCs w:val="21"/>
              </w:rPr>
              <w:t>601689</w:t>
            </w:r>
          </w:p>
        </w:tc>
        <w:tc>
          <w:tcPr>
            <w:tcW w:w="1701" w:type="dxa"/>
            <w:vAlign w:val="center"/>
          </w:tcPr>
          <w:p w:rsidR="00A80B7D" w:rsidRDefault="00E47292">
            <w:pPr>
              <w:jc w:val="center"/>
            </w:pPr>
            <w:r>
              <w:rPr>
                <w:rFonts w:eastAsiaTheme="minorEastAsia"/>
                <w:kern w:val="0"/>
                <w:szCs w:val="21"/>
              </w:rPr>
              <w:t>拓普集团</w:t>
            </w:r>
          </w:p>
        </w:tc>
        <w:tc>
          <w:tcPr>
            <w:tcW w:w="1276" w:type="dxa"/>
            <w:vAlign w:val="center"/>
          </w:tcPr>
          <w:p w:rsidR="00A80B7D" w:rsidRDefault="00E47292">
            <w:pPr>
              <w:jc w:val="right"/>
            </w:pPr>
            <w:r>
              <w:rPr>
                <w:rFonts w:eastAsiaTheme="minorEastAsia"/>
                <w:kern w:val="0"/>
                <w:szCs w:val="21"/>
              </w:rPr>
              <w:t>692,055</w:t>
            </w:r>
          </w:p>
        </w:tc>
        <w:tc>
          <w:tcPr>
            <w:tcW w:w="1842" w:type="dxa"/>
            <w:vAlign w:val="center"/>
          </w:tcPr>
          <w:p w:rsidR="00A80B7D" w:rsidRDefault="00E47292">
            <w:pPr>
              <w:jc w:val="right"/>
            </w:pPr>
            <w:r>
              <w:rPr>
                <w:rFonts w:eastAsiaTheme="minorEastAsia"/>
                <w:kern w:val="0"/>
                <w:szCs w:val="21"/>
              </w:rPr>
              <w:t>25,903,618.65</w:t>
            </w:r>
          </w:p>
        </w:tc>
        <w:tc>
          <w:tcPr>
            <w:tcW w:w="1616" w:type="dxa"/>
            <w:vAlign w:val="center"/>
          </w:tcPr>
          <w:p w:rsidR="00A80B7D" w:rsidRDefault="00E47292">
            <w:pPr>
              <w:jc w:val="right"/>
            </w:pPr>
            <w:r>
              <w:rPr>
                <w:rFonts w:eastAsiaTheme="minorEastAsia"/>
                <w:kern w:val="0"/>
                <w:szCs w:val="21"/>
              </w:rPr>
              <w:t>2.24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256,362.98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2,179,544.92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13,501.06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7,030,142.92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9,479,551.88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5E6DF3" w:rsidRPr="00B27A29">
        <w:tc>
          <w:tcPr>
            <w:tcW w:w="108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1302"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股票代码</w:t>
            </w:r>
          </w:p>
        </w:tc>
        <w:tc>
          <w:tcPr>
            <w:tcW w:w="130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股票名称</w:t>
            </w:r>
          </w:p>
        </w:tc>
        <w:tc>
          <w:tcPr>
            <w:tcW w:w="180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流通受限部分的公允价值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5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c>
          <w:tcPr>
            <w:tcW w:w="136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流通受限情况说明</w:t>
            </w:r>
          </w:p>
        </w:tc>
      </w:tr>
      <w:tr w:rsidR="00A80B7D">
        <w:tc>
          <w:tcPr>
            <w:tcW w:w="1083" w:type="dxa"/>
            <w:vAlign w:val="center"/>
          </w:tcPr>
          <w:p w:rsidR="00A80B7D" w:rsidRDefault="00E47292">
            <w:pPr>
              <w:jc w:val="center"/>
            </w:pPr>
            <w:r>
              <w:rPr>
                <w:rFonts w:eastAsiaTheme="minorEastAsia"/>
                <w:color w:val="000000" w:themeColor="text1"/>
                <w:szCs w:val="21"/>
              </w:rPr>
              <w:t>1</w:t>
            </w:r>
          </w:p>
        </w:tc>
        <w:tc>
          <w:tcPr>
            <w:tcW w:w="1302" w:type="dxa"/>
            <w:vAlign w:val="center"/>
          </w:tcPr>
          <w:p w:rsidR="00A80B7D" w:rsidRDefault="00E47292">
            <w:pPr>
              <w:jc w:val="center"/>
            </w:pPr>
            <w:r>
              <w:rPr>
                <w:rFonts w:eastAsiaTheme="minorEastAsia"/>
                <w:color w:val="000000" w:themeColor="text1"/>
                <w:szCs w:val="21"/>
              </w:rPr>
              <w:t>300390</w:t>
            </w:r>
          </w:p>
        </w:tc>
        <w:tc>
          <w:tcPr>
            <w:tcW w:w="1301" w:type="dxa"/>
            <w:vAlign w:val="center"/>
          </w:tcPr>
          <w:p w:rsidR="00A80B7D" w:rsidRDefault="00E47292">
            <w:pPr>
              <w:jc w:val="center"/>
            </w:pPr>
            <w:r>
              <w:rPr>
                <w:rFonts w:eastAsiaTheme="minorEastAsia"/>
                <w:color w:val="000000" w:themeColor="text1"/>
                <w:szCs w:val="21"/>
              </w:rPr>
              <w:t>天华超净</w:t>
            </w:r>
          </w:p>
        </w:tc>
        <w:tc>
          <w:tcPr>
            <w:tcW w:w="1805" w:type="dxa"/>
            <w:vAlign w:val="center"/>
          </w:tcPr>
          <w:p w:rsidR="00A80B7D" w:rsidRDefault="00E47292">
            <w:pPr>
              <w:jc w:val="right"/>
            </w:pPr>
            <w:r>
              <w:rPr>
                <w:rFonts w:eastAsiaTheme="minorEastAsia"/>
                <w:color w:val="000000" w:themeColor="text1"/>
                <w:szCs w:val="21"/>
              </w:rPr>
              <w:t>12,388,958.40</w:t>
            </w:r>
          </w:p>
        </w:tc>
        <w:tc>
          <w:tcPr>
            <w:tcW w:w="1655" w:type="dxa"/>
            <w:vAlign w:val="center"/>
          </w:tcPr>
          <w:p w:rsidR="00A80B7D" w:rsidRDefault="00E47292">
            <w:pPr>
              <w:jc w:val="right"/>
            </w:pPr>
            <w:r>
              <w:rPr>
                <w:rFonts w:eastAsiaTheme="minorEastAsia"/>
                <w:color w:val="000000" w:themeColor="text1"/>
                <w:szCs w:val="21"/>
              </w:rPr>
              <w:t>1.07</w:t>
            </w:r>
          </w:p>
        </w:tc>
        <w:tc>
          <w:tcPr>
            <w:tcW w:w="1367" w:type="dxa"/>
            <w:vAlign w:val="center"/>
          </w:tcPr>
          <w:p w:rsidR="00A80B7D" w:rsidRDefault="00E47292">
            <w:pPr>
              <w:jc w:val="right"/>
            </w:pPr>
            <w:r>
              <w:rPr>
                <w:rFonts w:eastAsiaTheme="minorEastAsia"/>
                <w:color w:val="000000" w:themeColor="text1"/>
                <w:szCs w:val="21"/>
              </w:rPr>
              <w:t>非公开发行限售</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上投摩根行业轮动混合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上投摩根行业轮动混合</w:t>
            </w:r>
            <w:r w:rsidRPr="00B27A29">
              <w:rPr>
                <w:rFonts w:eastAsiaTheme="minorEastAsia"/>
                <w:color w:val="000000" w:themeColor="text1"/>
                <w:szCs w:val="21"/>
              </w:rPr>
              <w:t>H</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244,649,369.96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21,491,191.80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32,355,781.34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3,858,436.17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24,316,505.91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2,050,025.75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252,688,645.39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23,299,602.22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、中国证监会批准上投摩根行业轮动混合型证券投资基金设立的文件；</w:t>
      </w:r>
      <w:r>
        <w:rPr>
          <w:rFonts w:eastAsiaTheme="minorEastAsia"/>
          <w:color w:val="000000" w:themeColor="text1"/>
          <w:szCs w:val="21"/>
        </w:rPr>
        <w:t xml:space="preserve"> </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、《上投摩根行业轮动混合型证券投资基金基金合同》；</w:t>
      </w:r>
      <w:r>
        <w:rPr>
          <w:rFonts w:eastAsiaTheme="minorEastAsia"/>
          <w:color w:val="000000" w:themeColor="text1"/>
          <w:szCs w:val="21"/>
        </w:rPr>
        <w:t xml:space="preserve"> </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、《上投摩根行业轮动混合型证券投资基金托管协议》；</w:t>
      </w:r>
      <w:r>
        <w:rPr>
          <w:rFonts w:eastAsiaTheme="minorEastAsia"/>
          <w:color w:val="000000" w:themeColor="text1"/>
          <w:szCs w:val="21"/>
        </w:rPr>
        <w:t xml:space="preserve"> </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A80B7D" w:rsidRDefault="00E4729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4729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47292">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4729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上投摩根行业轮动混合型证券投资基金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0B7D"/>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47292"/>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5D28C-6384-4DA1-B3EF-AA0CACAD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14</Pages>
  <Words>1221</Words>
  <Characters>6966</Characters>
  <Application>Microsoft Office Word</Application>
  <DocSecurity>0</DocSecurity>
  <Lines>58</Lines>
  <Paragraphs>16</Paragraphs>
  <ScaleCrop>false</ScaleCrop>
  <Company>TRT. Ltd. Co.</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218</cp:revision>
  <cp:lastPrinted>2007-07-19T00:46:00Z</cp:lastPrinted>
  <dcterms:created xsi:type="dcterms:W3CDTF">2013-06-21T06:56:00Z</dcterms:created>
  <dcterms:modified xsi:type="dcterms:W3CDTF">2021-07-20T06:58:00Z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