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上投摩根新兴动力混合型证券投资基金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2022</w:t>
      </w:r>
      <w:r w:rsidRPr="0073597F">
        <w:rPr>
          <w:rFonts w:eastAsiaTheme="minorEastAsia"/>
          <w:b/>
          <w:color w:val="000000" w:themeColor="text1"/>
          <w:sz w:val="36"/>
          <w:szCs w:val="36"/>
        </w:rPr>
        <w:t>年第</w:t>
      </w:r>
      <w:r w:rsidRPr="0073597F">
        <w:rPr>
          <w:rFonts w:eastAsiaTheme="minorEastAsia"/>
          <w:b/>
          <w:color w:val="000000" w:themeColor="text1"/>
          <w:sz w:val="36"/>
          <w:szCs w:val="36"/>
        </w:rPr>
        <w:t>1</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2022</w:t>
      </w:r>
      <w:r w:rsidRPr="0073597F">
        <w:rPr>
          <w:rFonts w:eastAsiaTheme="minorEastAsia"/>
          <w:b/>
          <w:color w:val="000000" w:themeColor="text1"/>
          <w:sz w:val="36"/>
          <w:szCs w:val="36"/>
        </w:rPr>
        <w:t>年</w:t>
      </w:r>
      <w:r w:rsidRPr="0073597F">
        <w:rPr>
          <w:rFonts w:eastAsiaTheme="minorEastAsia"/>
          <w:b/>
          <w:color w:val="000000" w:themeColor="text1"/>
          <w:sz w:val="36"/>
          <w:szCs w:val="36"/>
        </w:rPr>
        <w:t>3</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基金管理人：上投摩根基金管理有限公司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报告送出日期：二〇二二年四月二十二日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CE53B2" w:rsidRPr="00CE53B2" w:rsidRDefault="00CE53B2">
      <w:pPr>
        <w:spacing w:line="360" w:lineRule="auto"/>
        <w:ind w:firstLineChars="200" w:firstLine="420"/>
        <w:rPr>
          <w:rFonts w:eastAsiaTheme="minorEastAsia"/>
          <w:color w:val="000000" w:themeColor="text1"/>
          <w:szCs w:val="21"/>
        </w:rPr>
      </w:pPr>
      <w:r w:rsidRPr="00CE53B2">
        <w:rPr>
          <w:rFonts w:eastAsiaTheme="minorEastAsia" w:hint="eastAsia"/>
          <w:color w:val="000000" w:themeColor="text1"/>
          <w:szCs w:val="21"/>
        </w:rPr>
        <w:t>本基金乃依据中港基金互认安排已获香港证券及期货事务监察委员会（下称“香港证监会”）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2022</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上投摩根新兴动力混合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1,260,263,200.46</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rsidR="00101E60" w:rsidRDefault="00CE53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01E60" w:rsidRDefault="00CE53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101E60" w:rsidRDefault="00CE53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01E60" w:rsidRDefault="00CE53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101E60" w:rsidRDefault="00CE53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101E60" w:rsidRDefault="00CE53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101E60" w:rsidRDefault="00CE53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101E60" w:rsidRDefault="00CE53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上投摩根基金管理有限公司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014642</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1,216,747,129.25</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34,599,898.45</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8,916,172.76</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(2022</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-2022</w:t>
            </w:r>
            <w:r w:rsidRPr="0073597F">
              <w:rPr>
                <w:rFonts w:eastAsiaTheme="minorEastAsia"/>
                <w:color w:val="000000" w:themeColor="text1"/>
                <w:szCs w:val="21"/>
              </w:rPr>
              <w:t>年</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-275,334,422.93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-7,977,662.30</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-161,571.34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-1,491,459,762.74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-43,433,248.86</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-2,193,694.24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-1.2548</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-1.2624</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-2.5832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7,529,719,443.35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214,596,932.16</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55,141,369.97</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6.1884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6.2022</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6.1844</w:t>
            </w:r>
          </w:p>
        </w:tc>
      </w:tr>
    </w:tbl>
    <w:p w:rsidR="00101E60" w:rsidRDefault="00CE53B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101E60" w:rsidRDefault="00CE53B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本基金自</w:t>
      </w:r>
      <w:r w:rsidRPr="0073597F">
        <w:rPr>
          <w:rFonts w:eastAsiaTheme="minorEastAsia"/>
          <w:color w:val="000000" w:themeColor="text1"/>
          <w:szCs w:val="21"/>
        </w:rPr>
        <w:t xml:space="preserve">2021 </w:t>
      </w:r>
      <w:r w:rsidRPr="0073597F">
        <w:rPr>
          <w:rFonts w:eastAsiaTheme="minorEastAsia"/>
          <w:color w:val="000000" w:themeColor="text1"/>
          <w:szCs w:val="21"/>
        </w:rPr>
        <w:t>年</w:t>
      </w:r>
      <w:r w:rsidRPr="0073597F">
        <w:rPr>
          <w:rFonts w:eastAsiaTheme="minorEastAsia"/>
          <w:color w:val="000000" w:themeColor="text1"/>
          <w:szCs w:val="21"/>
        </w:rPr>
        <w:t xml:space="preserve"> 12 </w:t>
      </w:r>
      <w:r w:rsidRPr="0073597F">
        <w:rPr>
          <w:rFonts w:eastAsiaTheme="minorEastAsia"/>
          <w:color w:val="000000" w:themeColor="text1"/>
          <w:szCs w:val="21"/>
        </w:rPr>
        <w:t>月</w:t>
      </w:r>
      <w:r w:rsidRPr="0073597F">
        <w:rPr>
          <w:rFonts w:eastAsiaTheme="minorEastAsia"/>
          <w:color w:val="000000" w:themeColor="text1"/>
          <w:szCs w:val="21"/>
        </w:rPr>
        <w:t xml:space="preserve"> 24 </w:t>
      </w:r>
      <w:r w:rsidRPr="0073597F">
        <w:rPr>
          <w:rFonts w:eastAsiaTheme="minorEastAsia"/>
          <w:color w:val="000000" w:themeColor="text1"/>
          <w:szCs w:val="21"/>
        </w:rPr>
        <w:t>日，增设</w:t>
      </w:r>
      <w:r w:rsidRPr="0073597F">
        <w:rPr>
          <w:rFonts w:eastAsiaTheme="minorEastAsia"/>
          <w:color w:val="000000" w:themeColor="text1"/>
          <w:szCs w:val="21"/>
        </w:rPr>
        <w:t xml:space="preserve"> C </w:t>
      </w:r>
      <w:r w:rsidRPr="0073597F">
        <w:rPr>
          <w:rFonts w:eastAsiaTheme="minorEastAsia"/>
          <w:color w:val="000000" w:themeColor="text1"/>
          <w:szCs w:val="21"/>
        </w:rPr>
        <w:t>类基金份额。</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上投摩根新兴动力混合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101E60">
        <w:tc>
          <w:tcPr>
            <w:tcW w:w="1290" w:type="dxa"/>
            <w:vAlign w:val="center"/>
          </w:tcPr>
          <w:p w:rsidR="00101E60" w:rsidRDefault="00CE53B2">
            <w:pPr>
              <w:jc w:val="left"/>
            </w:pPr>
            <w:r>
              <w:rPr>
                <w:rFonts w:eastAsiaTheme="minorEastAsia"/>
                <w:color w:val="000000" w:themeColor="text1"/>
                <w:szCs w:val="21"/>
              </w:rPr>
              <w:t>过去三个月</w:t>
            </w:r>
          </w:p>
        </w:tc>
        <w:tc>
          <w:tcPr>
            <w:tcW w:w="1291" w:type="dxa"/>
            <w:vAlign w:val="center"/>
          </w:tcPr>
          <w:p w:rsidR="00101E60" w:rsidRDefault="00CE53B2">
            <w:pPr>
              <w:jc w:val="right"/>
            </w:pPr>
            <w:r>
              <w:rPr>
                <w:rFonts w:eastAsiaTheme="minorEastAsia"/>
                <w:color w:val="000000" w:themeColor="text1"/>
                <w:szCs w:val="21"/>
              </w:rPr>
              <w:t>-17.00%</w:t>
            </w:r>
          </w:p>
        </w:tc>
        <w:tc>
          <w:tcPr>
            <w:tcW w:w="1291" w:type="dxa"/>
            <w:vAlign w:val="center"/>
          </w:tcPr>
          <w:p w:rsidR="00101E60" w:rsidRDefault="00CE53B2">
            <w:pPr>
              <w:jc w:val="right"/>
            </w:pPr>
            <w:r>
              <w:rPr>
                <w:rFonts w:eastAsiaTheme="minorEastAsia"/>
                <w:color w:val="000000" w:themeColor="text1"/>
                <w:szCs w:val="21"/>
              </w:rPr>
              <w:t>1.82%</w:t>
            </w:r>
          </w:p>
        </w:tc>
        <w:tc>
          <w:tcPr>
            <w:tcW w:w="1291" w:type="dxa"/>
            <w:vAlign w:val="center"/>
          </w:tcPr>
          <w:p w:rsidR="00101E60" w:rsidRDefault="00CE53B2">
            <w:pPr>
              <w:jc w:val="right"/>
            </w:pPr>
            <w:r>
              <w:rPr>
                <w:rFonts w:eastAsiaTheme="minorEastAsia"/>
                <w:color w:val="000000" w:themeColor="text1"/>
                <w:szCs w:val="21"/>
              </w:rPr>
              <w:t>-15.95%</w:t>
            </w:r>
          </w:p>
        </w:tc>
        <w:tc>
          <w:tcPr>
            <w:tcW w:w="1291" w:type="dxa"/>
            <w:vAlign w:val="center"/>
          </w:tcPr>
          <w:p w:rsidR="00101E60" w:rsidRDefault="00CE53B2">
            <w:pPr>
              <w:jc w:val="right"/>
            </w:pPr>
            <w:r>
              <w:rPr>
                <w:rFonts w:eastAsiaTheme="minorEastAsia"/>
                <w:color w:val="000000" w:themeColor="text1"/>
                <w:szCs w:val="21"/>
              </w:rPr>
              <w:t>1.49%</w:t>
            </w:r>
          </w:p>
        </w:tc>
        <w:tc>
          <w:tcPr>
            <w:tcW w:w="1291" w:type="dxa"/>
            <w:vAlign w:val="center"/>
          </w:tcPr>
          <w:p w:rsidR="00101E60" w:rsidRDefault="00CE53B2">
            <w:pPr>
              <w:jc w:val="right"/>
            </w:pPr>
            <w:r>
              <w:rPr>
                <w:rFonts w:eastAsiaTheme="minorEastAsia"/>
                <w:color w:val="000000" w:themeColor="text1"/>
                <w:szCs w:val="21"/>
              </w:rPr>
              <w:t>-1.05%</w:t>
            </w:r>
          </w:p>
        </w:tc>
        <w:tc>
          <w:tcPr>
            <w:tcW w:w="1291" w:type="dxa"/>
            <w:vAlign w:val="center"/>
          </w:tcPr>
          <w:p w:rsidR="00101E60" w:rsidRDefault="00CE53B2">
            <w:pPr>
              <w:jc w:val="right"/>
            </w:pPr>
            <w:r>
              <w:rPr>
                <w:rFonts w:eastAsiaTheme="minorEastAsia"/>
                <w:color w:val="000000" w:themeColor="text1"/>
                <w:szCs w:val="21"/>
              </w:rPr>
              <w:t>0.33%</w:t>
            </w:r>
          </w:p>
        </w:tc>
      </w:tr>
      <w:tr w:rsidR="00101E60">
        <w:tc>
          <w:tcPr>
            <w:tcW w:w="1290" w:type="dxa"/>
            <w:vAlign w:val="center"/>
          </w:tcPr>
          <w:p w:rsidR="00101E60" w:rsidRDefault="00CE53B2">
            <w:pPr>
              <w:jc w:val="left"/>
            </w:pPr>
            <w:r>
              <w:rPr>
                <w:rFonts w:eastAsiaTheme="minorEastAsia"/>
                <w:color w:val="000000" w:themeColor="text1"/>
                <w:szCs w:val="21"/>
              </w:rPr>
              <w:t>过去六个月</w:t>
            </w:r>
          </w:p>
        </w:tc>
        <w:tc>
          <w:tcPr>
            <w:tcW w:w="1291" w:type="dxa"/>
            <w:vAlign w:val="center"/>
          </w:tcPr>
          <w:p w:rsidR="00101E60" w:rsidRDefault="00CE53B2">
            <w:pPr>
              <w:jc w:val="right"/>
            </w:pPr>
            <w:r>
              <w:rPr>
                <w:rFonts w:eastAsiaTheme="minorEastAsia"/>
                <w:color w:val="000000" w:themeColor="text1"/>
                <w:szCs w:val="21"/>
              </w:rPr>
              <w:t>-17.56%</w:t>
            </w:r>
          </w:p>
        </w:tc>
        <w:tc>
          <w:tcPr>
            <w:tcW w:w="1291" w:type="dxa"/>
            <w:vAlign w:val="center"/>
          </w:tcPr>
          <w:p w:rsidR="00101E60" w:rsidRDefault="00CE53B2">
            <w:pPr>
              <w:jc w:val="right"/>
            </w:pPr>
            <w:r>
              <w:rPr>
                <w:rFonts w:eastAsiaTheme="minorEastAsia"/>
                <w:color w:val="000000" w:themeColor="text1"/>
                <w:szCs w:val="21"/>
              </w:rPr>
              <w:t>1.71%</w:t>
            </w:r>
          </w:p>
        </w:tc>
        <w:tc>
          <w:tcPr>
            <w:tcW w:w="1291" w:type="dxa"/>
            <w:vAlign w:val="center"/>
          </w:tcPr>
          <w:p w:rsidR="00101E60" w:rsidRDefault="00CE53B2">
            <w:pPr>
              <w:jc w:val="right"/>
            </w:pPr>
            <w:r>
              <w:rPr>
                <w:rFonts w:eastAsiaTheme="minorEastAsia"/>
                <w:color w:val="000000" w:themeColor="text1"/>
                <w:szCs w:val="21"/>
              </w:rPr>
              <w:t>-15.79%</w:t>
            </w:r>
          </w:p>
        </w:tc>
        <w:tc>
          <w:tcPr>
            <w:tcW w:w="1291" w:type="dxa"/>
            <w:vAlign w:val="center"/>
          </w:tcPr>
          <w:p w:rsidR="00101E60" w:rsidRDefault="00CE53B2">
            <w:pPr>
              <w:jc w:val="right"/>
            </w:pPr>
            <w:r>
              <w:rPr>
                <w:rFonts w:eastAsiaTheme="minorEastAsia"/>
                <w:color w:val="000000" w:themeColor="text1"/>
                <w:szCs w:val="21"/>
              </w:rPr>
              <w:t>1.21%</w:t>
            </w:r>
          </w:p>
        </w:tc>
        <w:tc>
          <w:tcPr>
            <w:tcW w:w="1291" w:type="dxa"/>
            <w:vAlign w:val="center"/>
          </w:tcPr>
          <w:p w:rsidR="00101E60" w:rsidRDefault="00CE53B2">
            <w:pPr>
              <w:jc w:val="right"/>
            </w:pPr>
            <w:r>
              <w:rPr>
                <w:rFonts w:eastAsiaTheme="minorEastAsia"/>
                <w:color w:val="000000" w:themeColor="text1"/>
                <w:szCs w:val="21"/>
              </w:rPr>
              <w:t>-1.77%</w:t>
            </w:r>
          </w:p>
        </w:tc>
        <w:tc>
          <w:tcPr>
            <w:tcW w:w="1291" w:type="dxa"/>
            <w:vAlign w:val="center"/>
          </w:tcPr>
          <w:p w:rsidR="00101E60" w:rsidRDefault="00CE53B2">
            <w:pPr>
              <w:jc w:val="right"/>
            </w:pPr>
            <w:r>
              <w:rPr>
                <w:rFonts w:eastAsiaTheme="minorEastAsia"/>
                <w:color w:val="000000" w:themeColor="text1"/>
                <w:szCs w:val="21"/>
              </w:rPr>
              <w:t>0.50%</w:t>
            </w:r>
          </w:p>
        </w:tc>
      </w:tr>
      <w:tr w:rsidR="00101E60">
        <w:tc>
          <w:tcPr>
            <w:tcW w:w="1290" w:type="dxa"/>
            <w:vAlign w:val="center"/>
          </w:tcPr>
          <w:p w:rsidR="00101E60" w:rsidRDefault="00CE53B2">
            <w:pPr>
              <w:jc w:val="left"/>
            </w:pPr>
            <w:r>
              <w:rPr>
                <w:rFonts w:eastAsiaTheme="minorEastAsia"/>
                <w:color w:val="000000" w:themeColor="text1"/>
                <w:szCs w:val="21"/>
              </w:rPr>
              <w:t>过去一年</w:t>
            </w:r>
          </w:p>
        </w:tc>
        <w:tc>
          <w:tcPr>
            <w:tcW w:w="1291" w:type="dxa"/>
            <w:vAlign w:val="center"/>
          </w:tcPr>
          <w:p w:rsidR="00101E60" w:rsidRDefault="00CE53B2">
            <w:pPr>
              <w:jc w:val="right"/>
            </w:pPr>
            <w:r>
              <w:rPr>
                <w:rFonts w:eastAsiaTheme="minorEastAsia"/>
                <w:color w:val="000000" w:themeColor="text1"/>
                <w:szCs w:val="21"/>
              </w:rPr>
              <w:t>8.28%</w:t>
            </w:r>
          </w:p>
        </w:tc>
        <w:tc>
          <w:tcPr>
            <w:tcW w:w="1291" w:type="dxa"/>
            <w:vAlign w:val="center"/>
          </w:tcPr>
          <w:p w:rsidR="00101E60" w:rsidRDefault="00CE53B2">
            <w:pPr>
              <w:jc w:val="right"/>
            </w:pPr>
            <w:r>
              <w:rPr>
                <w:rFonts w:eastAsiaTheme="minorEastAsia"/>
                <w:color w:val="000000" w:themeColor="text1"/>
                <w:szCs w:val="21"/>
              </w:rPr>
              <w:t>1.92%</w:t>
            </w:r>
          </w:p>
        </w:tc>
        <w:tc>
          <w:tcPr>
            <w:tcW w:w="1291" w:type="dxa"/>
            <w:vAlign w:val="center"/>
          </w:tcPr>
          <w:p w:rsidR="00101E60" w:rsidRDefault="00CE53B2">
            <w:pPr>
              <w:jc w:val="right"/>
            </w:pPr>
            <w:r>
              <w:rPr>
                <w:rFonts w:eastAsiaTheme="minorEastAsia"/>
                <w:color w:val="000000" w:themeColor="text1"/>
                <w:szCs w:val="21"/>
              </w:rPr>
              <w:t>-8.48%</w:t>
            </w:r>
          </w:p>
        </w:tc>
        <w:tc>
          <w:tcPr>
            <w:tcW w:w="1291" w:type="dxa"/>
            <w:vAlign w:val="center"/>
          </w:tcPr>
          <w:p w:rsidR="00101E60" w:rsidRDefault="00CE53B2">
            <w:pPr>
              <w:jc w:val="right"/>
            </w:pPr>
            <w:r>
              <w:rPr>
                <w:rFonts w:eastAsiaTheme="minorEastAsia"/>
                <w:color w:val="000000" w:themeColor="text1"/>
                <w:szCs w:val="21"/>
              </w:rPr>
              <w:t>1.29%</w:t>
            </w:r>
          </w:p>
        </w:tc>
        <w:tc>
          <w:tcPr>
            <w:tcW w:w="1291" w:type="dxa"/>
            <w:vAlign w:val="center"/>
          </w:tcPr>
          <w:p w:rsidR="00101E60" w:rsidRDefault="00CE53B2">
            <w:pPr>
              <w:jc w:val="right"/>
            </w:pPr>
            <w:r>
              <w:rPr>
                <w:rFonts w:eastAsiaTheme="minorEastAsia"/>
                <w:color w:val="000000" w:themeColor="text1"/>
                <w:szCs w:val="21"/>
              </w:rPr>
              <w:t>16.76%</w:t>
            </w:r>
          </w:p>
        </w:tc>
        <w:tc>
          <w:tcPr>
            <w:tcW w:w="1291" w:type="dxa"/>
            <w:vAlign w:val="center"/>
          </w:tcPr>
          <w:p w:rsidR="00101E60" w:rsidRDefault="00CE53B2">
            <w:pPr>
              <w:jc w:val="right"/>
            </w:pPr>
            <w:r>
              <w:rPr>
                <w:rFonts w:eastAsiaTheme="minorEastAsia"/>
                <w:color w:val="000000" w:themeColor="text1"/>
                <w:szCs w:val="21"/>
              </w:rPr>
              <w:t>0.63%</w:t>
            </w:r>
          </w:p>
        </w:tc>
      </w:tr>
      <w:tr w:rsidR="00101E60">
        <w:tc>
          <w:tcPr>
            <w:tcW w:w="1290" w:type="dxa"/>
            <w:vAlign w:val="center"/>
          </w:tcPr>
          <w:p w:rsidR="00101E60" w:rsidRDefault="00CE53B2">
            <w:pPr>
              <w:jc w:val="left"/>
            </w:pPr>
            <w:r>
              <w:rPr>
                <w:rFonts w:eastAsiaTheme="minorEastAsia"/>
                <w:color w:val="000000" w:themeColor="text1"/>
                <w:szCs w:val="21"/>
              </w:rPr>
              <w:t>过去三年</w:t>
            </w:r>
          </w:p>
        </w:tc>
        <w:tc>
          <w:tcPr>
            <w:tcW w:w="1291" w:type="dxa"/>
            <w:vAlign w:val="center"/>
          </w:tcPr>
          <w:p w:rsidR="00101E60" w:rsidRDefault="00CE53B2">
            <w:pPr>
              <w:jc w:val="right"/>
            </w:pPr>
            <w:r>
              <w:rPr>
                <w:rFonts w:eastAsiaTheme="minorEastAsia"/>
                <w:color w:val="000000" w:themeColor="text1"/>
                <w:szCs w:val="21"/>
              </w:rPr>
              <w:t>135.21%</w:t>
            </w:r>
          </w:p>
        </w:tc>
        <w:tc>
          <w:tcPr>
            <w:tcW w:w="1291" w:type="dxa"/>
            <w:vAlign w:val="center"/>
          </w:tcPr>
          <w:p w:rsidR="00101E60" w:rsidRDefault="00CE53B2">
            <w:pPr>
              <w:jc w:val="right"/>
            </w:pPr>
            <w:r>
              <w:rPr>
                <w:rFonts w:eastAsiaTheme="minorEastAsia"/>
                <w:color w:val="000000" w:themeColor="text1"/>
                <w:szCs w:val="21"/>
              </w:rPr>
              <w:t>1.92%</w:t>
            </w:r>
          </w:p>
        </w:tc>
        <w:tc>
          <w:tcPr>
            <w:tcW w:w="1291" w:type="dxa"/>
            <w:vAlign w:val="center"/>
          </w:tcPr>
          <w:p w:rsidR="00101E60" w:rsidRDefault="00CE53B2">
            <w:pPr>
              <w:jc w:val="right"/>
            </w:pPr>
            <w:r>
              <w:rPr>
                <w:rFonts w:eastAsiaTheme="minorEastAsia"/>
                <w:color w:val="000000" w:themeColor="text1"/>
                <w:szCs w:val="21"/>
              </w:rPr>
              <w:t>42.17%</w:t>
            </w:r>
          </w:p>
        </w:tc>
        <w:tc>
          <w:tcPr>
            <w:tcW w:w="1291" w:type="dxa"/>
            <w:vAlign w:val="center"/>
          </w:tcPr>
          <w:p w:rsidR="00101E60" w:rsidRDefault="00CE53B2">
            <w:pPr>
              <w:jc w:val="right"/>
            </w:pPr>
            <w:r>
              <w:rPr>
                <w:rFonts w:eastAsiaTheme="minorEastAsia"/>
                <w:color w:val="000000" w:themeColor="text1"/>
                <w:szCs w:val="21"/>
              </w:rPr>
              <w:t>1.37%</w:t>
            </w:r>
          </w:p>
        </w:tc>
        <w:tc>
          <w:tcPr>
            <w:tcW w:w="1291" w:type="dxa"/>
            <w:vAlign w:val="center"/>
          </w:tcPr>
          <w:p w:rsidR="00101E60" w:rsidRDefault="00CE53B2">
            <w:pPr>
              <w:jc w:val="right"/>
            </w:pPr>
            <w:r>
              <w:rPr>
                <w:rFonts w:eastAsiaTheme="minorEastAsia"/>
                <w:color w:val="000000" w:themeColor="text1"/>
                <w:szCs w:val="21"/>
              </w:rPr>
              <w:t>93.04%</w:t>
            </w:r>
          </w:p>
        </w:tc>
        <w:tc>
          <w:tcPr>
            <w:tcW w:w="1291" w:type="dxa"/>
            <w:vAlign w:val="center"/>
          </w:tcPr>
          <w:p w:rsidR="00101E60" w:rsidRDefault="00CE53B2">
            <w:pPr>
              <w:jc w:val="right"/>
            </w:pPr>
            <w:r>
              <w:rPr>
                <w:rFonts w:eastAsiaTheme="minorEastAsia"/>
                <w:color w:val="000000" w:themeColor="text1"/>
                <w:szCs w:val="21"/>
              </w:rPr>
              <w:t>0.55%</w:t>
            </w:r>
          </w:p>
        </w:tc>
      </w:tr>
      <w:tr w:rsidR="00101E60">
        <w:tc>
          <w:tcPr>
            <w:tcW w:w="1290" w:type="dxa"/>
            <w:vAlign w:val="center"/>
          </w:tcPr>
          <w:p w:rsidR="00101E60" w:rsidRDefault="00CE53B2">
            <w:pPr>
              <w:jc w:val="left"/>
            </w:pPr>
            <w:r>
              <w:rPr>
                <w:rFonts w:eastAsiaTheme="minorEastAsia"/>
                <w:color w:val="000000" w:themeColor="text1"/>
                <w:szCs w:val="21"/>
              </w:rPr>
              <w:t>过去五年</w:t>
            </w:r>
          </w:p>
        </w:tc>
        <w:tc>
          <w:tcPr>
            <w:tcW w:w="1291" w:type="dxa"/>
            <w:vAlign w:val="center"/>
          </w:tcPr>
          <w:p w:rsidR="00101E60" w:rsidRDefault="00CE53B2">
            <w:pPr>
              <w:jc w:val="right"/>
            </w:pPr>
            <w:r>
              <w:rPr>
                <w:rFonts w:eastAsiaTheme="minorEastAsia"/>
                <w:color w:val="000000" w:themeColor="text1"/>
                <w:szCs w:val="21"/>
              </w:rPr>
              <w:t>171.42%</w:t>
            </w:r>
          </w:p>
        </w:tc>
        <w:tc>
          <w:tcPr>
            <w:tcW w:w="1291" w:type="dxa"/>
            <w:vAlign w:val="center"/>
          </w:tcPr>
          <w:p w:rsidR="00101E60" w:rsidRDefault="00CE53B2">
            <w:pPr>
              <w:jc w:val="right"/>
            </w:pPr>
            <w:r>
              <w:rPr>
                <w:rFonts w:eastAsiaTheme="minorEastAsia"/>
                <w:color w:val="000000" w:themeColor="text1"/>
                <w:szCs w:val="21"/>
              </w:rPr>
              <w:t>1.85%</w:t>
            </w:r>
          </w:p>
        </w:tc>
        <w:tc>
          <w:tcPr>
            <w:tcW w:w="1291" w:type="dxa"/>
            <w:vAlign w:val="center"/>
          </w:tcPr>
          <w:p w:rsidR="00101E60" w:rsidRDefault="00CE53B2">
            <w:pPr>
              <w:jc w:val="right"/>
            </w:pPr>
            <w:r>
              <w:rPr>
                <w:rFonts w:eastAsiaTheme="minorEastAsia"/>
                <w:color w:val="000000" w:themeColor="text1"/>
                <w:szCs w:val="21"/>
              </w:rPr>
              <w:t>58.00%</w:t>
            </w:r>
          </w:p>
        </w:tc>
        <w:tc>
          <w:tcPr>
            <w:tcW w:w="1291" w:type="dxa"/>
            <w:vAlign w:val="center"/>
          </w:tcPr>
          <w:p w:rsidR="00101E60" w:rsidRDefault="00CE53B2">
            <w:pPr>
              <w:jc w:val="right"/>
            </w:pPr>
            <w:r>
              <w:rPr>
                <w:rFonts w:eastAsiaTheme="minorEastAsia"/>
                <w:color w:val="000000" w:themeColor="text1"/>
                <w:szCs w:val="21"/>
              </w:rPr>
              <w:t>1.21%</w:t>
            </w:r>
          </w:p>
        </w:tc>
        <w:tc>
          <w:tcPr>
            <w:tcW w:w="1291" w:type="dxa"/>
            <w:vAlign w:val="center"/>
          </w:tcPr>
          <w:p w:rsidR="00101E60" w:rsidRDefault="00CE53B2">
            <w:pPr>
              <w:jc w:val="right"/>
            </w:pPr>
            <w:r>
              <w:rPr>
                <w:rFonts w:eastAsiaTheme="minorEastAsia"/>
                <w:color w:val="000000" w:themeColor="text1"/>
                <w:szCs w:val="21"/>
              </w:rPr>
              <w:t>113.42%</w:t>
            </w:r>
          </w:p>
        </w:tc>
        <w:tc>
          <w:tcPr>
            <w:tcW w:w="1291" w:type="dxa"/>
            <w:vAlign w:val="center"/>
          </w:tcPr>
          <w:p w:rsidR="00101E60" w:rsidRDefault="00CE53B2">
            <w:pPr>
              <w:jc w:val="right"/>
            </w:pPr>
            <w:r>
              <w:rPr>
                <w:rFonts w:eastAsiaTheme="minorEastAsia"/>
                <w:color w:val="000000" w:themeColor="text1"/>
                <w:szCs w:val="21"/>
              </w:rPr>
              <w:t>0.64%</w:t>
            </w:r>
          </w:p>
        </w:tc>
      </w:tr>
      <w:tr w:rsidR="00101E60">
        <w:tc>
          <w:tcPr>
            <w:tcW w:w="1290" w:type="dxa"/>
            <w:vAlign w:val="center"/>
          </w:tcPr>
          <w:p w:rsidR="00101E60" w:rsidRDefault="00CE53B2">
            <w:pPr>
              <w:jc w:val="left"/>
            </w:pPr>
            <w:r>
              <w:rPr>
                <w:rFonts w:eastAsiaTheme="minorEastAsia"/>
                <w:color w:val="000000" w:themeColor="text1"/>
                <w:szCs w:val="21"/>
              </w:rPr>
              <w:t>自基金合同生效起至今</w:t>
            </w:r>
          </w:p>
        </w:tc>
        <w:tc>
          <w:tcPr>
            <w:tcW w:w="1291" w:type="dxa"/>
            <w:vAlign w:val="center"/>
          </w:tcPr>
          <w:p w:rsidR="00101E60" w:rsidRDefault="00CE53B2">
            <w:pPr>
              <w:jc w:val="right"/>
            </w:pPr>
            <w:r>
              <w:rPr>
                <w:rFonts w:eastAsiaTheme="minorEastAsia"/>
                <w:color w:val="000000" w:themeColor="text1"/>
                <w:szCs w:val="21"/>
              </w:rPr>
              <w:t>518.84%</w:t>
            </w:r>
          </w:p>
        </w:tc>
        <w:tc>
          <w:tcPr>
            <w:tcW w:w="1291" w:type="dxa"/>
            <w:vAlign w:val="center"/>
          </w:tcPr>
          <w:p w:rsidR="00101E60" w:rsidRDefault="00CE53B2">
            <w:pPr>
              <w:jc w:val="right"/>
            </w:pPr>
            <w:r>
              <w:rPr>
                <w:rFonts w:eastAsiaTheme="minorEastAsia"/>
                <w:color w:val="000000" w:themeColor="text1"/>
                <w:szCs w:val="21"/>
              </w:rPr>
              <w:t>1.85%</w:t>
            </w:r>
          </w:p>
        </w:tc>
        <w:tc>
          <w:tcPr>
            <w:tcW w:w="1291" w:type="dxa"/>
            <w:vAlign w:val="center"/>
          </w:tcPr>
          <w:p w:rsidR="00101E60" w:rsidRDefault="00CE53B2">
            <w:pPr>
              <w:jc w:val="right"/>
            </w:pPr>
            <w:r>
              <w:rPr>
                <w:rFonts w:eastAsiaTheme="minorEastAsia"/>
                <w:color w:val="000000" w:themeColor="text1"/>
                <w:szCs w:val="21"/>
              </w:rPr>
              <w:t>82.05%</w:t>
            </w:r>
          </w:p>
        </w:tc>
        <w:tc>
          <w:tcPr>
            <w:tcW w:w="1291" w:type="dxa"/>
            <w:vAlign w:val="center"/>
          </w:tcPr>
          <w:p w:rsidR="00101E60" w:rsidRDefault="00CE53B2">
            <w:pPr>
              <w:jc w:val="right"/>
            </w:pPr>
            <w:r>
              <w:rPr>
                <w:rFonts w:eastAsiaTheme="minorEastAsia"/>
                <w:color w:val="000000" w:themeColor="text1"/>
                <w:szCs w:val="21"/>
              </w:rPr>
              <w:t>1.24%</w:t>
            </w:r>
          </w:p>
        </w:tc>
        <w:tc>
          <w:tcPr>
            <w:tcW w:w="1291" w:type="dxa"/>
            <w:vAlign w:val="center"/>
          </w:tcPr>
          <w:p w:rsidR="00101E60" w:rsidRDefault="00CE53B2">
            <w:pPr>
              <w:jc w:val="right"/>
            </w:pPr>
            <w:r>
              <w:rPr>
                <w:rFonts w:eastAsiaTheme="minorEastAsia"/>
                <w:color w:val="000000" w:themeColor="text1"/>
                <w:szCs w:val="21"/>
              </w:rPr>
              <w:t>436.79%</w:t>
            </w:r>
          </w:p>
        </w:tc>
        <w:tc>
          <w:tcPr>
            <w:tcW w:w="1291" w:type="dxa"/>
            <w:vAlign w:val="center"/>
          </w:tcPr>
          <w:p w:rsidR="00101E60" w:rsidRDefault="00CE53B2">
            <w:pPr>
              <w:jc w:val="right"/>
            </w:pPr>
            <w:r>
              <w:rPr>
                <w:rFonts w:eastAsiaTheme="minorEastAsia"/>
                <w:color w:val="000000" w:themeColor="text1"/>
                <w:szCs w:val="21"/>
              </w:rPr>
              <w:t>0.61%</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上投摩根新兴动力混合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101E60">
        <w:tc>
          <w:tcPr>
            <w:tcW w:w="1290" w:type="dxa"/>
            <w:vAlign w:val="center"/>
          </w:tcPr>
          <w:p w:rsidR="00101E60" w:rsidRDefault="00CE53B2">
            <w:pPr>
              <w:jc w:val="left"/>
            </w:pPr>
            <w:r>
              <w:rPr>
                <w:rFonts w:eastAsiaTheme="minorEastAsia"/>
                <w:color w:val="000000" w:themeColor="text1"/>
                <w:szCs w:val="21"/>
              </w:rPr>
              <w:t>过去三个月</w:t>
            </w:r>
          </w:p>
        </w:tc>
        <w:tc>
          <w:tcPr>
            <w:tcW w:w="1291" w:type="dxa"/>
            <w:vAlign w:val="center"/>
          </w:tcPr>
          <w:p w:rsidR="00101E60" w:rsidRDefault="00CE53B2">
            <w:pPr>
              <w:jc w:val="right"/>
            </w:pPr>
            <w:r>
              <w:rPr>
                <w:rFonts w:eastAsiaTheme="minorEastAsia"/>
                <w:color w:val="000000" w:themeColor="text1"/>
                <w:szCs w:val="21"/>
              </w:rPr>
              <w:t>-17.00%</w:t>
            </w:r>
          </w:p>
        </w:tc>
        <w:tc>
          <w:tcPr>
            <w:tcW w:w="1291" w:type="dxa"/>
            <w:vAlign w:val="center"/>
          </w:tcPr>
          <w:p w:rsidR="00101E60" w:rsidRDefault="00CE53B2">
            <w:pPr>
              <w:jc w:val="right"/>
            </w:pPr>
            <w:r>
              <w:rPr>
                <w:rFonts w:eastAsiaTheme="minorEastAsia"/>
                <w:color w:val="000000" w:themeColor="text1"/>
                <w:szCs w:val="21"/>
              </w:rPr>
              <w:t>1.82%</w:t>
            </w:r>
          </w:p>
        </w:tc>
        <w:tc>
          <w:tcPr>
            <w:tcW w:w="1291" w:type="dxa"/>
            <w:vAlign w:val="center"/>
          </w:tcPr>
          <w:p w:rsidR="00101E60" w:rsidRDefault="00CE53B2">
            <w:pPr>
              <w:jc w:val="right"/>
            </w:pPr>
            <w:r>
              <w:rPr>
                <w:rFonts w:eastAsiaTheme="minorEastAsia"/>
                <w:color w:val="000000" w:themeColor="text1"/>
                <w:szCs w:val="21"/>
              </w:rPr>
              <w:t>-15.95%</w:t>
            </w:r>
          </w:p>
        </w:tc>
        <w:tc>
          <w:tcPr>
            <w:tcW w:w="1291" w:type="dxa"/>
            <w:vAlign w:val="center"/>
          </w:tcPr>
          <w:p w:rsidR="00101E60" w:rsidRDefault="00CE53B2">
            <w:pPr>
              <w:jc w:val="right"/>
            </w:pPr>
            <w:r>
              <w:rPr>
                <w:rFonts w:eastAsiaTheme="minorEastAsia"/>
                <w:color w:val="000000" w:themeColor="text1"/>
                <w:szCs w:val="21"/>
              </w:rPr>
              <w:t>1.49%</w:t>
            </w:r>
          </w:p>
        </w:tc>
        <w:tc>
          <w:tcPr>
            <w:tcW w:w="1291" w:type="dxa"/>
            <w:vAlign w:val="center"/>
          </w:tcPr>
          <w:p w:rsidR="00101E60" w:rsidRDefault="00CE53B2">
            <w:pPr>
              <w:jc w:val="right"/>
            </w:pPr>
            <w:r>
              <w:rPr>
                <w:rFonts w:eastAsiaTheme="minorEastAsia"/>
                <w:color w:val="000000" w:themeColor="text1"/>
                <w:szCs w:val="21"/>
              </w:rPr>
              <w:t>-1.05%</w:t>
            </w:r>
          </w:p>
        </w:tc>
        <w:tc>
          <w:tcPr>
            <w:tcW w:w="1291" w:type="dxa"/>
            <w:vAlign w:val="center"/>
          </w:tcPr>
          <w:p w:rsidR="00101E60" w:rsidRDefault="00CE53B2">
            <w:pPr>
              <w:jc w:val="right"/>
            </w:pPr>
            <w:r>
              <w:rPr>
                <w:rFonts w:eastAsiaTheme="minorEastAsia"/>
                <w:color w:val="000000" w:themeColor="text1"/>
                <w:szCs w:val="21"/>
              </w:rPr>
              <w:t>0.33%</w:t>
            </w:r>
          </w:p>
        </w:tc>
      </w:tr>
      <w:tr w:rsidR="00101E60">
        <w:tc>
          <w:tcPr>
            <w:tcW w:w="1290" w:type="dxa"/>
            <w:vAlign w:val="center"/>
          </w:tcPr>
          <w:p w:rsidR="00101E60" w:rsidRDefault="00CE53B2">
            <w:pPr>
              <w:jc w:val="left"/>
            </w:pPr>
            <w:r>
              <w:rPr>
                <w:rFonts w:eastAsiaTheme="minorEastAsia"/>
                <w:color w:val="000000" w:themeColor="text1"/>
                <w:szCs w:val="21"/>
              </w:rPr>
              <w:t>过去六个月</w:t>
            </w:r>
          </w:p>
        </w:tc>
        <w:tc>
          <w:tcPr>
            <w:tcW w:w="1291" w:type="dxa"/>
            <w:vAlign w:val="center"/>
          </w:tcPr>
          <w:p w:rsidR="00101E60" w:rsidRDefault="00CE53B2">
            <w:pPr>
              <w:jc w:val="right"/>
            </w:pPr>
            <w:r>
              <w:rPr>
                <w:rFonts w:eastAsiaTheme="minorEastAsia"/>
                <w:color w:val="000000" w:themeColor="text1"/>
                <w:szCs w:val="21"/>
              </w:rPr>
              <w:t>-17.57%</w:t>
            </w:r>
          </w:p>
        </w:tc>
        <w:tc>
          <w:tcPr>
            <w:tcW w:w="1291" w:type="dxa"/>
            <w:vAlign w:val="center"/>
          </w:tcPr>
          <w:p w:rsidR="00101E60" w:rsidRDefault="00CE53B2">
            <w:pPr>
              <w:jc w:val="right"/>
            </w:pPr>
            <w:r>
              <w:rPr>
                <w:rFonts w:eastAsiaTheme="minorEastAsia"/>
                <w:color w:val="000000" w:themeColor="text1"/>
                <w:szCs w:val="21"/>
              </w:rPr>
              <w:t>1.71%</w:t>
            </w:r>
          </w:p>
        </w:tc>
        <w:tc>
          <w:tcPr>
            <w:tcW w:w="1291" w:type="dxa"/>
            <w:vAlign w:val="center"/>
          </w:tcPr>
          <w:p w:rsidR="00101E60" w:rsidRDefault="00CE53B2">
            <w:pPr>
              <w:jc w:val="right"/>
            </w:pPr>
            <w:r>
              <w:rPr>
                <w:rFonts w:eastAsiaTheme="minorEastAsia"/>
                <w:color w:val="000000" w:themeColor="text1"/>
                <w:szCs w:val="21"/>
              </w:rPr>
              <w:t>-15.79%</w:t>
            </w:r>
          </w:p>
        </w:tc>
        <w:tc>
          <w:tcPr>
            <w:tcW w:w="1291" w:type="dxa"/>
            <w:vAlign w:val="center"/>
          </w:tcPr>
          <w:p w:rsidR="00101E60" w:rsidRDefault="00CE53B2">
            <w:pPr>
              <w:jc w:val="right"/>
            </w:pPr>
            <w:r>
              <w:rPr>
                <w:rFonts w:eastAsiaTheme="minorEastAsia"/>
                <w:color w:val="000000" w:themeColor="text1"/>
                <w:szCs w:val="21"/>
              </w:rPr>
              <w:t>1.21%</w:t>
            </w:r>
          </w:p>
        </w:tc>
        <w:tc>
          <w:tcPr>
            <w:tcW w:w="1291" w:type="dxa"/>
            <w:vAlign w:val="center"/>
          </w:tcPr>
          <w:p w:rsidR="00101E60" w:rsidRDefault="00CE53B2">
            <w:pPr>
              <w:jc w:val="right"/>
            </w:pPr>
            <w:r>
              <w:rPr>
                <w:rFonts w:eastAsiaTheme="minorEastAsia"/>
                <w:color w:val="000000" w:themeColor="text1"/>
                <w:szCs w:val="21"/>
              </w:rPr>
              <w:t>-1.78%</w:t>
            </w:r>
          </w:p>
        </w:tc>
        <w:tc>
          <w:tcPr>
            <w:tcW w:w="1291" w:type="dxa"/>
            <w:vAlign w:val="center"/>
          </w:tcPr>
          <w:p w:rsidR="00101E60" w:rsidRDefault="00CE53B2">
            <w:pPr>
              <w:jc w:val="right"/>
            </w:pPr>
            <w:r>
              <w:rPr>
                <w:rFonts w:eastAsiaTheme="minorEastAsia"/>
                <w:color w:val="000000" w:themeColor="text1"/>
                <w:szCs w:val="21"/>
              </w:rPr>
              <w:t>0.50%</w:t>
            </w:r>
          </w:p>
        </w:tc>
      </w:tr>
      <w:tr w:rsidR="00101E60">
        <w:tc>
          <w:tcPr>
            <w:tcW w:w="1290" w:type="dxa"/>
            <w:vAlign w:val="center"/>
          </w:tcPr>
          <w:p w:rsidR="00101E60" w:rsidRDefault="00CE53B2">
            <w:pPr>
              <w:jc w:val="left"/>
            </w:pPr>
            <w:r>
              <w:rPr>
                <w:rFonts w:eastAsiaTheme="minorEastAsia"/>
                <w:color w:val="000000" w:themeColor="text1"/>
                <w:szCs w:val="21"/>
              </w:rPr>
              <w:t>过去一年</w:t>
            </w:r>
          </w:p>
        </w:tc>
        <w:tc>
          <w:tcPr>
            <w:tcW w:w="1291" w:type="dxa"/>
            <w:vAlign w:val="center"/>
          </w:tcPr>
          <w:p w:rsidR="00101E60" w:rsidRDefault="00CE53B2">
            <w:pPr>
              <w:jc w:val="right"/>
            </w:pPr>
            <w:r>
              <w:rPr>
                <w:rFonts w:eastAsiaTheme="minorEastAsia"/>
                <w:color w:val="000000" w:themeColor="text1"/>
                <w:szCs w:val="21"/>
              </w:rPr>
              <w:t>8.24%</w:t>
            </w:r>
          </w:p>
        </w:tc>
        <w:tc>
          <w:tcPr>
            <w:tcW w:w="1291" w:type="dxa"/>
            <w:vAlign w:val="center"/>
          </w:tcPr>
          <w:p w:rsidR="00101E60" w:rsidRDefault="00CE53B2">
            <w:pPr>
              <w:jc w:val="right"/>
            </w:pPr>
            <w:r>
              <w:rPr>
                <w:rFonts w:eastAsiaTheme="minorEastAsia"/>
                <w:color w:val="000000" w:themeColor="text1"/>
                <w:szCs w:val="21"/>
              </w:rPr>
              <w:t>1.92%</w:t>
            </w:r>
          </w:p>
        </w:tc>
        <w:tc>
          <w:tcPr>
            <w:tcW w:w="1291" w:type="dxa"/>
            <w:vAlign w:val="center"/>
          </w:tcPr>
          <w:p w:rsidR="00101E60" w:rsidRDefault="00CE53B2">
            <w:pPr>
              <w:jc w:val="right"/>
            </w:pPr>
            <w:r>
              <w:rPr>
                <w:rFonts w:eastAsiaTheme="minorEastAsia"/>
                <w:color w:val="000000" w:themeColor="text1"/>
                <w:szCs w:val="21"/>
              </w:rPr>
              <w:t>-8.48%</w:t>
            </w:r>
          </w:p>
        </w:tc>
        <w:tc>
          <w:tcPr>
            <w:tcW w:w="1291" w:type="dxa"/>
            <w:vAlign w:val="center"/>
          </w:tcPr>
          <w:p w:rsidR="00101E60" w:rsidRDefault="00CE53B2">
            <w:pPr>
              <w:jc w:val="right"/>
            </w:pPr>
            <w:r>
              <w:rPr>
                <w:rFonts w:eastAsiaTheme="minorEastAsia"/>
                <w:color w:val="000000" w:themeColor="text1"/>
                <w:szCs w:val="21"/>
              </w:rPr>
              <w:t>1.29%</w:t>
            </w:r>
          </w:p>
        </w:tc>
        <w:tc>
          <w:tcPr>
            <w:tcW w:w="1291" w:type="dxa"/>
            <w:vAlign w:val="center"/>
          </w:tcPr>
          <w:p w:rsidR="00101E60" w:rsidRDefault="00CE53B2">
            <w:pPr>
              <w:jc w:val="right"/>
            </w:pPr>
            <w:r>
              <w:rPr>
                <w:rFonts w:eastAsiaTheme="minorEastAsia"/>
                <w:color w:val="000000" w:themeColor="text1"/>
                <w:szCs w:val="21"/>
              </w:rPr>
              <w:t>16.72%</w:t>
            </w:r>
          </w:p>
        </w:tc>
        <w:tc>
          <w:tcPr>
            <w:tcW w:w="1291" w:type="dxa"/>
            <w:vAlign w:val="center"/>
          </w:tcPr>
          <w:p w:rsidR="00101E60" w:rsidRDefault="00CE53B2">
            <w:pPr>
              <w:jc w:val="right"/>
            </w:pPr>
            <w:r>
              <w:rPr>
                <w:rFonts w:eastAsiaTheme="minorEastAsia"/>
                <w:color w:val="000000" w:themeColor="text1"/>
                <w:szCs w:val="21"/>
              </w:rPr>
              <w:t>0.63%</w:t>
            </w:r>
          </w:p>
        </w:tc>
      </w:tr>
      <w:tr w:rsidR="00101E60">
        <w:tc>
          <w:tcPr>
            <w:tcW w:w="1290" w:type="dxa"/>
            <w:vAlign w:val="center"/>
          </w:tcPr>
          <w:p w:rsidR="00101E60" w:rsidRDefault="00CE53B2">
            <w:pPr>
              <w:jc w:val="left"/>
            </w:pPr>
            <w:r>
              <w:rPr>
                <w:rFonts w:eastAsiaTheme="minorEastAsia"/>
                <w:color w:val="000000" w:themeColor="text1"/>
                <w:szCs w:val="21"/>
              </w:rPr>
              <w:t>过去三年</w:t>
            </w:r>
          </w:p>
        </w:tc>
        <w:tc>
          <w:tcPr>
            <w:tcW w:w="1291" w:type="dxa"/>
            <w:vAlign w:val="center"/>
          </w:tcPr>
          <w:p w:rsidR="00101E60" w:rsidRDefault="00CE53B2">
            <w:pPr>
              <w:jc w:val="right"/>
            </w:pPr>
            <w:r>
              <w:rPr>
                <w:rFonts w:eastAsiaTheme="minorEastAsia"/>
                <w:color w:val="000000" w:themeColor="text1"/>
                <w:szCs w:val="21"/>
              </w:rPr>
              <w:t>135.20%</w:t>
            </w:r>
          </w:p>
        </w:tc>
        <w:tc>
          <w:tcPr>
            <w:tcW w:w="1291" w:type="dxa"/>
            <w:vAlign w:val="center"/>
          </w:tcPr>
          <w:p w:rsidR="00101E60" w:rsidRDefault="00CE53B2">
            <w:pPr>
              <w:jc w:val="right"/>
            </w:pPr>
            <w:r>
              <w:rPr>
                <w:rFonts w:eastAsiaTheme="minorEastAsia"/>
                <w:color w:val="000000" w:themeColor="text1"/>
                <w:szCs w:val="21"/>
              </w:rPr>
              <w:t>1.92%</w:t>
            </w:r>
          </w:p>
        </w:tc>
        <w:tc>
          <w:tcPr>
            <w:tcW w:w="1291" w:type="dxa"/>
            <w:vAlign w:val="center"/>
          </w:tcPr>
          <w:p w:rsidR="00101E60" w:rsidRDefault="00CE53B2">
            <w:pPr>
              <w:jc w:val="right"/>
            </w:pPr>
            <w:r>
              <w:rPr>
                <w:rFonts w:eastAsiaTheme="minorEastAsia"/>
                <w:color w:val="000000" w:themeColor="text1"/>
                <w:szCs w:val="21"/>
              </w:rPr>
              <w:t>42.17%</w:t>
            </w:r>
          </w:p>
        </w:tc>
        <w:tc>
          <w:tcPr>
            <w:tcW w:w="1291" w:type="dxa"/>
            <w:vAlign w:val="center"/>
          </w:tcPr>
          <w:p w:rsidR="00101E60" w:rsidRDefault="00CE53B2">
            <w:pPr>
              <w:jc w:val="right"/>
            </w:pPr>
            <w:r>
              <w:rPr>
                <w:rFonts w:eastAsiaTheme="minorEastAsia"/>
                <w:color w:val="000000" w:themeColor="text1"/>
                <w:szCs w:val="21"/>
              </w:rPr>
              <w:t>1.37%</w:t>
            </w:r>
          </w:p>
        </w:tc>
        <w:tc>
          <w:tcPr>
            <w:tcW w:w="1291" w:type="dxa"/>
            <w:vAlign w:val="center"/>
          </w:tcPr>
          <w:p w:rsidR="00101E60" w:rsidRDefault="00CE53B2">
            <w:pPr>
              <w:jc w:val="right"/>
            </w:pPr>
            <w:r>
              <w:rPr>
                <w:rFonts w:eastAsiaTheme="minorEastAsia"/>
                <w:color w:val="000000" w:themeColor="text1"/>
                <w:szCs w:val="21"/>
              </w:rPr>
              <w:t>93.03%</w:t>
            </w:r>
          </w:p>
        </w:tc>
        <w:tc>
          <w:tcPr>
            <w:tcW w:w="1291" w:type="dxa"/>
            <w:vAlign w:val="center"/>
          </w:tcPr>
          <w:p w:rsidR="00101E60" w:rsidRDefault="00CE53B2">
            <w:pPr>
              <w:jc w:val="right"/>
            </w:pPr>
            <w:r>
              <w:rPr>
                <w:rFonts w:eastAsiaTheme="minorEastAsia"/>
                <w:color w:val="000000" w:themeColor="text1"/>
                <w:szCs w:val="21"/>
              </w:rPr>
              <w:t>0.55%</w:t>
            </w:r>
          </w:p>
        </w:tc>
      </w:tr>
      <w:tr w:rsidR="00101E60">
        <w:tc>
          <w:tcPr>
            <w:tcW w:w="1290" w:type="dxa"/>
            <w:vAlign w:val="center"/>
          </w:tcPr>
          <w:p w:rsidR="00101E60" w:rsidRDefault="00CE53B2">
            <w:pPr>
              <w:jc w:val="left"/>
            </w:pPr>
            <w:r>
              <w:rPr>
                <w:rFonts w:eastAsiaTheme="minorEastAsia"/>
                <w:color w:val="000000" w:themeColor="text1"/>
                <w:szCs w:val="21"/>
              </w:rPr>
              <w:t>过去五年</w:t>
            </w:r>
          </w:p>
        </w:tc>
        <w:tc>
          <w:tcPr>
            <w:tcW w:w="1291" w:type="dxa"/>
            <w:vAlign w:val="center"/>
          </w:tcPr>
          <w:p w:rsidR="00101E60" w:rsidRDefault="00CE53B2">
            <w:pPr>
              <w:jc w:val="right"/>
            </w:pPr>
            <w:r>
              <w:rPr>
                <w:rFonts w:eastAsiaTheme="minorEastAsia"/>
                <w:color w:val="000000" w:themeColor="text1"/>
                <w:szCs w:val="21"/>
              </w:rPr>
              <w:t>171.91%</w:t>
            </w:r>
          </w:p>
        </w:tc>
        <w:tc>
          <w:tcPr>
            <w:tcW w:w="1291" w:type="dxa"/>
            <w:vAlign w:val="center"/>
          </w:tcPr>
          <w:p w:rsidR="00101E60" w:rsidRDefault="00CE53B2">
            <w:pPr>
              <w:jc w:val="right"/>
            </w:pPr>
            <w:r>
              <w:rPr>
                <w:rFonts w:eastAsiaTheme="minorEastAsia"/>
                <w:color w:val="000000" w:themeColor="text1"/>
                <w:szCs w:val="21"/>
              </w:rPr>
              <w:t>1.85%</w:t>
            </w:r>
          </w:p>
        </w:tc>
        <w:tc>
          <w:tcPr>
            <w:tcW w:w="1291" w:type="dxa"/>
            <w:vAlign w:val="center"/>
          </w:tcPr>
          <w:p w:rsidR="00101E60" w:rsidRDefault="00CE53B2">
            <w:pPr>
              <w:jc w:val="right"/>
            </w:pPr>
            <w:r>
              <w:rPr>
                <w:rFonts w:eastAsiaTheme="minorEastAsia"/>
                <w:color w:val="000000" w:themeColor="text1"/>
                <w:szCs w:val="21"/>
              </w:rPr>
              <w:t>58.00%</w:t>
            </w:r>
          </w:p>
        </w:tc>
        <w:tc>
          <w:tcPr>
            <w:tcW w:w="1291" w:type="dxa"/>
            <w:vAlign w:val="center"/>
          </w:tcPr>
          <w:p w:rsidR="00101E60" w:rsidRDefault="00CE53B2">
            <w:pPr>
              <w:jc w:val="right"/>
            </w:pPr>
            <w:r>
              <w:rPr>
                <w:rFonts w:eastAsiaTheme="minorEastAsia"/>
                <w:color w:val="000000" w:themeColor="text1"/>
                <w:szCs w:val="21"/>
              </w:rPr>
              <w:t>1.21%</w:t>
            </w:r>
          </w:p>
        </w:tc>
        <w:tc>
          <w:tcPr>
            <w:tcW w:w="1291" w:type="dxa"/>
            <w:vAlign w:val="center"/>
          </w:tcPr>
          <w:p w:rsidR="00101E60" w:rsidRDefault="00CE53B2">
            <w:pPr>
              <w:jc w:val="right"/>
            </w:pPr>
            <w:r>
              <w:rPr>
                <w:rFonts w:eastAsiaTheme="minorEastAsia"/>
                <w:color w:val="000000" w:themeColor="text1"/>
                <w:szCs w:val="21"/>
              </w:rPr>
              <w:t>113.91%</w:t>
            </w:r>
          </w:p>
        </w:tc>
        <w:tc>
          <w:tcPr>
            <w:tcW w:w="1291" w:type="dxa"/>
            <w:vAlign w:val="center"/>
          </w:tcPr>
          <w:p w:rsidR="00101E60" w:rsidRDefault="00CE53B2">
            <w:pPr>
              <w:jc w:val="right"/>
            </w:pPr>
            <w:r>
              <w:rPr>
                <w:rFonts w:eastAsiaTheme="minorEastAsia"/>
                <w:color w:val="000000" w:themeColor="text1"/>
                <w:szCs w:val="21"/>
              </w:rPr>
              <w:t>0.64%</w:t>
            </w:r>
          </w:p>
        </w:tc>
      </w:tr>
      <w:tr w:rsidR="00101E60">
        <w:tc>
          <w:tcPr>
            <w:tcW w:w="1290" w:type="dxa"/>
            <w:vAlign w:val="center"/>
          </w:tcPr>
          <w:p w:rsidR="00101E60" w:rsidRDefault="00CE53B2">
            <w:pPr>
              <w:jc w:val="left"/>
            </w:pPr>
            <w:r>
              <w:rPr>
                <w:rFonts w:eastAsiaTheme="minorEastAsia"/>
                <w:color w:val="000000" w:themeColor="text1"/>
                <w:szCs w:val="21"/>
              </w:rPr>
              <w:t>自基金合同生效起至今</w:t>
            </w:r>
          </w:p>
        </w:tc>
        <w:tc>
          <w:tcPr>
            <w:tcW w:w="1291" w:type="dxa"/>
            <w:vAlign w:val="center"/>
          </w:tcPr>
          <w:p w:rsidR="00101E60" w:rsidRDefault="00CE53B2">
            <w:pPr>
              <w:jc w:val="right"/>
            </w:pPr>
            <w:r>
              <w:rPr>
                <w:rFonts w:eastAsiaTheme="minorEastAsia"/>
                <w:color w:val="000000" w:themeColor="text1"/>
                <w:szCs w:val="21"/>
              </w:rPr>
              <w:t>203.73%</w:t>
            </w:r>
          </w:p>
        </w:tc>
        <w:tc>
          <w:tcPr>
            <w:tcW w:w="1291" w:type="dxa"/>
            <w:vAlign w:val="center"/>
          </w:tcPr>
          <w:p w:rsidR="00101E60" w:rsidRDefault="00CE53B2">
            <w:pPr>
              <w:jc w:val="right"/>
            </w:pPr>
            <w:r>
              <w:rPr>
                <w:rFonts w:eastAsiaTheme="minorEastAsia"/>
                <w:color w:val="000000" w:themeColor="text1"/>
                <w:szCs w:val="21"/>
              </w:rPr>
              <w:t>1.82%</w:t>
            </w:r>
          </w:p>
        </w:tc>
        <w:tc>
          <w:tcPr>
            <w:tcW w:w="1291" w:type="dxa"/>
            <w:vAlign w:val="center"/>
          </w:tcPr>
          <w:p w:rsidR="00101E60" w:rsidRDefault="00CE53B2">
            <w:pPr>
              <w:jc w:val="right"/>
            </w:pPr>
            <w:r>
              <w:rPr>
                <w:rFonts w:eastAsiaTheme="minorEastAsia"/>
                <w:color w:val="000000" w:themeColor="text1"/>
                <w:szCs w:val="21"/>
              </w:rPr>
              <w:t>72.35%</w:t>
            </w:r>
          </w:p>
        </w:tc>
        <w:tc>
          <w:tcPr>
            <w:tcW w:w="1291" w:type="dxa"/>
            <w:vAlign w:val="center"/>
          </w:tcPr>
          <w:p w:rsidR="00101E60" w:rsidRDefault="00CE53B2">
            <w:pPr>
              <w:jc w:val="right"/>
            </w:pPr>
            <w:r>
              <w:rPr>
                <w:rFonts w:eastAsiaTheme="minorEastAsia"/>
                <w:color w:val="000000" w:themeColor="text1"/>
                <w:szCs w:val="21"/>
              </w:rPr>
              <w:t>1.15%</w:t>
            </w:r>
          </w:p>
        </w:tc>
        <w:tc>
          <w:tcPr>
            <w:tcW w:w="1291" w:type="dxa"/>
            <w:vAlign w:val="center"/>
          </w:tcPr>
          <w:p w:rsidR="00101E60" w:rsidRDefault="00CE53B2">
            <w:pPr>
              <w:jc w:val="right"/>
            </w:pPr>
            <w:r>
              <w:rPr>
                <w:rFonts w:eastAsiaTheme="minorEastAsia"/>
                <w:color w:val="000000" w:themeColor="text1"/>
                <w:szCs w:val="21"/>
              </w:rPr>
              <w:t>131.38%</w:t>
            </w:r>
          </w:p>
        </w:tc>
        <w:tc>
          <w:tcPr>
            <w:tcW w:w="1291" w:type="dxa"/>
            <w:vAlign w:val="center"/>
          </w:tcPr>
          <w:p w:rsidR="00101E60" w:rsidRDefault="00CE53B2">
            <w:pPr>
              <w:jc w:val="right"/>
            </w:pPr>
            <w:r>
              <w:rPr>
                <w:rFonts w:eastAsiaTheme="minorEastAsia"/>
                <w:color w:val="000000" w:themeColor="text1"/>
                <w:szCs w:val="21"/>
              </w:rPr>
              <w:t>0.67%</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上投摩根新兴动力混合</w:t>
      </w:r>
      <w:r w:rsidRPr="0073597F">
        <w:rPr>
          <w:rFonts w:eastAsiaTheme="minorEastAsia"/>
          <w:b/>
          <w:color w:val="000000" w:themeColor="text1"/>
          <w:kern w:val="0"/>
          <w:szCs w:val="21"/>
        </w:rPr>
        <w:t>C</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101E60">
        <w:tc>
          <w:tcPr>
            <w:tcW w:w="1290" w:type="dxa"/>
            <w:vAlign w:val="center"/>
          </w:tcPr>
          <w:p w:rsidR="00101E60" w:rsidRDefault="00CE53B2">
            <w:pPr>
              <w:jc w:val="left"/>
            </w:pPr>
            <w:r>
              <w:rPr>
                <w:rFonts w:eastAsiaTheme="minorEastAsia"/>
                <w:color w:val="000000" w:themeColor="text1"/>
                <w:szCs w:val="21"/>
              </w:rPr>
              <w:t>过去三个月</w:t>
            </w:r>
          </w:p>
        </w:tc>
        <w:tc>
          <w:tcPr>
            <w:tcW w:w="1291" w:type="dxa"/>
            <w:vAlign w:val="center"/>
          </w:tcPr>
          <w:p w:rsidR="00101E60" w:rsidRDefault="00CE53B2">
            <w:pPr>
              <w:jc w:val="right"/>
            </w:pPr>
            <w:r>
              <w:rPr>
                <w:rFonts w:eastAsiaTheme="minorEastAsia"/>
                <w:color w:val="000000" w:themeColor="text1"/>
                <w:szCs w:val="21"/>
              </w:rPr>
              <w:t>-17.06%</w:t>
            </w:r>
          </w:p>
        </w:tc>
        <w:tc>
          <w:tcPr>
            <w:tcW w:w="1291" w:type="dxa"/>
            <w:vAlign w:val="center"/>
          </w:tcPr>
          <w:p w:rsidR="00101E60" w:rsidRDefault="00CE53B2">
            <w:pPr>
              <w:jc w:val="right"/>
            </w:pPr>
            <w:r>
              <w:rPr>
                <w:rFonts w:eastAsiaTheme="minorEastAsia"/>
                <w:color w:val="000000" w:themeColor="text1"/>
                <w:szCs w:val="21"/>
              </w:rPr>
              <w:t>1.82%</w:t>
            </w:r>
          </w:p>
        </w:tc>
        <w:tc>
          <w:tcPr>
            <w:tcW w:w="1291" w:type="dxa"/>
            <w:vAlign w:val="center"/>
          </w:tcPr>
          <w:p w:rsidR="00101E60" w:rsidRDefault="00CE53B2">
            <w:pPr>
              <w:jc w:val="right"/>
            </w:pPr>
            <w:r>
              <w:rPr>
                <w:rFonts w:eastAsiaTheme="minorEastAsia"/>
                <w:color w:val="000000" w:themeColor="text1"/>
                <w:szCs w:val="21"/>
              </w:rPr>
              <w:t>-15.95%</w:t>
            </w:r>
          </w:p>
        </w:tc>
        <w:tc>
          <w:tcPr>
            <w:tcW w:w="1291" w:type="dxa"/>
            <w:vAlign w:val="center"/>
          </w:tcPr>
          <w:p w:rsidR="00101E60" w:rsidRDefault="00CE53B2">
            <w:pPr>
              <w:jc w:val="right"/>
            </w:pPr>
            <w:r>
              <w:rPr>
                <w:rFonts w:eastAsiaTheme="minorEastAsia"/>
                <w:color w:val="000000" w:themeColor="text1"/>
                <w:szCs w:val="21"/>
              </w:rPr>
              <w:t>1.49%</w:t>
            </w:r>
          </w:p>
        </w:tc>
        <w:tc>
          <w:tcPr>
            <w:tcW w:w="1291" w:type="dxa"/>
            <w:vAlign w:val="center"/>
          </w:tcPr>
          <w:p w:rsidR="00101E60" w:rsidRDefault="00CE53B2">
            <w:pPr>
              <w:jc w:val="right"/>
            </w:pPr>
            <w:r>
              <w:rPr>
                <w:rFonts w:eastAsiaTheme="minorEastAsia"/>
                <w:color w:val="000000" w:themeColor="text1"/>
                <w:szCs w:val="21"/>
              </w:rPr>
              <w:t>-1.11%</w:t>
            </w:r>
          </w:p>
        </w:tc>
        <w:tc>
          <w:tcPr>
            <w:tcW w:w="1291" w:type="dxa"/>
            <w:vAlign w:val="center"/>
          </w:tcPr>
          <w:p w:rsidR="00101E60" w:rsidRDefault="00CE53B2">
            <w:pPr>
              <w:jc w:val="right"/>
            </w:pPr>
            <w:r>
              <w:rPr>
                <w:rFonts w:eastAsiaTheme="minorEastAsia"/>
                <w:color w:val="000000" w:themeColor="text1"/>
                <w:szCs w:val="21"/>
              </w:rPr>
              <w:t>0.33%</w:t>
            </w:r>
          </w:p>
        </w:tc>
      </w:tr>
      <w:tr w:rsidR="00101E60">
        <w:tc>
          <w:tcPr>
            <w:tcW w:w="1290" w:type="dxa"/>
            <w:vAlign w:val="center"/>
          </w:tcPr>
          <w:p w:rsidR="00101E60" w:rsidRDefault="00CE53B2">
            <w:pPr>
              <w:jc w:val="left"/>
            </w:pPr>
            <w:r>
              <w:rPr>
                <w:rFonts w:eastAsiaTheme="minorEastAsia"/>
                <w:color w:val="000000" w:themeColor="text1"/>
                <w:szCs w:val="21"/>
              </w:rPr>
              <w:t>过去六个月</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r>
      <w:tr w:rsidR="00101E60">
        <w:tc>
          <w:tcPr>
            <w:tcW w:w="1290" w:type="dxa"/>
            <w:vAlign w:val="center"/>
          </w:tcPr>
          <w:p w:rsidR="00101E60" w:rsidRDefault="00CE53B2">
            <w:pPr>
              <w:jc w:val="left"/>
            </w:pPr>
            <w:r>
              <w:rPr>
                <w:rFonts w:eastAsiaTheme="minorEastAsia"/>
                <w:color w:val="000000" w:themeColor="text1"/>
                <w:szCs w:val="21"/>
              </w:rPr>
              <w:t>过去一年</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r>
      <w:tr w:rsidR="00101E60">
        <w:tc>
          <w:tcPr>
            <w:tcW w:w="1290" w:type="dxa"/>
            <w:vAlign w:val="center"/>
          </w:tcPr>
          <w:p w:rsidR="00101E60" w:rsidRDefault="00CE53B2">
            <w:pPr>
              <w:jc w:val="left"/>
            </w:pPr>
            <w:r>
              <w:rPr>
                <w:rFonts w:eastAsiaTheme="minorEastAsia"/>
                <w:color w:val="000000" w:themeColor="text1"/>
                <w:szCs w:val="21"/>
              </w:rPr>
              <w:t>过去三年</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r>
      <w:tr w:rsidR="00101E60">
        <w:tc>
          <w:tcPr>
            <w:tcW w:w="1290" w:type="dxa"/>
            <w:vAlign w:val="center"/>
          </w:tcPr>
          <w:p w:rsidR="00101E60" w:rsidRDefault="00CE53B2">
            <w:pPr>
              <w:jc w:val="left"/>
            </w:pPr>
            <w:r>
              <w:rPr>
                <w:rFonts w:eastAsiaTheme="minorEastAsia"/>
                <w:color w:val="000000" w:themeColor="text1"/>
                <w:szCs w:val="21"/>
              </w:rPr>
              <w:t>过去五年</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c>
          <w:tcPr>
            <w:tcW w:w="1291" w:type="dxa"/>
            <w:vAlign w:val="center"/>
          </w:tcPr>
          <w:p w:rsidR="00101E60" w:rsidRDefault="00CE53B2">
            <w:pPr>
              <w:jc w:val="right"/>
            </w:pPr>
            <w:r>
              <w:rPr>
                <w:rFonts w:eastAsiaTheme="minorEastAsia"/>
                <w:color w:val="000000" w:themeColor="text1"/>
                <w:szCs w:val="21"/>
              </w:rPr>
              <w:t>-</w:t>
            </w:r>
          </w:p>
        </w:tc>
      </w:tr>
      <w:tr w:rsidR="00101E60">
        <w:tc>
          <w:tcPr>
            <w:tcW w:w="1290" w:type="dxa"/>
            <w:vAlign w:val="center"/>
          </w:tcPr>
          <w:p w:rsidR="00101E60" w:rsidRDefault="00CE53B2">
            <w:pPr>
              <w:jc w:val="left"/>
            </w:pPr>
            <w:r>
              <w:rPr>
                <w:rFonts w:eastAsiaTheme="minorEastAsia"/>
                <w:color w:val="000000" w:themeColor="text1"/>
                <w:szCs w:val="21"/>
              </w:rPr>
              <w:t>自基金合同生效起至今</w:t>
            </w:r>
          </w:p>
        </w:tc>
        <w:tc>
          <w:tcPr>
            <w:tcW w:w="1291" w:type="dxa"/>
            <w:vAlign w:val="center"/>
          </w:tcPr>
          <w:p w:rsidR="00101E60" w:rsidRDefault="00CE53B2">
            <w:pPr>
              <w:jc w:val="right"/>
            </w:pPr>
            <w:r>
              <w:rPr>
                <w:rFonts w:eastAsiaTheme="minorEastAsia"/>
                <w:color w:val="000000" w:themeColor="text1"/>
                <w:szCs w:val="21"/>
              </w:rPr>
              <w:t>-14.83%</w:t>
            </w:r>
          </w:p>
        </w:tc>
        <w:tc>
          <w:tcPr>
            <w:tcW w:w="1291" w:type="dxa"/>
            <w:vAlign w:val="center"/>
          </w:tcPr>
          <w:p w:rsidR="00101E60" w:rsidRDefault="00CE53B2">
            <w:pPr>
              <w:jc w:val="right"/>
            </w:pPr>
            <w:r>
              <w:rPr>
                <w:rFonts w:eastAsiaTheme="minorEastAsia"/>
                <w:color w:val="000000" w:themeColor="text1"/>
                <w:szCs w:val="21"/>
              </w:rPr>
              <w:t>1.78%</w:t>
            </w:r>
          </w:p>
        </w:tc>
        <w:tc>
          <w:tcPr>
            <w:tcW w:w="1291" w:type="dxa"/>
            <w:vAlign w:val="center"/>
          </w:tcPr>
          <w:p w:rsidR="00101E60" w:rsidRDefault="00CE53B2">
            <w:pPr>
              <w:jc w:val="right"/>
            </w:pPr>
            <w:r>
              <w:rPr>
                <w:rFonts w:eastAsiaTheme="minorEastAsia"/>
                <w:color w:val="000000" w:themeColor="text1"/>
                <w:szCs w:val="21"/>
              </w:rPr>
              <w:t>-14.76%</w:t>
            </w:r>
          </w:p>
        </w:tc>
        <w:tc>
          <w:tcPr>
            <w:tcW w:w="1291" w:type="dxa"/>
            <w:vAlign w:val="center"/>
          </w:tcPr>
          <w:p w:rsidR="00101E60" w:rsidRDefault="00CE53B2">
            <w:pPr>
              <w:jc w:val="right"/>
            </w:pPr>
            <w:r>
              <w:rPr>
                <w:rFonts w:eastAsiaTheme="minorEastAsia"/>
                <w:color w:val="000000" w:themeColor="text1"/>
                <w:szCs w:val="21"/>
              </w:rPr>
              <w:t>1.46%</w:t>
            </w:r>
          </w:p>
        </w:tc>
        <w:tc>
          <w:tcPr>
            <w:tcW w:w="1291" w:type="dxa"/>
            <w:vAlign w:val="center"/>
          </w:tcPr>
          <w:p w:rsidR="00101E60" w:rsidRDefault="00CE53B2">
            <w:pPr>
              <w:jc w:val="right"/>
            </w:pPr>
            <w:r>
              <w:rPr>
                <w:rFonts w:eastAsiaTheme="minorEastAsia"/>
                <w:color w:val="000000" w:themeColor="text1"/>
                <w:szCs w:val="21"/>
              </w:rPr>
              <w:t>-0.07%</w:t>
            </w:r>
          </w:p>
        </w:tc>
        <w:tc>
          <w:tcPr>
            <w:tcW w:w="1291" w:type="dxa"/>
            <w:vAlign w:val="center"/>
          </w:tcPr>
          <w:p w:rsidR="00101E60" w:rsidRDefault="00CE53B2">
            <w:pPr>
              <w:jc w:val="right"/>
            </w:pPr>
            <w:r>
              <w:rPr>
                <w:rFonts w:eastAsiaTheme="minorEastAsia"/>
                <w:color w:val="000000" w:themeColor="text1"/>
                <w:szCs w:val="21"/>
              </w:rPr>
              <w:t>0.32%</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上投摩根新兴动力混合型证券投资基金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2022</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3</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01E60">
        <w:tc>
          <w:tcPr>
            <w:tcW w:w="952" w:type="dxa"/>
            <w:vAlign w:val="center"/>
          </w:tcPr>
          <w:p w:rsidR="00101E60" w:rsidRDefault="00CE53B2">
            <w:pPr>
              <w:jc w:val="center"/>
            </w:pPr>
            <w:r>
              <w:rPr>
                <w:rFonts w:eastAsiaTheme="minorEastAsia"/>
                <w:color w:val="000000" w:themeColor="text1"/>
                <w:szCs w:val="21"/>
              </w:rPr>
              <w:t>杜猛</w:t>
            </w:r>
          </w:p>
        </w:tc>
        <w:tc>
          <w:tcPr>
            <w:tcW w:w="930" w:type="dxa"/>
            <w:vAlign w:val="center"/>
          </w:tcPr>
          <w:p w:rsidR="00101E60" w:rsidRDefault="00CE53B2">
            <w:pPr>
              <w:jc w:val="center"/>
            </w:pPr>
            <w:r>
              <w:rPr>
                <w:rFonts w:eastAsiaTheme="minorEastAsia"/>
                <w:color w:val="000000" w:themeColor="text1"/>
                <w:szCs w:val="21"/>
              </w:rPr>
              <w:t>本基金基金经理、副总经理兼投资总监</w:t>
            </w:r>
          </w:p>
        </w:tc>
        <w:tc>
          <w:tcPr>
            <w:tcW w:w="1210" w:type="dxa"/>
            <w:vAlign w:val="center"/>
          </w:tcPr>
          <w:p w:rsidR="00101E60" w:rsidRDefault="00CE53B2">
            <w:pPr>
              <w:jc w:val="center"/>
            </w:pPr>
            <w:r>
              <w:rPr>
                <w:rFonts w:eastAsiaTheme="minorEastAsia"/>
                <w:color w:val="000000" w:themeColor="text1"/>
                <w:szCs w:val="21"/>
              </w:rPr>
              <w:t>2011-07-13</w:t>
            </w:r>
          </w:p>
        </w:tc>
        <w:tc>
          <w:tcPr>
            <w:tcW w:w="1309" w:type="dxa"/>
            <w:vAlign w:val="center"/>
          </w:tcPr>
          <w:p w:rsidR="00101E60" w:rsidRDefault="00CE53B2">
            <w:pPr>
              <w:jc w:val="center"/>
            </w:pPr>
            <w:r>
              <w:rPr>
                <w:rFonts w:eastAsiaTheme="minorEastAsia"/>
                <w:color w:val="000000" w:themeColor="text1"/>
                <w:szCs w:val="21"/>
              </w:rPr>
              <w:t>-</w:t>
            </w:r>
          </w:p>
        </w:tc>
        <w:tc>
          <w:tcPr>
            <w:tcW w:w="1254" w:type="dxa"/>
            <w:vAlign w:val="center"/>
          </w:tcPr>
          <w:p w:rsidR="00101E60" w:rsidRDefault="00CE53B2">
            <w:pPr>
              <w:jc w:val="center"/>
            </w:pPr>
            <w:r>
              <w:rPr>
                <w:rFonts w:eastAsiaTheme="minorEastAsia"/>
                <w:color w:val="000000" w:themeColor="text1"/>
                <w:szCs w:val="21"/>
              </w:rPr>
              <w:t>20</w:t>
            </w:r>
            <w:r>
              <w:rPr>
                <w:rFonts w:eastAsiaTheme="minorEastAsia"/>
                <w:color w:val="000000" w:themeColor="text1"/>
                <w:szCs w:val="21"/>
              </w:rPr>
              <w:t>年</w:t>
            </w:r>
          </w:p>
        </w:tc>
        <w:tc>
          <w:tcPr>
            <w:tcW w:w="3276" w:type="dxa"/>
            <w:vAlign w:val="center"/>
          </w:tcPr>
          <w:p w:rsidR="00101E60" w:rsidRDefault="00CE53B2">
            <w:r>
              <w:rPr>
                <w:rFonts w:eastAsiaTheme="minorEastAsia"/>
                <w:color w:val="000000" w:themeColor="text1"/>
                <w:szCs w:val="21"/>
              </w:rPr>
              <w:t>基金经理杜猛先生，南京大学经济学硕士，先后任职于天同证券、中原证券、国信证券和中银国际证券，任研究员。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月起加入上投摩根基金管理有限公司，先后担任行业专家、基金经理助理、基金经理、总经理助理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国内权益投资一部总监兼资深基金经理，现担任副总经理兼投资总监。自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月起担任上投摩根新兴动力混合型证券投资基金基金经理，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月同时担任上投摩根成长动力混合型证券投资基金基金经理，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月同时担任上投摩根内需动力混合型证券投资基金基金经理，自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月起同时担任上投摩根中国优势证券投资基金基金经理，自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月起同时担任上投摩根远见两年持有期混合型证券投资基金基金经理，自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月起同时担任上投摩根沃享远见一年持有期混合型证券投资基金基金经理。</w:t>
            </w:r>
          </w:p>
        </w:tc>
      </w:tr>
    </w:tbl>
    <w:p w:rsidR="00101E60" w:rsidRDefault="00CE53B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101E60" w:rsidRDefault="00CE53B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新兴动力混合型证券投资基金基金合同》的规定。基金经理对个股和投资组合的比例遵循了投资决策委员会的授权限制，基金投资比例符合基金合同和法律法规的要求。</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一季度市场出现了较大幅度的回落，主要原因来自于俄乌战争引发的全球金融市场动荡和海外资金的部分流出，此外国内疫情的重新蔓延，尤其是上海、吉林等地疫情较为严重，引发了市场对经济和社会的担忧。目前抗疫可能是政府工作的重点，但是稳定经济、保证增长仍然会是当前和未来很长一段时间的关键所在。市场仍然处在震荡状态中，但是底部区域可能已经相对探明。本基金基于长期成长的选股逻辑，重点投资了新兴产业中的优质公司，争取为投资者在中长期获得较好的超额收益。</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2022</w:t>
      </w:r>
      <w:r>
        <w:rPr>
          <w:rFonts w:eastAsiaTheme="minorEastAsia"/>
          <w:color w:val="000000" w:themeColor="text1"/>
          <w:szCs w:val="21"/>
        </w:rPr>
        <w:t>年，中国经济可能会经历一个从低到高的过程，市场预期会逐步修复，稳增长政策应该会开始发挥作用。疫情在中国的重新蔓延可能会是一个较大的不确定性，我们也希望影响能够尽快过去。尽管如此，我们对市场并不是那么悲观，最大的理由来自于经过了一年多的调整，</w:t>
      </w:r>
      <w:r>
        <w:rPr>
          <w:rFonts w:eastAsiaTheme="minorEastAsia"/>
          <w:color w:val="000000" w:themeColor="text1"/>
          <w:szCs w:val="21"/>
        </w:rPr>
        <w:t>A</w:t>
      </w:r>
      <w:r>
        <w:rPr>
          <w:rFonts w:eastAsiaTheme="minorEastAsia"/>
          <w:color w:val="000000" w:themeColor="text1"/>
          <w:szCs w:val="21"/>
        </w:rPr>
        <w:t>股市场包括港股市场的估值已经回落到了合理甚至部分低估的状态。此外</w:t>
      </w:r>
      <w:r>
        <w:rPr>
          <w:rFonts w:eastAsiaTheme="minorEastAsia"/>
          <w:color w:val="000000" w:themeColor="text1"/>
          <w:szCs w:val="21"/>
        </w:rPr>
        <w:t>2022</w:t>
      </w:r>
      <w:r>
        <w:rPr>
          <w:rFonts w:eastAsiaTheme="minorEastAsia"/>
          <w:color w:val="000000" w:themeColor="text1"/>
          <w:szCs w:val="21"/>
        </w:rPr>
        <w:t>年我们依然会看到中国的一些新兴产业继续蓬勃向上，另外在</w:t>
      </w:r>
      <w:r>
        <w:rPr>
          <w:rFonts w:eastAsiaTheme="minorEastAsia"/>
          <w:color w:val="000000" w:themeColor="text1"/>
          <w:szCs w:val="21"/>
        </w:rPr>
        <w:t>2021</w:t>
      </w:r>
      <w:r>
        <w:rPr>
          <w:rFonts w:eastAsiaTheme="minorEastAsia"/>
          <w:color w:val="000000" w:themeColor="text1"/>
          <w:szCs w:val="21"/>
        </w:rPr>
        <w:t>年受损的消费、医药和一些传统行业会出现一定程度的恢复。因此，</w:t>
      </w:r>
      <w:r>
        <w:rPr>
          <w:rFonts w:eastAsiaTheme="minorEastAsia"/>
          <w:color w:val="000000" w:themeColor="text1"/>
          <w:szCs w:val="21"/>
        </w:rPr>
        <w:t>2022</w:t>
      </w:r>
      <w:r>
        <w:rPr>
          <w:rFonts w:eastAsiaTheme="minorEastAsia"/>
          <w:color w:val="000000" w:themeColor="text1"/>
          <w:szCs w:val="21"/>
        </w:rPr>
        <w:t>年会是一个机会相对均衡的状态。</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从更长期看，新兴产业的崛起有望成为中国未来</w:t>
      </w:r>
      <w:r w:rsidRPr="0073597F">
        <w:rPr>
          <w:rFonts w:eastAsiaTheme="minorEastAsia"/>
          <w:color w:val="000000" w:themeColor="text1"/>
          <w:szCs w:val="21"/>
        </w:rPr>
        <w:t>10-20</w:t>
      </w:r>
      <w:r w:rsidRPr="0073597F">
        <w:rPr>
          <w:rFonts w:eastAsiaTheme="minorEastAsia"/>
          <w:color w:val="000000" w:themeColor="text1"/>
          <w:szCs w:val="21"/>
        </w:rPr>
        <w:t>年经济增长的最大动力，证券市场最大的投资机会获也将来源于此，我们更看好未来几年科技行业的市场表现。我们将充分深入研究，寻找新兴产业中长期成长的公司，力争为基金持有人创造持续稳定收益。</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本报告期新兴动力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:-17.00%</w:t>
      </w:r>
      <w:r>
        <w:rPr>
          <w:rFonts w:eastAsiaTheme="minorEastAsia"/>
          <w:color w:val="000000" w:themeColor="text1"/>
          <w:szCs w:val="21"/>
        </w:rPr>
        <w:t>，同期业绩比较基准收益率为</w:t>
      </w:r>
      <w:r>
        <w:rPr>
          <w:rFonts w:eastAsiaTheme="minorEastAsia"/>
          <w:color w:val="000000" w:themeColor="text1"/>
          <w:szCs w:val="21"/>
        </w:rPr>
        <w:t>:-15.95%,</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新兴动力</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:-17.06%</w:t>
      </w:r>
      <w:r>
        <w:rPr>
          <w:rFonts w:eastAsiaTheme="minorEastAsia"/>
          <w:color w:val="000000" w:themeColor="text1"/>
          <w:szCs w:val="21"/>
        </w:rPr>
        <w:t>，同期业绩比较基准收益率为</w:t>
      </w:r>
      <w:r>
        <w:rPr>
          <w:rFonts w:eastAsiaTheme="minorEastAsia"/>
          <w:color w:val="000000" w:themeColor="text1"/>
          <w:szCs w:val="21"/>
        </w:rPr>
        <w:t>:-15.95%,</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新兴动力</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:-17.00%</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:-15.95%</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6,929,952,915.33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88.57</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6,929,952,915.33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88.57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122,155,306.64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1.56</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122,155,306.64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1.56</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709,389,741.68</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9.07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62,438,899.69</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0.80</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7,823,936,863.34</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531,607,770.85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6.82</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216,073,277.73</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2.77</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5,844,582,393.43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74.94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75,060,049.93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0.96</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163,209,570.71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2.09</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92,885,918.92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1.19</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6,533,933.76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6,929,952,915.33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88.85</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期末按公允价值占基金资产净值比例大小排序的股票投资明细</w:t>
      </w:r>
      <w:r w:rsidRPr="0073597F">
        <w:rPr>
          <w:rFonts w:asciiTheme="minorEastAsia" w:eastAsiaTheme="minorEastAsia" w:hAnsiTheme="minorEastAsia" w:hint="eastAsia"/>
          <w:b/>
          <w:bCs/>
          <w:color w:val="000000" w:themeColor="text1"/>
          <w:kern w:val="0"/>
          <w:szCs w:val="21"/>
        </w:rPr>
        <w:cr/>
      </w:r>
      <w:r w:rsidRPr="0073597F">
        <w:rPr>
          <w:rFonts w:eastAsiaTheme="minorEastAsia"/>
          <w:b/>
          <w:bCs/>
          <w:color w:val="000000" w:themeColor="text1"/>
          <w:kern w:val="0"/>
          <w:szCs w:val="21"/>
        </w:rPr>
        <w:t>5.3.1</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101E60">
        <w:tc>
          <w:tcPr>
            <w:tcW w:w="817" w:type="dxa"/>
            <w:vAlign w:val="center"/>
          </w:tcPr>
          <w:p w:rsidR="00101E60" w:rsidRDefault="00CE53B2">
            <w:pPr>
              <w:jc w:val="center"/>
            </w:pPr>
            <w:r>
              <w:rPr>
                <w:rFonts w:eastAsiaTheme="minorEastAsia"/>
                <w:color w:val="000000" w:themeColor="text1"/>
                <w:kern w:val="0"/>
                <w:szCs w:val="21"/>
              </w:rPr>
              <w:t>1</w:t>
            </w:r>
          </w:p>
        </w:tc>
        <w:tc>
          <w:tcPr>
            <w:tcW w:w="1276" w:type="dxa"/>
            <w:vAlign w:val="center"/>
          </w:tcPr>
          <w:p w:rsidR="00101E60" w:rsidRDefault="00CE53B2">
            <w:pPr>
              <w:jc w:val="center"/>
            </w:pPr>
            <w:r>
              <w:rPr>
                <w:rFonts w:eastAsiaTheme="minorEastAsia"/>
                <w:color w:val="000000" w:themeColor="text1"/>
                <w:kern w:val="0"/>
                <w:szCs w:val="21"/>
              </w:rPr>
              <w:t>300390</w:t>
            </w:r>
          </w:p>
        </w:tc>
        <w:tc>
          <w:tcPr>
            <w:tcW w:w="1701" w:type="dxa"/>
            <w:vAlign w:val="center"/>
          </w:tcPr>
          <w:p w:rsidR="00101E60" w:rsidRDefault="00CE53B2">
            <w:pPr>
              <w:jc w:val="center"/>
            </w:pPr>
            <w:r>
              <w:rPr>
                <w:rFonts w:eastAsiaTheme="minorEastAsia"/>
                <w:color w:val="000000" w:themeColor="text1"/>
                <w:kern w:val="0"/>
                <w:szCs w:val="21"/>
              </w:rPr>
              <w:t>天华超净</w:t>
            </w:r>
          </w:p>
        </w:tc>
        <w:tc>
          <w:tcPr>
            <w:tcW w:w="1276" w:type="dxa"/>
            <w:vAlign w:val="center"/>
          </w:tcPr>
          <w:p w:rsidR="00101E60" w:rsidRDefault="00CE53B2">
            <w:pPr>
              <w:jc w:val="right"/>
            </w:pPr>
            <w:r>
              <w:rPr>
                <w:rFonts w:eastAsiaTheme="minorEastAsia"/>
                <w:color w:val="000000" w:themeColor="text1"/>
                <w:kern w:val="0"/>
                <w:szCs w:val="21"/>
              </w:rPr>
              <w:t>7,311,619</w:t>
            </w:r>
          </w:p>
        </w:tc>
        <w:tc>
          <w:tcPr>
            <w:tcW w:w="1842" w:type="dxa"/>
            <w:vAlign w:val="center"/>
          </w:tcPr>
          <w:p w:rsidR="00101E60" w:rsidRDefault="00CE53B2">
            <w:pPr>
              <w:jc w:val="right"/>
            </w:pPr>
            <w:r>
              <w:rPr>
                <w:rFonts w:eastAsiaTheme="minorEastAsia"/>
                <w:color w:val="000000" w:themeColor="text1"/>
                <w:kern w:val="0"/>
                <w:szCs w:val="21"/>
              </w:rPr>
              <w:t>523,511,920.40</w:t>
            </w:r>
          </w:p>
        </w:tc>
        <w:tc>
          <w:tcPr>
            <w:tcW w:w="1616" w:type="dxa"/>
            <w:vAlign w:val="center"/>
          </w:tcPr>
          <w:p w:rsidR="00101E60" w:rsidRDefault="00CE53B2">
            <w:pPr>
              <w:jc w:val="right"/>
            </w:pPr>
            <w:r>
              <w:rPr>
                <w:rFonts w:eastAsiaTheme="minorEastAsia"/>
                <w:color w:val="000000" w:themeColor="text1"/>
                <w:kern w:val="0"/>
                <w:szCs w:val="21"/>
              </w:rPr>
              <w:t>6.71</w:t>
            </w:r>
          </w:p>
        </w:tc>
      </w:tr>
      <w:tr w:rsidR="00101E60">
        <w:tc>
          <w:tcPr>
            <w:tcW w:w="817" w:type="dxa"/>
            <w:vAlign w:val="center"/>
          </w:tcPr>
          <w:p w:rsidR="00101E60" w:rsidRDefault="00CE53B2">
            <w:pPr>
              <w:jc w:val="center"/>
            </w:pPr>
            <w:r>
              <w:rPr>
                <w:rFonts w:eastAsiaTheme="minorEastAsia"/>
                <w:color w:val="000000" w:themeColor="text1"/>
                <w:kern w:val="0"/>
                <w:szCs w:val="21"/>
              </w:rPr>
              <w:t>2</w:t>
            </w:r>
          </w:p>
        </w:tc>
        <w:tc>
          <w:tcPr>
            <w:tcW w:w="1276" w:type="dxa"/>
            <w:vAlign w:val="center"/>
          </w:tcPr>
          <w:p w:rsidR="00101E60" w:rsidRDefault="00CE53B2">
            <w:pPr>
              <w:jc w:val="center"/>
            </w:pPr>
            <w:r>
              <w:rPr>
                <w:rFonts w:eastAsiaTheme="minorEastAsia"/>
                <w:color w:val="000000" w:themeColor="text1"/>
                <w:kern w:val="0"/>
                <w:szCs w:val="21"/>
              </w:rPr>
              <w:t>600438</w:t>
            </w:r>
          </w:p>
        </w:tc>
        <w:tc>
          <w:tcPr>
            <w:tcW w:w="1701" w:type="dxa"/>
            <w:vAlign w:val="center"/>
          </w:tcPr>
          <w:p w:rsidR="00101E60" w:rsidRDefault="00CE53B2">
            <w:pPr>
              <w:jc w:val="center"/>
            </w:pPr>
            <w:r>
              <w:rPr>
                <w:rFonts w:eastAsiaTheme="minorEastAsia"/>
                <w:color w:val="000000" w:themeColor="text1"/>
                <w:kern w:val="0"/>
                <w:szCs w:val="21"/>
              </w:rPr>
              <w:t>通威股份</w:t>
            </w:r>
          </w:p>
        </w:tc>
        <w:tc>
          <w:tcPr>
            <w:tcW w:w="1276" w:type="dxa"/>
            <w:vAlign w:val="center"/>
          </w:tcPr>
          <w:p w:rsidR="00101E60" w:rsidRDefault="00CE53B2">
            <w:pPr>
              <w:jc w:val="right"/>
            </w:pPr>
            <w:r>
              <w:rPr>
                <w:rFonts w:eastAsiaTheme="minorEastAsia"/>
                <w:color w:val="000000" w:themeColor="text1"/>
                <w:kern w:val="0"/>
                <w:szCs w:val="21"/>
              </w:rPr>
              <w:t>11,757,105</w:t>
            </w:r>
          </w:p>
        </w:tc>
        <w:tc>
          <w:tcPr>
            <w:tcW w:w="1842" w:type="dxa"/>
            <w:vAlign w:val="center"/>
          </w:tcPr>
          <w:p w:rsidR="00101E60" w:rsidRDefault="00CE53B2">
            <w:pPr>
              <w:jc w:val="right"/>
            </w:pPr>
            <w:r>
              <w:rPr>
                <w:rFonts w:eastAsiaTheme="minorEastAsia"/>
                <w:color w:val="000000" w:themeColor="text1"/>
                <w:kern w:val="0"/>
                <w:szCs w:val="21"/>
              </w:rPr>
              <w:t>501,910,812.45</w:t>
            </w:r>
          </w:p>
        </w:tc>
        <w:tc>
          <w:tcPr>
            <w:tcW w:w="1616" w:type="dxa"/>
            <w:vAlign w:val="center"/>
          </w:tcPr>
          <w:p w:rsidR="00101E60" w:rsidRDefault="00CE53B2">
            <w:pPr>
              <w:jc w:val="right"/>
            </w:pPr>
            <w:r>
              <w:rPr>
                <w:rFonts w:eastAsiaTheme="minorEastAsia"/>
                <w:color w:val="000000" w:themeColor="text1"/>
                <w:kern w:val="0"/>
                <w:szCs w:val="21"/>
              </w:rPr>
              <w:t>6.44</w:t>
            </w:r>
          </w:p>
        </w:tc>
      </w:tr>
      <w:tr w:rsidR="00101E60">
        <w:tc>
          <w:tcPr>
            <w:tcW w:w="817" w:type="dxa"/>
            <w:vAlign w:val="center"/>
          </w:tcPr>
          <w:p w:rsidR="00101E60" w:rsidRDefault="00CE53B2">
            <w:pPr>
              <w:jc w:val="center"/>
            </w:pPr>
            <w:r>
              <w:rPr>
                <w:rFonts w:eastAsiaTheme="minorEastAsia"/>
                <w:color w:val="000000" w:themeColor="text1"/>
                <w:kern w:val="0"/>
                <w:szCs w:val="21"/>
              </w:rPr>
              <w:t>3</w:t>
            </w:r>
          </w:p>
        </w:tc>
        <w:tc>
          <w:tcPr>
            <w:tcW w:w="1276" w:type="dxa"/>
            <w:vAlign w:val="center"/>
          </w:tcPr>
          <w:p w:rsidR="00101E60" w:rsidRDefault="00CE53B2">
            <w:pPr>
              <w:jc w:val="center"/>
            </w:pPr>
            <w:r>
              <w:rPr>
                <w:rFonts w:eastAsiaTheme="minorEastAsia"/>
                <w:color w:val="000000" w:themeColor="text1"/>
                <w:kern w:val="0"/>
                <w:szCs w:val="21"/>
              </w:rPr>
              <w:t>002714</w:t>
            </w:r>
          </w:p>
        </w:tc>
        <w:tc>
          <w:tcPr>
            <w:tcW w:w="1701" w:type="dxa"/>
            <w:vAlign w:val="center"/>
          </w:tcPr>
          <w:p w:rsidR="00101E60" w:rsidRDefault="00CE53B2">
            <w:pPr>
              <w:jc w:val="center"/>
            </w:pPr>
            <w:r>
              <w:rPr>
                <w:rFonts w:eastAsiaTheme="minorEastAsia"/>
                <w:color w:val="000000" w:themeColor="text1"/>
                <w:kern w:val="0"/>
                <w:szCs w:val="21"/>
              </w:rPr>
              <w:t>牧原股份</w:t>
            </w:r>
          </w:p>
        </w:tc>
        <w:tc>
          <w:tcPr>
            <w:tcW w:w="1276" w:type="dxa"/>
            <w:vAlign w:val="center"/>
          </w:tcPr>
          <w:p w:rsidR="00101E60" w:rsidRDefault="00CE53B2">
            <w:pPr>
              <w:jc w:val="right"/>
            </w:pPr>
            <w:r>
              <w:rPr>
                <w:rFonts w:eastAsiaTheme="minorEastAsia"/>
                <w:color w:val="000000" w:themeColor="text1"/>
                <w:kern w:val="0"/>
                <w:szCs w:val="21"/>
              </w:rPr>
              <w:t>8,648,575</w:t>
            </w:r>
          </w:p>
        </w:tc>
        <w:tc>
          <w:tcPr>
            <w:tcW w:w="1842" w:type="dxa"/>
            <w:vAlign w:val="center"/>
          </w:tcPr>
          <w:p w:rsidR="00101E60" w:rsidRDefault="00CE53B2">
            <w:pPr>
              <w:jc w:val="right"/>
            </w:pPr>
            <w:r>
              <w:rPr>
                <w:rFonts w:eastAsiaTheme="minorEastAsia"/>
                <w:color w:val="000000" w:themeColor="text1"/>
                <w:kern w:val="0"/>
                <w:szCs w:val="21"/>
              </w:rPr>
              <w:t>491,757,974.50</w:t>
            </w:r>
          </w:p>
        </w:tc>
        <w:tc>
          <w:tcPr>
            <w:tcW w:w="1616" w:type="dxa"/>
            <w:vAlign w:val="center"/>
          </w:tcPr>
          <w:p w:rsidR="00101E60" w:rsidRDefault="00CE53B2">
            <w:pPr>
              <w:jc w:val="right"/>
            </w:pPr>
            <w:r>
              <w:rPr>
                <w:rFonts w:eastAsiaTheme="minorEastAsia"/>
                <w:color w:val="000000" w:themeColor="text1"/>
                <w:kern w:val="0"/>
                <w:szCs w:val="21"/>
              </w:rPr>
              <w:t>6.31</w:t>
            </w:r>
          </w:p>
        </w:tc>
      </w:tr>
      <w:tr w:rsidR="00101E60">
        <w:tc>
          <w:tcPr>
            <w:tcW w:w="817" w:type="dxa"/>
            <w:vAlign w:val="center"/>
          </w:tcPr>
          <w:p w:rsidR="00101E60" w:rsidRDefault="00CE53B2">
            <w:pPr>
              <w:jc w:val="center"/>
            </w:pPr>
            <w:r>
              <w:rPr>
                <w:rFonts w:eastAsiaTheme="minorEastAsia"/>
                <w:color w:val="000000" w:themeColor="text1"/>
                <w:kern w:val="0"/>
                <w:szCs w:val="21"/>
              </w:rPr>
              <w:t>4</w:t>
            </w:r>
          </w:p>
        </w:tc>
        <w:tc>
          <w:tcPr>
            <w:tcW w:w="1276" w:type="dxa"/>
            <w:vAlign w:val="center"/>
          </w:tcPr>
          <w:p w:rsidR="00101E60" w:rsidRDefault="00CE53B2">
            <w:pPr>
              <w:jc w:val="center"/>
            </w:pPr>
            <w:r>
              <w:rPr>
                <w:rFonts w:eastAsiaTheme="minorEastAsia"/>
                <w:color w:val="000000" w:themeColor="text1"/>
                <w:kern w:val="0"/>
                <w:szCs w:val="21"/>
              </w:rPr>
              <w:t>603799</w:t>
            </w:r>
          </w:p>
        </w:tc>
        <w:tc>
          <w:tcPr>
            <w:tcW w:w="1701" w:type="dxa"/>
            <w:vAlign w:val="center"/>
          </w:tcPr>
          <w:p w:rsidR="00101E60" w:rsidRDefault="00CE53B2">
            <w:pPr>
              <w:jc w:val="center"/>
            </w:pPr>
            <w:r>
              <w:rPr>
                <w:rFonts w:eastAsiaTheme="minorEastAsia"/>
                <w:color w:val="000000" w:themeColor="text1"/>
                <w:kern w:val="0"/>
                <w:szCs w:val="21"/>
              </w:rPr>
              <w:t>华友钴业</w:t>
            </w:r>
          </w:p>
        </w:tc>
        <w:tc>
          <w:tcPr>
            <w:tcW w:w="1276" w:type="dxa"/>
            <w:vAlign w:val="center"/>
          </w:tcPr>
          <w:p w:rsidR="00101E60" w:rsidRDefault="00CE53B2">
            <w:pPr>
              <w:jc w:val="right"/>
            </w:pPr>
            <w:r>
              <w:rPr>
                <w:rFonts w:eastAsiaTheme="minorEastAsia"/>
                <w:color w:val="000000" w:themeColor="text1"/>
                <w:kern w:val="0"/>
                <w:szCs w:val="21"/>
              </w:rPr>
              <w:t>4,139,237</w:t>
            </w:r>
          </w:p>
        </w:tc>
        <w:tc>
          <w:tcPr>
            <w:tcW w:w="1842" w:type="dxa"/>
            <w:vAlign w:val="center"/>
          </w:tcPr>
          <w:p w:rsidR="00101E60" w:rsidRDefault="00CE53B2">
            <w:pPr>
              <w:jc w:val="right"/>
            </w:pPr>
            <w:r>
              <w:rPr>
                <w:rFonts w:eastAsiaTheme="minorEastAsia"/>
                <w:color w:val="000000" w:themeColor="text1"/>
                <w:kern w:val="0"/>
                <w:szCs w:val="21"/>
              </w:rPr>
              <w:t>404,817,378.60</w:t>
            </w:r>
          </w:p>
        </w:tc>
        <w:tc>
          <w:tcPr>
            <w:tcW w:w="1616" w:type="dxa"/>
            <w:vAlign w:val="center"/>
          </w:tcPr>
          <w:p w:rsidR="00101E60" w:rsidRDefault="00CE53B2">
            <w:pPr>
              <w:jc w:val="right"/>
            </w:pPr>
            <w:r>
              <w:rPr>
                <w:rFonts w:eastAsiaTheme="minorEastAsia"/>
                <w:color w:val="000000" w:themeColor="text1"/>
                <w:kern w:val="0"/>
                <w:szCs w:val="21"/>
              </w:rPr>
              <w:t>5.19</w:t>
            </w:r>
          </w:p>
        </w:tc>
      </w:tr>
      <w:tr w:rsidR="00101E60">
        <w:tc>
          <w:tcPr>
            <w:tcW w:w="817" w:type="dxa"/>
            <w:vAlign w:val="center"/>
          </w:tcPr>
          <w:p w:rsidR="00101E60" w:rsidRDefault="00CE53B2">
            <w:pPr>
              <w:jc w:val="center"/>
            </w:pPr>
            <w:r>
              <w:rPr>
                <w:rFonts w:eastAsiaTheme="minorEastAsia"/>
                <w:color w:val="000000" w:themeColor="text1"/>
                <w:kern w:val="0"/>
                <w:szCs w:val="21"/>
              </w:rPr>
              <w:t>5</w:t>
            </w:r>
          </w:p>
        </w:tc>
        <w:tc>
          <w:tcPr>
            <w:tcW w:w="1276" w:type="dxa"/>
            <w:vAlign w:val="center"/>
          </w:tcPr>
          <w:p w:rsidR="00101E60" w:rsidRDefault="00CE53B2">
            <w:pPr>
              <w:jc w:val="center"/>
            </w:pPr>
            <w:r>
              <w:rPr>
                <w:rFonts w:eastAsiaTheme="minorEastAsia"/>
                <w:color w:val="000000" w:themeColor="text1"/>
                <w:kern w:val="0"/>
                <w:szCs w:val="21"/>
              </w:rPr>
              <w:t>300014</w:t>
            </w:r>
          </w:p>
        </w:tc>
        <w:tc>
          <w:tcPr>
            <w:tcW w:w="1701" w:type="dxa"/>
            <w:vAlign w:val="center"/>
          </w:tcPr>
          <w:p w:rsidR="00101E60" w:rsidRDefault="00CE53B2">
            <w:pPr>
              <w:jc w:val="center"/>
            </w:pPr>
            <w:r>
              <w:rPr>
                <w:rFonts w:eastAsiaTheme="minorEastAsia"/>
                <w:color w:val="000000" w:themeColor="text1"/>
                <w:kern w:val="0"/>
                <w:szCs w:val="21"/>
              </w:rPr>
              <w:t>亿纬锂能</w:t>
            </w:r>
          </w:p>
        </w:tc>
        <w:tc>
          <w:tcPr>
            <w:tcW w:w="1276" w:type="dxa"/>
            <w:vAlign w:val="center"/>
          </w:tcPr>
          <w:p w:rsidR="00101E60" w:rsidRDefault="00CE53B2">
            <w:pPr>
              <w:jc w:val="right"/>
            </w:pPr>
            <w:r>
              <w:rPr>
                <w:rFonts w:eastAsiaTheme="minorEastAsia"/>
                <w:color w:val="000000" w:themeColor="text1"/>
                <w:kern w:val="0"/>
                <w:szCs w:val="21"/>
              </w:rPr>
              <w:t>4,769,079</w:t>
            </w:r>
          </w:p>
        </w:tc>
        <w:tc>
          <w:tcPr>
            <w:tcW w:w="1842" w:type="dxa"/>
            <w:vAlign w:val="center"/>
          </w:tcPr>
          <w:p w:rsidR="00101E60" w:rsidRDefault="00CE53B2">
            <w:pPr>
              <w:jc w:val="right"/>
            </w:pPr>
            <w:r>
              <w:rPr>
                <w:rFonts w:eastAsiaTheme="minorEastAsia"/>
                <w:color w:val="000000" w:themeColor="text1"/>
                <w:kern w:val="0"/>
                <w:szCs w:val="21"/>
              </w:rPr>
              <w:t>384,721,602.93</w:t>
            </w:r>
          </w:p>
        </w:tc>
        <w:tc>
          <w:tcPr>
            <w:tcW w:w="1616" w:type="dxa"/>
            <w:vAlign w:val="center"/>
          </w:tcPr>
          <w:p w:rsidR="00101E60" w:rsidRDefault="00CE53B2">
            <w:pPr>
              <w:jc w:val="right"/>
            </w:pPr>
            <w:r>
              <w:rPr>
                <w:rFonts w:eastAsiaTheme="minorEastAsia"/>
                <w:color w:val="000000" w:themeColor="text1"/>
                <w:kern w:val="0"/>
                <w:szCs w:val="21"/>
              </w:rPr>
              <w:t>4.93</w:t>
            </w:r>
          </w:p>
        </w:tc>
      </w:tr>
      <w:tr w:rsidR="00101E60">
        <w:tc>
          <w:tcPr>
            <w:tcW w:w="817" w:type="dxa"/>
            <w:vAlign w:val="center"/>
          </w:tcPr>
          <w:p w:rsidR="00101E60" w:rsidRDefault="00CE53B2">
            <w:pPr>
              <w:jc w:val="center"/>
            </w:pPr>
            <w:r>
              <w:rPr>
                <w:rFonts w:eastAsiaTheme="minorEastAsia"/>
                <w:color w:val="000000" w:themeColor="text1"/>
                <w:kern w:val="0"/>
                <w:szCs w:val="21"/>
              </w:rPr>
              <w:t>6</w:t>
            </w:r>
          </w:p>
        </w:tc>
        <w:tc>
          <w:tcPr>
            <w:tcW w:w="1276" w:type="dxa"/>
            <w:vAlign w:val="center"/>
          </w:tcPr>
          <w:p w:rsidR="00101E60" w:rsidRDefault="00CE53B2">
            <w:pPr>
              <w:jc w:val="center"/>
            </w:pPr>
            <w:r>
              <w:rPr>
                <w:rFonts w:eastAsiaTheme="minorEastAsia"/>
                <w:color w:val="000000" w:themeColor="text1"/>
                <w:kern w:val="0"/>
                <w:szCs w:val="21"/>
              </w:rPr>
              <w:t>002180</w:t>
            </w:r>
          </w:p>
        </w:tc>
        <w:tc>
          <w:tcPr>
            <w:tcW w:w="1701" w:type="dxa"/>
            <w:vAlign w:val="center"/>
          </w:tcPr>
          <w:p w:rsidR="00101E60" w:rsidRDefault="00CE53B2">
            <w:pPr>
              <w:jc w:val="center"/>
            </w:pPr>
            <w:r>
              <w:rPr>
                <w:rFonts w:eastAsiaTheme="minorEastAsia"/>
                <w:color w:val="000000" w:themeColor="text1"/>
                <w:kern w:val="0"/>
                <w:szCs w:val="21"/>
              </w:rPr>
              <w:t>纳思达</w:t>
            </w:r>
          </w:p>
        </w:tc>
        <w:tc>
          <w:tcPr>
            <w:tcW w:w="1276" w:type="dxa"/>
            <w:vAlign w:val="center"/>
          </w:tcPr>
          <w:p w:rsidR="00101E60" w:rsidRDefault="00CE53B2">
            <w:pPr>
              <w:jc w:val="right"/>
            </w:pPr>
            <w:r>
              <w:rPr>
                <w:rFonts w:eastAsiaTheme="minorEastAsia"/>
                <w:color w:val="000000" w:themeColor="text1"/>
                <w:kern w:val="0"/>
                <w:szCs w:val="21"/>
              </w:rPr>
              <w:t>8,235,827</w:t>
            </w:r>
          </w:p>
        </w:tc>
        <w:tc>
          <w:tcPr>
            <w:tcW w:w="1842" w:type="dxa"/>
            <w:vAlign w:val="center"/>
          </w:tcPr>
          <w:p w:rsidR="00101E60" w:rsidRDefault="00CE53B2">
            <w:pPr>
              <w:jc w:val="right"/>
            </w:pPr>
            <w:r>
              <w:rPr>
                <w:rFonts w:eastAsiaTheme="minorEastAsia"/>
                <w:color w:val="000000" w:themeColor="text1"/>
                <w:kern w:val="0"/>
                <w:szCs w:val="21"/>
              </w:rPr>
              <w:t>347,446,147.98</w:t>
            </w:r>
          </w:p>
        </w:tc>
        <w:tc>
          <w:tcPr>
            <w:tcW w:w="1616" w:type="dxa"/>
            <w:vAlign w:val="center"/>
          </w:tcPr>
          <w:p w:rsidR="00101E60" w:rsidRDefault="00CE53B2">
            <w:pPr>
              <w:jc w:val="right"/>
            </w:pPr>
            <w:r>
              <w:rPr>
                <w:rFonts w:eastAsiaTheme="minorEastAsia"/>
                <w:color w:val="000000" w:themeColor="text1"/>
                <w:kern w:val="0"/>
                <w:szCs w:val="21"/>
              </w:rPr>
              <w:t>4.45</w:t>
            </w:r>
          </w:p>
        </w:tc>
      </w:tr>
      <w:tr w:rsidR="00101E60">
        <w:tc>
          <w:tcPr>
            <w:tcW w:w="817" w:type="dxa"/>
            <w:vAlign w:val="center"/>
          </w:tcPr>
          <w:p w:rsidR="00101E60" w:rsidRDefault="00CE53B2">
            <w:pPr>
              <w:jc w:val="center"/>
            </w:pPr>
            <w:r>
              <w:rPr>
                <w:rFonts w:eastAsiaTheme="minorEastAsia"/>
                <w:color w:val="000000" w:themeColor="text1"/>
                <w:kern w:val="0"/>
                <w:szCs w:val="21"/>
              </w:rPr>
              <w:t>7</w:t>
            </w:r>
          </w:p>
        </w:tc>
        <w:tc>
          <w:tcPr>
            <w:tcW w:w="1276" w:type="dxa"/>
            <w:vAlign w:val="center"/>
          </w:tcPr>
          <w:p w:rsidR="00101E60" w:rsidRDefault="00CE53B2">
            <w:pPr>
              <w:jc w:val="center"/>
            </w:pPr>
            <w:r>
              <w:rPr>
                <w:rFonts w:eastAsiaTheme="minorEastAsia"/>
                <w:color w:val="000000" w:themeColor="text1"/>
                <w:kern w:val="0"/>
                <w:szCs w:val="21"/>
              </w:rPr>
              <w:t>688169</w:t>
            </w:r>
          </w:p>
        </w:tc>
        <w:tc>
          <w:tcPr>
            <w:tcW w:w="1701" w:type="dxa"/>
            <w:vAlign w:val="center"/>
          </w:tcPr>
          <w:p w:rsidR="00101E60" w:rsidRDefault="00CE53B2">
            <w:pPr>
              <w:jc w:val="center"/>
            </w:pPr>
            <w:r>
              <w:rPr>
                <w:rFonts w:eastAsiaTheme="minorEastAsia"/>
                <w:color w:val="000000" w:themeColor="text1"/>
                <w:kern w:val="0"/>
                <w:szCs w:val="21"/>
              </w:rPr>
              <w:t>石头科技</w:t>
            </w:r>
          </w:p>
        </w:tc>
        <w:tc>
          <w:tcPr>
            <w:tcW w:w="1276" w:type="dxa"/>
            <w:vAlign w:val="center"/>
          </w:tcPr>
          <w:p w:rsidR="00101E60" w:rsidRDefault="00CE53B2">
            <w:pPr>
              <w:jc w:val="right"/>
            </w:pPr>
            <w:r>
              <w:rPr>
                <w:rFonts w:eastAsiaTheme="minorEastAsia"/>
                <w:color w:val="000000" w:themeColor="text1"/>
                <w:kern w:val="0"/>
                <w:szCs w:val="21"/>
              </w:rPr>
              <w:t>597,368</w:t>
            </w:r>
          </w:p>
        </w:tc>
        <w:tc>
          <w:tcPr>
            <w:tcW w:w="1842" w:type="dxa"/>
            <w:vAlign w:val="center"/>
          </w:tcPr>
          <w:p w:rsidR="00101E60" w:rsidRDefault="00CE53B2">
            <w:pPr>
              <w:jc w:val="right"/>
            </w:pPr>
            <w:r>
              <w:rPr>
                <w:rFonts w:eastAsiaTheme="minorEastAsia"/>
                <w:color w:val="000000" w:themeColor="text1"/>
                <w:kern w:val="0"/>
                <w:szCs w:val="21"/>
              </w:rPr>
              <w:t>331,037,450.88</w:t>
            </w:r>
          </w:p>
        </w:tc>
        <w:tc>
          <w:tcPr>
            <w:tcW w:w="1616" w:type="dxa"/>
            <w:vAlign w:val="center"/>
          </w:tcPr>
          <w:p w:rsidR="00101E60" w:rsidRDefault="00CE53B2">
            <w:pPr>
              <w:jc w:val="right"/>
            </w:pPr>
            <w:r>
              <w:rPr>
                <w:rFonts w:eastAsiaTheme="minorEastAsia"/>
                <w:color w:val="000000" w:themeColor="text1"/>
                <w:kern w:val="0"/>
                <w:szCs w:val="21"/>
              </w:rPr>
              <w:t>4.24</w:t>
            </w:r>
          </w:p>
        </w:tc>
      </w:tr>
      <w:tr w:rsidR="00101E60">
        <w:tc>
          <w:tcPr>
            <w:tcW w:w="817" w:type="dxa"/>
            <w:vAlign w:val="center"/>
          </w:tcPr>
          <w:p w:rsidR="00101E60" w:rsidRDefault="00CE53B2">
            <w:pPr>
              <w:jc w:val="center"/>
            </w:pPr>
            <w:r>
              <w:rPr>
                <w:rFonts w:eastAsiaTheme="minorEastAsia"/>
                <w:color w:val="000000" w:themeColor="text1"/>
                <w:kern w:val="0"/>
                <w:szCs w:val="21"/>
              </w:rPr>
              <w:t>8</w:t>
            </w:r>
          </w:p>
        </w:tc>
        <w:tc>
          <w:tcPr>
            <w:tcW w:w="1276" w:type="dxa"/>
            <w:vAlign w:val="center"/>
          </w:tcPr>
          <w:p w:rsidR="00101E60" w:rsidRDefault="00CE53B2">
            <w:pPr>
              <w:jc w:val="center"/>
            </w:pPr>
            <w:r>
              <w:rPr>
                <w:rFonts w:eastAsiaTheme="minorEastAsia"/>
                <w:color w:val="000000" w:themeColor="text1"/>
                <w:kern w:val="0"/>
                <w:szCs w:val="21"/>
              </w:rPr>
              <w:t>300750</w:t>
            </w:r>
          </w:p>
        </w:tc>
        <w:tc>
          <w:tcPr>
            <w:tcW w:w="1701" w:type="dxa"/>
            <w:vAlign w:val="center"/>
          </w:tcPr>
          <w:p w:rsidR="00101E60" w:rsidRDefault="00CE53B2">
            <w:pPr>
              <w:jc w:val="center"/>
            </w:pPr>
            <w:r>
              <w:rPr>
                <w:rFonts w:eastAsiaTheme="minorEastAsia"/>
                <w:color w:val="000000" w:themeColor="text1"/>
                <w:kern w:val="0"/>
                <w:szCs w:val="21"/>
              </w:rPr>
              <w:t>宁德时代</w:t>
            </w:r>
          </w:p>
        </w:tc>
        <w:tc>
          <w:tcPr>
            <w:tcW w:w="1276" w:type="dxa"/>
            <w:vAlign w:val="center"/>
          </w:tcPr>
          <w:p w:rsidR="00101E60" w:rsidRDefault="00CE53B2">
            <w:pPr>
              <w:jc w:val="right"/>
            </w:pPr>
            <w:r>
              <w:rPr>
                <w:rFonts w:eastAsiaTheme="minorEastAsia"/>
                <w:color w:val="000000" w:themeColor="text1"/>
                <w:kern w:val="0"/>
                <w:szCs w:val="21"/>
              </w:rPr>
              <w:t>518,675</w:t>
            </w:r>
          </w:p>
        </w:tc>
        <w:tc>
          <w:tcPr>
            <w:tcW w:w="1842" w:type="dxa"/>
            <w:vAlign w:val="center"/>
          </w:tcPr>
          <w:p w:rsidR="00101E60" w:rsidRDefault="00CE53B2">
            <w:pPr>
              <w:jc w:val="right"/>
            </w:pPr>
            <w:r>
              <w:rPr>
                <w:rFonts w:eastAsiaTheme="minorEastAsia"/>
                <w:color w:val="000000" w:themeColor="text1"/>
                <w:kern w:val="0"/>
                <w:szCs w:val="21"/>
              </w:rPr>
              <w:t>265,717,202.50</w:t>
            </w:r>
          </w:p>
        </w:tc>
        <w:tc>
          <w:tcPr>
            <w:tcW w:w="1616" w:type="dxa"/>
            <w:vAlign w:val="center"/>
          </w:tcPr>
          <w:p w:rsidR="00101E60" w:rsidRDefault="00CE53B2">
            <w:pPr>
              <w:jc w:val="right"/>
            </w:pPr>
            <w:r>
              <w:rPr>
                <w:rFonts w:eastAsiaTheme="minorEastAsia"/>
                <w:color w:val="000000" w:themeColor="text1"/>
                <w:kern w:val="0"/>
                <w:szCs w:val="21"/>
              </w:rPr>
              <w:t>3.41</w:t>
            </w:r>
          </w:p>
        </w:tc>
      </w:tr>
      <w:tr w:rsidR="00101E60">
        <w:tc>
          <w:tcPr>
            <w:tcW w:w="817" w:type="dxa"/>
            <w:vAlign w:val="center"/>
          </w:tcPr>
          <w:p w:rsidR="00101E60" w:rsidRDefault="00CE53B2">
            <w:pPr>
              <w:jc w:val="center"/>
            </w:pPr>
            <w:r>
              <w:rPr>
                <w:rFonts w:eastAsiaTheme="minorEastAsia"/>
                <w:color w:val="000000" w:themeColor="text1"/>
                <w:kern w:val="0"/>
                <w:szCs w:val="21"/>
              </w:rPr>
              <w:t>9</w:t>
            </w:r>
          </w:p>
        </w:tc>
        <w:tc>
          <w:tcPr>
            <w:tcW w:w="1276" w:type="dxa"/>
            <w:vAlign w:val="center"/>
          </w:tcPr>
          <w:p w:rsidR="00101E60" w:rsidRDefault="00CE53B2">
            <w:pPr>
              <w:jc w:val="center"/>
            </w:pPr>
            <w:r>
              <w:rPr>
                <w:rFonts w:eastAsiaTheme="minorEastAsia"/>
                <w:color w:val="000000" w:themeColor="text1"/>
                <w:kern w:val="0"/>
                <w:szCs w:val="21"/>
              </w:rPr>
              <w:t>300769</w:t>
            </w:r>
          </w:p>
        </w:tc>
        <w:tc>
          <w:tcPr>
            <w:tcW w:w="1701" w:type="dxa"/>
            <w:vAlign w:val="center"/>
          </w:tcPr>
          <w:p w:rsidR="00101E60" w:rsidRDefault="00CE53B2">
            <w:pPr>
              <w:jc w:val="center"/>
            </w:pPr>
            <w:r>
              <w:rPr>
                <w:rFonts w:eastAsiaTheme="minorEastAsia"/>
                <w:color w:val="000000" w:themeColor="text1"/>
                <w:kern w:val="0"/>
                <w:szCs w:val="21"/>
              </w:rPr>
              <w:t>德方纳米</w:t>
            </w:r>
          </w:p>
        </w:tc>
        <w:tc>
          <w:tcPr>
            <w:tcW w:w="1276" w:type="dxa"/>
            <w:vAlign w:val="center"/>
          </w:tcPr>
          <w:p w:rsidR="00101E60" w:rsidRDefault="00CE53B2">
            <w:pPr>
              <w:jc w:val="right"/>
            </w:pPr>
            <w:r>
              <w:rPr>
                <w:rFonts w:eastAsiaTheme="minorEastAsia"/>
                <w:color w:val="000000" w:themeColor="text1"/>
                <w:kern w:val="0"/>
                <w:szCs w:val="21"/>
              </w:rPr>
              <w:t>437,097</w:t>
            </w:r>
          </w:p>
        </w:tc>
        <w:tc>
          <w:tcPr>
            <w:tcW w:w="1842" w:type="dxa"/>
            <w:vAlign w:val="center"/>
          </w:tcPr>
          <w:p w:rsidR="00101E60" w:rsidRDefault="00CE53B2">
            <w:pPr>
              <w:jc w:val="right"/>
            </w:pPr>
            <w:r>
              <w:rPr>
                <w:rFonts w:eastAsiaTheme="minorEastAsia"/>
                <w:color w:val="000000" w:themeColor="text1"/>
                <w:kern w:val="0"/>
                <w:szCs w:val="21"/>
              </w:rPr>
              <w:t>248,577,063.90</w:t>
            </w:r>
          </w:p>
        </w:tc>
        <w:tc>
          <w:tcPr>
            <w:tcW w:w="1616" w:type="dxa"/>
            <w:vAlign w:val="center"/>
          </w:tcPr>
          <w:p w:rsidR="00101E60" w:rsidRDefault="00CE53B2">
            <w:pPr>
              <w:jc w:val="right"/>
            </w:pPr>
            <w:r>
              <w:rPr>
                <w:rFonts w:eastAsiaTheme="minorEastAsia"/>
                <w:color w:val="000000" w:themeColor="text1"/>
                <w:kern w:val="0"/>
                <w:szCs w:val="21"/>
              </w:rPr>
              <w:t>3.19</w:t>
            </w:r>
          </w:p>
        </w:tc>
      </w:tr>
      <w:tr w:rsidR="00101E60">
        <w:tc>
          <w:tcPr>
            <w:tcW w:w="817" w:type="dxa"/>
            <w:vAlign w:val="center"/>
          </w:tcPr>
          <w:p w:rsidR="00101E60" w:rsidRDefault="00CE53B2">
            <w:pPr>
              <w:jc w:val="center"/>
            </w:pPr>
            <w:r>
              <w:rPr>
                <w:rFonts w:eastAsiaTheme="minorEastAsia"/>
                <w:color w:val="000000" w:themeColor="text1"/>
                <w:kern w:val="0"/>
                <w:szCs w:val="21"/>
              </w:rPr>
              <w:t>10</w:t>
            </w:r>
          </w:p>
        </w:tc>
        <w:tc>
          <w:tcPr>
            <w:tcW w:w="1276" w:type="dxa"/>
            <w:vAlign w:val="center"/>
          </w:tcPr>
          <w:p w:rsidR="00101E60" w:rsidRDefault="00CE53B2">
            <w:pPr>
              <w:jc w:val="center"/>
            </w:pPr>
            <w:r>
              <w:rPr>
                <w:rFonts w:eastAsiaTheme="minorEastAsia"/>
                <w:color w:val="000000" w:themeColor="text1"/>
                <w:kern w:val="0"/>
                <w:szCs w:val="21"/>
              </w:rPr>
              <w:t>002756</w:t>
            </w:r>
          </w:p>
        </w:tc>
        <w:tc>
          <w:tcPr>
            <w:tcW w:w="1701" w:type="dxa"/>
            <w:vAlign w:val="center"/>
          </w:tcPr>
          <w:p w:rsidR="00101E60" w:rsidRDefault="00CE53B2">
            <w:pPr>
              <w:jc w:val="center"/>
            </w:pPr>
            <w:r>
              <w:rPr>
                <w:rFonts w:eastAsiaTheme="minorEastAsia"/>
                <w:color w:val="000000" w:themeColor="text1"/>
                <w:kern w:val="0"/>
                <w:szCs w:val="21"/>
              </w:rPr>
              <w:t>永兴材料</w:t>
            </w:r>
          </w:p>
        </w:tc>
        <w:tc>
          <w:tcPr>
            <w:tcW w:w="1276" w:type="dxa"/>
            <w:vAlign w:val="center"/>
          </w:tcPr>
          <w:p w:rsidR="00101E60" w:rsidRDefault="00CE53B2">
            <w:pPr>
              <w:jc w:val="right"/>
            </w:pPr>
            <w:r>
              <w:rPr>
                <w:rFonts w:eastAsiaTheme="minorEastAsia"/>
                <w:color w:val="000000" w:themeColor="text1"/>
                <w:kern w:val="0"/>
                <w:szCs w:val="21"/>
              </w:rPr>
              <w:t>1,997,627</w:t>
            </w:r>
          </w:p>
        </w:tc>
        <w:tc>
          <w:tcPr>
            <w:tcW w:w="1842" w:type="dxa"/>
            <w:vAlign w:val="center"/>
          </w:tcPr>
          <w:p w:rsidR="00101E60" w:rsidRDefault="00CE53B2">
            <w:pPr>
              <w:jc w:val="right"/>
            </w:pPr>
            <w:r>
              <w:rPr>
                <w:rFonts w:eastAsiaTheme="minorEastAsia"/>
                <w:color w:val="000000" w:themeColor="text1"/>
                <w:kern w:val="0"/>
                <w:szCs w:val="21"/>
              </w:rPr>
              <w:t>236,958,514.74</w:t>
            </w:r>
          </w:p>
        </w:tc>
        <w:tc>
          <w:tcPr>
            <w:tcW w:w="1616" w:type="dxa"/>
            <w:vAlign w:val="center"/>
          </w:tcPr>
          <w:p w:rsidR="00101E60" w:rsidRDefault="00CE53B2">
            <w:pPr>
              <w:jc w:val="right"/>
            </w:pPr>
            <w:r>
              <w:rPr>
                <w:rFonts w:eastAsiaTheme="minorEastAsia"/>
                <w:color w:val="000000" w:themeColor="text1"/>
                <w:kern w:val="0"/>
                <w:szCs w:val="21"/>
              </w:rPr>
              <w:t>3.04</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50,008,701.37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0.64</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72,146,605.27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0.93</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122,155,306.64</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1.57</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101E60">
        <w:tc>
          <w:tcPr>
            <w:tcW w:w="1504" w:type="dxa"/>
            <w:vAlign w:val="center"/>
          </w:tcPr>
          <w:p w:rsidR="00101E60" w:rsidRDefault="00CE53B2">
            <w:pPr>
              <w:jc w:val="center"/>
            </w:pPr>
            <w:r>
              <w:rPr>
                <w:rFonts w:eastAsiaTheme="minorEastAsia"/>
                <w:color w:val="000000" w:themeColor="text1"/>
                <w:szCs w:val="21"/>
              </w:rPr>
              <w:t>1</w:t>
            </w:r>
          </w:p>
        </w:tc>
        <w:tc>
          <w:tcPr>
            <w:tcW w:w="1504" w:type="dxa"/>
            <w:vAlign w:val="center"/>
          </w:tcPr>
          <w:p w:rsidR="00101E60" w:rsidRDefault="00CE53B2">
            <w:pPr>
              <w:jc w:val="center"/>
            </w:pPr>
            <w:r>
              <w:rPr>
                <w:rFonts w:eastAsiaTheme="minorEastAsia"/>
                <w:color w:val="000000" w:themeColor="text1"/>
                <w:szCs w:val="21"/>
              </w:rPr>
              <w:t>2221014</w:t>
            </w:r>
          </w:p>
        </w:tc>
        <w:tc>
          <w:tcPr>
            <w:tcW w:w="1504" w:type="dxa"/>
            <w:vAlign w:val="center"/>
          </w:tcPr>
          <w:p w:rsidR="00101E60" w:rsidRDefault="00CE53B2">
            <w:pPr>
              <w:jc w:val="center"/>
            </w:pPr>
            <w:r>
              <w:rPr>
                <w:rFonts w:eastAsiaTheme="minorEastAsia"/>
                <w:color w:val="000000" w:themeColor="text1"/>
                <w:szCs w:val="21"/>
              </w:rPr>
              <w:t>22</w:t>
            </w:r>
            <w:r>
              <w:rPr>
                <w:rFonts w:eastAsiaTheme="minorEastAsia"/>
                <w:color w:val="000000" w:themeColor="text1"/>
                <w:szCs w:val="21"/>
              </w:rPr>
              <w:t>杭州联合农商二级</w:t>
            </w:r>
            <w:r>
              <w:rPr>
                <w:rFonts w:eastAsiaTheme="minorEastAsia"/>
                <w:color w:val="000000" w:themeColor="text1"/>
                <w:szCs w:val="21"/>
              </w:rPr>
              <w:t>01</w:t>
            </w:r>
          </w:p>
        </w:tc>
        <w:tc>
          <w:tcPr>
            <w:tcW w:w="1503" w:type="dxa"/>
            <w:vAlign w:val="center"/>
          </w:tcPr>
          <w:p w:rsidR="00101E60" w:rsidRDefault="00CE53B2">
            <w:pPr>
              <w:jc w:val="right"/>
            </w:pPr>
            <w:r>
              <w:rPr>
                <w:rFonts w:eastAsiaTheme="minorEastAsia"/>
                <w:color w:val="000000" w:themeColor="text1"/>
                <w:szCs w:val="21"/>
              </w:rPr>
              <w:t>500,000</w:t>
            </w:r>
          </w:p>
        </w:tc>
        <w:tc>
          <w:tcPr>
            <w:tcW w:w="1503" w:type="dxa"/>
            <w:vAlign w:val="center"/>
          </w:tcPr>
          <w:p w:rsidR="00101E60" w:rsidRDefault="00CE53B2">
            <w:pPr>
              <w:jc w:val="right"/>
            </w:pPr>
            <w:r>
              <w:rPr>
                <w:rFonts w:eastAsiaTheme="minorEastAsia"/>
                <w:color w:val="000000" w:themeColor="text1"/>
                <w:szCs w:val="21"/>
              </w:rPr>
              <w:t>50,008,701.37</w:t>
            </w:r>
          </w:p>
        </w:tc>
        <w:tc>
          <w:tcPr>
            <w:tcW w:w="1503" w:type="dxa"/>
            <w:vAlign w:val="center"/>
          </w:tcPr>
          <w:p w:rsidR="00101E60" w:rsidRDefault="00CE53B2">
            <w:pPr>
              <w:jc w:val="right"/>
            </w:pPr>
            <w:r>
              <w:rPr>
                <w:rFonts w:eastAsiaTheme="minorEastAsia"/>
                <w:color w:val="000000" w:themeColor="text1"/>
                <w:szCs w:val="21"/>
              </w:rPr>
              <w:t>0.64</w:t>
            </w:r>
          </w:p>
        </w:tc>
      </w:tr>
      <w:tr w:rsidR="00101E60">
        <w:tc>
          <w:tcPr>
            <w:tcW w:w="1504" w:type="dxa"/>
            <w:vAlign w:val="center"/>
          </w:tcPr>
          <w:p w:rsidR="00101E60" w:rsidRDefault="00CE53B2">
            <w:pPr>
              <w:jc w:val="center"/>
            </w:pPr>
            <w:r>
              <w:rPr>
                <w:rFonts w:eastAsiaTheme="minorEastAsia"/>
                <w:color w:val="000000" w:themeColor="text1"/>
                <w:szCs w:val="21"/>
              </w:rPr>
              <w:t>2</w:t>
            </w:r>
          </w:p>
        </w:tc>
        <w:tc>
          <w:tcPr>
            <w:tcW w:w="1504" w:type="dxa"/>
            <w:vAlign w:val="center"/>
          </w:tcPr>
          <w:p w:rsidR="00101E60" w:rsidRDefault="00CE53B2">
            <w:pPr>
              <w:jc w:val="center"/>
            </w:pPr>
            <w:r>
              <w:rPr>
                <w:rFonts w:eastAsiaTheme="minorEastAsia"/>
                <w:color w:val="000000" w:themeColor="text1"/>
                <w:szCs w:val="21"/>
              </w:rPr>
              <w:t>110085</w:t>
            </w:r>
          </w:p>
        </w:tc>
        <w:tc>
          <w:tcPr>
            <w:tcW w:w="1504" w:type="dxa"/>
            <w:vAlign w:val="center"/>
          </w:tcPr>
          <w:p w:rsidR="00101E60" w:rsidRDefault="00CE53B2">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101E60" w:rsidRDefault="00CE53B2">
            <w:pPr>
              <w:jc w:val="right"/>
            </w:pPr>
            <w:r>
              <w:rPr>
                <w:rFonts w:eastAsiaTheme="minorEastAsia"/>
                <w:color w:val="000000" w:themeColor="text1"/>
                <w:szCs w:val="21"/>
              </w:rPr>
              <w:t>313,330</w:t>
            </w:r>
          </w:p>
        </w:tc>
        <w:tc>
          <w:tcPr>
            <w:tcW w:w="1503" w:type="dxa"/>
            <w:vAlign w:val="center"/>
          </w:tcPr>
          <w:p w:rsidR="00101E60" w:rsidRDefault="00CE53B2">
            <w:pPr>
              <w:jc w:val="right"/>
            </w:pPr>
            <w:r>
              <w:rPr>
                <w:rFonts w:eastAsiaTheme="minorEastAsia"/>
                <w:color w:val="000000" w:themeColor="text1"/>
                <w:szCs w:val="21"/>
              </w:rPr>
              <w:t>40,042,252.00</w:t>
            </w:r>
          </w:p>
        </w:tc>
        <w:tc>
          <w:tcPr>
            <w:tcW w:w="1503" w:type="dxa"/>
            <w:vAlign w:val="center"/>
          </w:tcPr>
          <w:p w:rsidR="00101E60" w:rsidRDefault="00CE53B2">
            <w:pPr>
              <w:jc w:val="right"/>
            </w:pPr>
            <w:r>
              <w:rPr>
                <w:rFonts w:eastAsiaTheme="minorEastAsia"/>
                <w:color w:val="000000" w:themeColor="text1"/>
                <w:szCs w:val="21"/>
              </w:rPr>
              <w:t>0.51</w:t>
            </w:r>
          </w:p>
        </w:tc>
      </w:tr>
      <w:tr w:rsidR="00101E60">
        <w:tc>
          <w:tcPr>
            <w:tcW w:w="1504" w:type="dxa"/>
            <w:vAlign w:val="center"/>
          </w:tcPr>
          <w:p w:rsidR="00101E60" w:rsidRDefault="00CE53B2">
            <w:pPr>
              <w:jc w:val="center"/>
            </w:pPr>
            <w:r>
              <w:rPr>
                <w:rFonts w:eastAsiaTheme="minorEastAsia"/>
                <w:color w:val="000000" w:themeColor="text1"/>
                <w:szCs w:val="21"/>
              </w:rPr>
              <w:t>3</w:t>
            </w:r>
          </w:p>
        </w:tc>
        <w:tc>
          <w:tcPr>
            <w:tcW w:w="1504" w:type="dxa"/>
            <w:vAlign w:val="center"/>
          </w:tcPr>
          <w:p w:rsidR="00101E60" w:rsidRDefault="00CE53B2">
            <w:pPr>
              <w:jc w:val="center"/>
            </w:pPr>
            <w:r>
              <w:rPr>
                <w:rFonts w:eastAsiaTheme="minorEastAsia"/>
                <w:color w:val="000000" w:themeColor="text1"/>
                <w:szCs w:val="21"/>
              </w:rPr>
              <w:t>113641</w:t>
            </w:r>
          </w:p>
        </w:tc>
        <w:tc>
          <w:tcPr>
            <w:tcW w:w="1504" w:type="dxa"/>
            <w:vAlign w:val="center"/>
          </w:tcPr>
          <w:p w:rsidR="00101E60" w:rsidRDefault="00CE53B2">
            <w:pPr>
              <w:jc w:val="center"/>
            </w:pPr>
            <w:r>
              <w:rPr>
                <w:rFonts w:eastAsiaTheme="minorEastAsia"/>
                <w:color w:val="000000" w:themeColor="text1"/>
                <w:szCs w:val="21"/>
              </w:rPr>
              <w:t>华友转债</w:t>
            </w:r>
          </w:p>
        </w:tc>
        <w:tc>
          <w:tcPr>
            <w:tcW w:w="1503" w:type="dxa"/>
            <w:vAlign w:val="center"/>
          </w:tcPr>
          <w:p w:rsidR="00101E60" w:rsidRDefault="00CE53B2">
            <w:pPr>
              <w:jc w:val="right"/>
            </w:pPr>
            <w:r>
              <w:rPr>
                <w:rFonts w:eastAsiaTheme="minorEastAsia"/>
                <w:color w:val="000000" w:themeColor="text1"/>
                <w:szCs w:val="21"/>
              </w:rPr>
              <w:t>192,360</w:t>
            </w:r>
          </w:p>
        </w:tc>
        <w:tc>
          <w:tcPr>
            <w:tcW w:w="1503" w:type="dxa"/>
            <w:vAlign w:val="center"/>
          </w:tcPr>
          <w:p w:rsidR="00101E60" w:rsidRDefault="00CE53B2">
            <w:pPr>
              <w:jc w:val="right"/>
            </w:pPr>
            <w:r>
              <w:rPr>
                <w:rFonts w:eastAsiaTheme="minorEastAsia"/>
                <w:color w:val="000000" w:themeColor="text1"/>
                <w:szCs w:val="21"/>
              </w:rPr>
              <w:t>23,172,797.60</w:t>
            </w:r>
          </w:p>
        </w:tc>
        <w:tc>
          <w:tcPr>
            <w:tcW w:w="1503" w:type="dxa"/>
            <w:vAlign w:val="center"/>
          </w:tcPr>
          <w:p w:rsidR="00101E60" w:rsidRDefault="00CE53B2">
            <w:pPr>
              <w:jc w:val="right"/>
            </w:pPr>
            <w:r>
              <w:rPr>
                <w:rFonts w:eastAsiaTheme="minorEastAsia"/>
                <w:color w:val="000000" w:themeColor="text1"/>
                <w:szCs w:val="21"/>
              </w:rPr>
              <w:t>0.30</w:t>
            </w:r>
          </w:p>
        </w:tc>
      </w:tr>
      <w:tr w:rsidR="00101E60">
        <w:tc>
          <w:tcPr>
            <w:tcW w:w="1504" w:type="dxa"/>
            <w:vAlign w:val="center"/>
          </w:tcPr>
          <w:p w:rsidR="00101E60" w:rsidRDefault="00CE53B2">
            <w:pPr>
              <w:jc w:val="center"/>
            </w:pPr>
            <w:r>
              <w:rPr>
                <w:rFonts w:eastAsiaTheme="minorEastAsia"/>
                <w:color w:val="000000" w:themeColor="text1"/>
                <w:szCs w:val="21"/>
              </w:rPr>
              <w:t>4</w:t>
            </w:r>
          </w:p>
        </w:tc>
        <w:tc>
          <w:tcPr>
            <w:tcW w:w="1504" w:type="dxa"/>
            <w:vAlign w:val="center"/>
          </w:tcPr>
          <w:p w:rsidR="00101E60" w:rsidRDefault="00CE53B2">
            <w:pPr>
              <w:jc w:val="center"/>
            </w:pPr>
            <w:r>
              <w:rPr>
                <w:rFonts w:eastAsiaTheme="minorEastAsia"/>
                <w:color w:val="000000" w:themeColor="text1"/>
                <w:szCs w:val="21"/>
              </w:rPr>
              <w:t>118005</w:t>
            </w:r>
          </w:p>
        </w:tc>
        <w:tc>
          <w:tcPr>
            <w:tcW w:w="1504" w:type="dxa"/>
            <w:vAlign w:val="center"/>
          </w:tcPr>
          <w:p w:rsidR="00101E60" w:rsidRDefault="00CE53B2">
            <w:pPr>
              <w:jc w:val="center"/>
            </w:pPr>
            <w:r>
              <w:rPr>
                <w:rFonts w:eastAsiaTheme="minorEastAsia"/>
                <w:color w:val="000000" w:themeColor="text1"/>
                <w:szCs w:val="21"/>
              </w:rPr>
              <w:t>天奈转债</w:t>
            </w:r>
          </w:p>
        </w:tc>
        <w:tc>
          <w:tcPr>
            <w:tcW w:w="1503" w:type="dxa"/>
            <w:vAlign w:val="center"/>
          </w:tcPr>
          <w:p w:rsidR="00101E60" w:rsidRDefault="00CE53B2">
            <w:pPr>
              <w:jc w:val="right"/>
            </w:pPr>
            <w:r>
              <w:rPr>
                <w:rFonts w:eastAsiaTheme="minorEastAsia"/>
                <w:color w:val="000000" w:themeColor="text1"/>
                <w:szCs w:val="21"/>
              </w:rPr>
              <w:t>45,260</w:t>
            </w:r>
          </w:p>
        </w:tc>
        <w:tc>
          <w:tcPr>
            <w:tcW w:w="1503" w:type="dxa"/>
            <w:vAlign w:val="center"/>
          </w:tcPr>
          <w:p w:rsidR="00101E60" w:rsidRDefault="00CE53B2">
            <w:pPr>
              <w:jc w:val="right"/>
            </w:pPr>
            <w:r>
              <w:rPr>
                <w:rFonts w:eastAsiaTheme="minorEastAsia"/>
                <w:color w:val="000000" w:themeColor="text1"/>
                <w:szCs w:val="21"/>
              </w:rPr>
              <w:t>5,710,095.84</w:t>
            </w:r>
          </w:p>
        </w:tc>
        <w:tc>
          <w:tcPr>
            <w:tcW w:w="1503" w:type="dxa"/>
            <w:vAlign w:val="center"/>
          </w:tcPr>
          <w:p w:rsidR="00101E60" w:rsidRDefault="00CE53B2">
            <w:pPr>
              <w:jc w:val="right"/>
            </w:pPr>
            <w:r>
              <w:rPr>
                <w:rFonts w:eastAsiaTheme="minorEastAsia"/>
                <w:color w:val="000000" w:themeColor="text1"/>
                <w:szCs w:val="21"/>
              </w:rPr>
              <w:t>0.07</w:t>
            </w:r>
          </w:p>
        </w:tc>
      </w:tr>
      <w:tr w:rsidR="00101E60">
        <w:tc>
          <w:tcPr>
            <w:tcW w:w="1504" w:type="dxa"/>
            <w:vAlign w:val="center"/>
          </w:tcPr>
          <w:p w:rsidR="00101E60" w:rsidRDefault="00CE53B2">
            <w:pPr>
              <w:jc w:val="center"/>
            </w:pPr>
            <w:r>
              <w:rPr>
                <w:rFonts w:eastAsiaTheme="minorEastAsia"/>
                <w:color w:val="000000" w:themeColor="text1"/>
                <w:szCs w:val="21"/>
              </w:rPr>
              <w:t>5</w:t>
            </w:r>
          </w:p>
        </w:tc>
        <w:tc>
          <w:tcPr>
            <w:tcW w:w="1504" w:type="dxa"/>
            <w:vAlign w:val="center"/>
          </w:tcPr>
          <w:p w:rsidR="00101E60" w:rsidRDefault="00CE53B2">
            <w:pPr>
              <w:jc w:val="center"/>
            </w:pPr>
            <w:r>
              <w:rPr>
                <w:rFonts w:eastAsiaTheme="minorEastAsia"/>
                <w:color w:val="000000" w:themeColor="text1"/>
                <w:szCs w:val="21"/>
              </w:rPr>
              <w:t>113616</w:t>
            </w:r>
          </w:p>
        </w:tc>
        <w:tc>
          <w:tcPr>
            <w:tcW w:w="1504" w:type="dxa"/>
            <w:vAlign w:val="center"/>
          </w:tcPr>
          <w:p w:rsidR="00101E60" w:rsidRDefault="00CE53B2">
            <w:pPr>
              <w:jc w:val="center"/>
            </w:pPr>
            <w:r>
              <w:rPr>
                <w:rFonts w:eastAsiaTheme="minorEastAsia"/>
                <w:color w:val="000000" w:themeColor="text1"/>
                <w:szCs w:val="21"/>
              </w:rPr>
              <w:t>韦尔转债</w:t>
            </w:r>
          </w:p>
        </w:tc>
        <w:tc>
          <w:tcPr>
            <w:tcW w:w="1503" w:type="dxa"/>
            <w:vAlign w:val="center"/>
          </w:tcPr>
          <w:p w:rsidR="00101E60" w:rsidRDefault="00CE53B2">
            <w:pPr>
              <w:jc w:val="right"/>
            </w:pPr>
            <w:r>
              <w:rPr>
                <w:rFonts w:eastAsiaTheme="minorEastAsia"/>
                <w:color w:val="000000" w:themeColor="text1"/>
                <w:szCs w:val="21"/>
              </w:rPr>
              <w:t>26,310</w:t>
            </w:r>
          </w:p>
        </w:tc>
        <w:tc>
          <w:tcPr>
            <w:tcW w:w="1503" w:type="dxa"/>
            <w:vAlign w:val="center"/>
          </w:tcPr>
          <w:p w:rsidR="00101E60" w:rsidRDefault="00CE53B2">
            <w:pPr>
              <w:jc w:val="right"/>
            </w:pPr>
            <w:r>
              <w:rPr>
                <w:rFonts w:eastAsiaTheme="minorEastAsia"/>
                <w:color w:val="000000" w:themeColor="text1"/>
                <w:szCs w:val="21"/>
              </w:rPr>
              <w:t>3,221,459.83</w:t>
            </w:r>
          </w:p>
        </w:tc>
        <w:tc>
          <w:tcPr>
            <w:tcW w:w="1503" w:type="dxa"/>
            <w:vAlign w:val="center"/>
          </w:tcPr>
          <w:p w:rsidR="00101E60" w:rsidRDefault="00CE53B2">
            <w:pPr>
              <w:jc w:val="right"/>
            </w:pPr>
            <w:r>
              <w:rPr>
                <w:rFonts w:eastAsiaTheme="minorEastAsia"/>
                <w:color w:val="000000" w:themeColor="text1"/>
                <w:szCs w:val="21"/>
              </w:rPr>
              <w:t>0.04</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1,467,209.83</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60,950,921.31</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20,768.55</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62,438,899.69</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73597F" w:rsidRPr="0073597F">
        <w:tc>
          <w:tcPr>
            <w:tcW w:w="118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249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E01DAA">
        <w:tc>
          <w:tcPr>
            <w:tcW w:w="1181" w:type="dxa"/>
            <w:vAlign w:val="center"/>
          </w:tcPr>
          <w:p w:rsidR="00E01DAA" w:rsidRDefault="00E01DAA" w:rsidP="00E01DAA">
            <w:pPr>
              <w:jc w:val="center"/>
            </w:pPr>
            <w:r>
              <w:rPr>
                <w:rFonts w:eastAsiaTheme="minorEastAsia"/>
                <w:color w:val="000000" w:themeColor="text1"/>
                <w:szCs w:val="21"/>
              </w:rPr>
              <w:t>1</w:t>
            </w:r>
          </w:p>
        </w:tc>
        <w:tc>
          <w:tcPr>
            <w:tcW w:w="2497" w:type="dxa"/>
            <w:vAlign w:val="center"/>
          </w:tcPr>
          <w:p w:rsidR="00E01DAA" w:rsidRDefault="00E01DAA" w:rsidP="00E01DAA">
            <w:pPr>
              <w:jc w:val="center"/>
            </w:pPr>
            <w:r>
              <w:rPr>
                <w:rFonts w:eastAsiaTheme="minorEastAsia"/>
                <w:color w:val="000000" w:themeColor="text1"/>
                <w:szCs w:val="21"/>
              </w:rPr>
              <w:t>113616</w:t>
            </w:r>
          </w:p>
        </w:tc>
        <w:tc>
          <w:tcPr>
            <w:tcW w:w="1746" w:type="dxa"/>
            <w:vAlign w:val="center"/>
          </w:tcPr>
          <w:p w:rsidR="00E01DAA" w:rsidRDefault="00E01DAA" w:rsidP="00E01DAA">
            <w:pPr>
              <w:jc w:val="center"/>
            </w:pPr>
            <w:r>
              <w:rPr>
                <w:rFonts w:eastAsiaTheme="minorEastAsia"/>
                <w:color w:val="000000" w:themeColor="text1"/>
                <w:szCs w:val="21"/>
              </w:rPr>
              <w:t>韦尔转债</w:t>
            </w:r>
          </w:p>
        </w:tc>
        <w:tc>
          <w:tcPr>
            <w:tcW w:w="1825" w:type="dxa"/>
            <w:vAlign w:val="center"/>
          </w:tcPr>
          <w:p w:rsidR="00E01DAA" w:rsidRDefault="00E01DAA" w:rsidP="00E01DAA">
            <w:pPr>
              <w:jc w:val="right"/>
            </w:pPr>
            <w:r>
              <w:rPr>
                <w:rFonts w:eastAsiaTheme="minorEastAsia"/>
                <w:color w:val="000000" w:themeColor="text1"/>
                <w:szCs w:val="21"/>
              </w:rPr>
              <w:t>3,221,459.83</w:t>
            </w:r>
          </w:p>
        </w:tc>
        <w:tc>
          <w:tcPr>
            <w:tcW w:w="1679" w:type="dxa"/>
            <w:vAlign w:val="center"/>
          </w:tcPr>
          <w:p w:rsidR="00E01DAA" w:rsidRDefault="00E01DAA" w:rsidP="00E01DAA">
            <w:pPr>
              <w:jc w:val="right"/>
            </w:pPr>
            <w:r>
              <w:rPr>
                <w:rFonts w:eastAsiaTheme="minorEastAsia"/>
                <w:color w:val="000000" w:themeColor="text1"/>
                <w:szCs w:val="21"/>
              </w:rPr>
              <w:t>0.04</w:t>
            </w:r>
          </w:p>
        </w:tc>
      </w:tr>
    </w:tbl>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73597F" w:rsidRPr="0073597F">
        <w:tc>
          <w:tcPr>
            <w:tcW w:w="108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1302"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股票代码</w:t>
            </w:r>
          </w:p>
        </w:tc>
        <w:tc>
          <w:tcPr>
            <w:tcW w:w="130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股票名称</w:t>
            </w:r>
          </w:p>
        </w:tc>
        <w:tc>
          <w:tcPr>
            <w:tcW w:w="180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流通受限部分的公允价值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5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c>
          <w:tcPr>
            <w:tcW w:w="136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流通受限情况说明</w:t>
            </w:r>
          </w:p>
        </w:tc>
      </w:tr>
      <w:tr w:rsidR="00101E60">
        <w:tc>
          <w:tcPr>
            <w:tcW w:w="1083" w:type="dxa"/>
            <w:vAlign w:val="center"/>
          </w:tcPr>
          <w:p w:rsidR="00101E60" w:rsidRDefault="00CE53B2">
            <w:pPr>
              <w:jc w:val="center"/>
            </w:pPr>
            <w:r>
              <w:rPr>
                <w:rFonts w:eastAsiaTheme="minorEastAsia"/>
                <w:color w:val="000000" w:themeColor="text1"/>
                <w:szCs w:val="21"/>
              </w:rPr>
              <w:t>1</w:t>
            </w:r>
          </w:p>
        </w:tc>
        <w:tc>
          <w:tcPr>
            <w:tcW w:w="1302" w:type="dxa"/>
            <w:vAlign w:val="center"/>
          </w:tcPr>
          <w:p w:rsidR="00101E60" w:rsidRDefault="00CE53B2">
            <w:pPr>
              <w:jc w:val="center"/>
            </w:pPr>
            <w:r>
              <w:rPr>
                <w:rFonts w:eastAsiaTheme="minorEastAsia"/>
                <w:color w:val="000000" w:themeColor="text1"/>
                <w:szCs w:val="21"/>
              </w:rPr>
              <w:t>002180</w:t>
            </w:r>
          </w:p>
        </w:tc>
        <w:tc>
          <w:tcPr>
            <w:tcW w:w="1301" w:type="dxa"/>
            <w:vAlign w:val="center"/>
          </w:tcPr>
          <w:p w:rsidR="00101E60" w:rsidRDefault="00CE53B2">
            <w:pPr>
              <w:jc w:val="center"/>
            </w:pPr>
            <w:r>
              <w:rPr>
                <w:rFonts w:eastAsiaTheme="minorEastAsia"/>
                <w:color w:val="000000" w:themeColor="text1"/>
                <w:szCs w:val="21"/>
              </w:rPr>
              <w:t>纳思达</w:t>
            </w:r>
          </w:p>
        </w:tc>
        <w:tc>
          <w:tcPr>
            <w:tcW w:w="1805" w:type="dxa"/>
            <w:vAlign w:val="center"/>
          </w:tcPr>
          <w:p w:rsidR="00101E60" w:rsidRDefault="00CE53B2">
            <w:pPr>
              <w:jc w:val="right"/>
            </w:pPr>
            <w:r>
              <w:rPr>
                <w:rFonts w:eastAsiaTheme="minorEastAsia"/>
                <w:color w:val="000000" w:themeColor="text1"/>
                <w:szCs w:val="21"/>
              </w:rPr>
              <w:t>85,958,254.80</w:t>
            </w:r>
          </w:p>
        </w:tc>
        <w:tc>
          <w:tcPr>
            <w:tcW w:w="1655" w:type="dxa"/>
            <w:vAlign w:val="center"/>
          </w:tcPr>
          <w:p w:rsidR="00101E60" w:rsidRDefault="00CE53B2">
            <w:pPr>
              <w:jc w:val="right"/>
            </w:pPr>
            <w:r>
              <w:rPr>
                <w:rFonts w:eastAsiaTheme="minorEastAsia"/>
                <w:color w:val="000000" w:themeColor="text1"/>
                <w:szCs w:val="21"/>
              </w:rPr>
              <w:t>1.10</w:t>
            </w:r>
          </w:p>
        </w:tc>
        <w:tc>
          <w:tcPr>
            <w:tcW w:w="1367" w:type="dxa"/>
            <w:vAlign w:val="center"/>
          </w:tcPr>
          <w:p w:rsidR="00101E60" w:rsidRDefault="00CE53B2">
            <w:pPr>
              <w:jc w:val="right"/>
            </w:pPr>
            <w:r>
              <w:rPr>
                <w:rFonts w:eastAsiaTheme="minorEastAsia"/>
                <w:color w:val="000000" w:themeColor="text1"/>
                <w:szCs w:val="21"/>
              </w:rPr>
              <w:t>非公开发行限售</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因四舍五入的原因，投资组合报告中分项之和与合计数可能存在尾差。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1,102,529,564.10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30,977,654.30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10,216.42</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252,257,262.40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6,829,700.62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10,466,649.79</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138,039,697.25</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3,207,456.47</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1,560,693.45</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1,216,747,129.25</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34,599,898.45</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8,916,172.76</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中国证监会批准上投摩根新兴动力混合型证券投资基金设立的文件；</w:t>
      </w:r>
      <w:r>
        <w:rPr>
          <w:rFonts w:eastAsiaTheme="minorEastAsia"/>
          <w:color w:val="000000" w:themeColor="text1"/>
          <w:szCs w:val="21"/>
        </w:rPr>
        <w:t xml:space="preserve"> </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《上投摩根新兴动力混合型证券投资基金基金合同》；</w:t>
      </w:r>
      <w:r>
        <w:rPr>
          <w:rFonts w:eastAsiaTheme="minorEastAsia"/>
          <w:color w:val="000000" w:themeColor="text1"/>
          <w:szCs w:val="21"/>
        </w:rPr>
        <w:t xml:space="preserve"> </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《上投摩根新兴动力混合型证券投资基金托管协议》；</w:t>
      </w:r>
      <w:r>
        <w:rPr>
          <w:rFonts w:eastAsiaTheme="minorEastAsia"/>
          <w:color w:val="000000" w:themeColor="text1"/>
          <w:szCs w:val="21"/>
        </w:rPr>
        <w:t xml:space="preserve"> </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101E60" w:rsidRDefault="00CE53B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 xml:space="preserve">6. </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上投摩根基金管理有限公司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二〇二二年四月二十二日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08" w:rsidRDefault="00892D08">
      <w:r>
        <w:separator/>
      </w:r>
    </w:p>
  </w:endnote>
  <w:endnote w:type="continuationSeparator" w:id="0">
    <w:p w:rsidR="00892D08" w:rsidRDefault="0089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3724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37246">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37246">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08" w:rsidRDefault="00892D08">
      <w:r>
        <w:separator/>
      </w:r>
    </w:p>
  </w:footnote>
  <w:footnote w:type="continuationSeparator" w:id="0">
    <w:p w:rsidR="00892D08" w:rsidRDefault="0089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上投摩根新兴动力混合型证券投资基金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1E60"/>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7246"/>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3B2"/>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1DAA"/>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524E1-799B-4C3B-AFD7-C0266726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180</TotalTime>
  <Pages>16</Pages>
  <Words>1434</Words>
  <Characters>8179</Characters>
  <Application>Microsoft Office Word</Application>
  <DocSecurity>0</DocSecurity>
  <Lines>68</Lines>
  <Paragraphs>19</Paragraphs>
  <ScaleCrop>false</ScaleCrop>
  <Company>TRT. Ltd. Co.</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236</cp:revision>
  <cp:lastPrinted>2007-07-19T00:46:00Z</cp:lastPrinted>
  <dcterms:created xsi:type="dcterms:W3CDTF">2013-06-21T06:56:00Z</dcterms:created>
  <dcterms:modified xsi:type="dcterms:W3CDTF">2022-04-21T03:02:00Z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