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上投摩根新兴动力混合型证券投资基金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基金托管人：中国农业银行股份有限公司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上投摩根新兴动力混合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377240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2011</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990,755,964.35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投资策略</w:t>
            </w:r>
          </w:p>
        </w:tc>
        <w:tc>
          <w:tcPr>
            <w:tcW w:w="5479" w:type="dxa"/>
            <w:gridSpan w:val="2"/>
            <w:vAlign w:val="center"/>
          </w:tcPr>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w:t>
            </w:r>
            <w:r>
              <w:rPr>
                <w:rFonts w:eastAsiaTheme="minorEastAsia"/>
                <w:color w:val="000000" w:themeColor="text1"/>
                <w:kern w:val="0"/>
                <w:szCs w:val="21"/>
              </w:rPr>
              <w:t>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w:t>
            </w:r>
            <w:r>
              <w:rPr>
                <w:rFonts w:eastAsiaTheme="minorEastAsia"/>
                <w:color w:val="000000" w:themeColor="text1"/>
                <w:kern w:val="0"/>
                <w:szCs w:val="21"/>
              </w:rPr>
              <w:t>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中国战略新兴产业成份指数收益率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A6F6F" w:rsidRDefault="00130D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w:t>
            </w:r>
            <w:r>
              <w:rPr>
                <w:rFonts w:eastAsiaTheme="minorEastAsia"/>
                <w:color w:val="000000" w:themeColor="text1"/>
                <w:kern w:val="0"/>
                <w:szCs w:val="21"/>
              </w:rPr>
              <w:lastRenderedPageBreak/>
              <w:t>票型基金，高于债券型基金和货币市场基金，属于风险水平较高的基金产品。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中国农业银行股份有限公司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A</w:t>
            </w:r>
            <w:r w:rsidRPr="00B27A29">
              <w:rPr>
                <w:rFonts w:eastAsiaTheme="minorEastAsia"/>
                <w:color w:val="000000" w:themeColor="text1"/>
                <w:szCs w:val="21"/>
              </w:rPr>
              <w:t>类</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H</w:t>
            </w:r>
            <w:r w:rsidRPr="00B27A29">
              <w:rPr>
                <w:rFonts w:eastAsiaTheme="minorEastAsia"/>
                <w:color w:val="000000" w:themeColor="text1"/>
                <w:szCs w:val="21"/>
              </w:rPr>
              <w:t>类</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377240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960007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966,380,627.17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24,375,337.18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A</w:t>
            </w:r>
            <w:r w:rsidRPr="00B27A29">
              <w:rPr>
                <w:rFonts w:eastAsiaTheme="minorEastAsia"/>
                <w:color w:val="000000" w:themeColor="text1"/>
                <w:szCs w:val="21"/>
              </w:rPr>
              <w:t>类</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H</w:t>
            </w:r>
            <w:r w:rsidRPr="00B27A29">
              <w:rPr>
                <w:rFonts w:eastAsiaTheme="minorEastAsia"/>
                <w:color w:val="000000" w:themeColor="text1"/>
                <w:szCs w:val="21"/>
              </w:rPr>
              <w:t>类</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968,855,379.12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25,886,789.94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700,754,030.49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21,972,774.24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0.7563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7,254,484,191.19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183,390,771.35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7.524</w:t>
            </w:r>
          </w:p>
        </w:tc>
      </w:tr>
    </w:tbl>
    <w:p w:rsidR="00DA6F6F" w:rsidRDefault="00130D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上投摩根新兴动力混合</w:t>
      </w:r>
      <w:r w:rsidRPr="00B27A29">
        <w:rPr>
          <w:rFonts w:eastAsiaTheme="minorEastAsia"/>
          <w:b/>
          <w:color w:val="000000" w:themeColor="text1"/>
          <w:kern w:val="0"/>
          <w:szCs w:val="21"/>
        </w:rPr>
        <w:t>A</w:t>
      </w:r>
      <w:r w:rsidRPr="00B27A29">
        <w:rPr>
          <w:rFonts w:eastAsiaTheme="minorEastAsia"/>
          <w:b/>
          <w:color w:val="000000" w:themeColor="text1"/>
          <w:kern w:val="0"/>
          <w:szCs w:val="21"/>
        </w:rPr>
        <w:t>类</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6F6F">
        <w:tc>
          <w:tcPr>
            <w:tcW w:w="1290" w:type="dxa"/>
            <w:vAlign w:val="center"/>
          </w:tcPr>
          <w:p w:rsidR="00DA6F6F" w:rsidRDefault="00130D3C">
            <w:pPr>
              <w:jc w:val="left"/>
            </w:pPr>
            <w:r>
              <w:rPr>
                <w:rFonts w:eastAsiaTheme="minorEastAsia"/>
                <w:color w:val="000000" w:themeColor="text1"/>
                <w:szCs w:val="21"/>
              </w:rPr>
              <w:t>过去三个月</w:t>
            </w:r>
          </w:p>
        </w:tc>
        <w:tc>
          <w:tcPr>
            <w:tcW w:w="1291" w:type="dxa"/>
            <w:vAlign w:val="center"/>
          </w:tcPr>
          <w:p w:rsidR="00DA6F6F" w:rsidRDefault="00130D3C">
            <w:pPr>
              <w:jc w:val="right"/>
            </w:pPr>
            <w:r>
              <w:rPr>
                <w:rFonts w:eastAsiaTheme="minorEastAsia"/>
                <w:color w:val="000000" w:themeColor="text1"/>
                <w:szCs w:val="21"/>
              </w:rPr>
              <w:t>11.08%</w:t>
            </w:r>
          </w:p>
        </w:tc>
        <w:tc>
          <w:tcPr>
            <w:tcW w:w="1291" w:type="dxa"/>
            <w:vAlign w:val="center"/>
          </w:tcPr>
          <w:p w:rsidR="00DA6F6F" w:rsidRDefault="00130D3C">
            <w:pPr>
              <w:jc w:val="right"/>
            </w:pPr>
            <w:r>
              <w:rPr>
                <w:rFonts w:eastAsiaTheme="minorEastAsia"/>
                <w:color w:val="000000" w:themeColor="text1"/>
                <w:szCs w:val="21"/>
              </w:rPr>
              <w:t>2.44%</w:t>
            </w:r>
          </w:p>
        </w:tc>
        <w:tc>
          <w:tcPr>
            <w:tcW w:w="1291" w:type="dxa"/>
            <w:vAlign w:val="center"/>
          </w:tcPr>
          <w:p w:rsidR="00DA6F6F" w:rsidRDefault="00130D3C">
            <w:pPr>
              <w:jc w:val="right"/>
            </w:pPr>
            <w:r>
              <w:rPr>
                <w:rFonts w:eastAsiaTheme="minorEastAsia"/>
                <w:color w:val="000000" w:themeColor="text1"/>
                <w:szCs w:val="21"/>
              </w:rPr>
              <w:t>-6.68%</w:t>
            </w:r>
          </w:p>
        </w:tc>
        <w:tc>
          <w:tcPr>
            <w:tcW w:w="1291" w:type="dxa"/>
            <w:vAlign w:val="center"/>
          </w:tcPr>
          <w:p w:rsidR="00DA6F6F" w:rsidRDefault="00130D3C">
            <w:pPr>
              <w:jc w:val="right"/>
            </w:pPr>
            <w:r>
              <w:rPr>
                <w:rFonts w:eastAsiaTheme="minorEastAsia"/>
                <w:color w:val="000000" w:themeColor="text1"/>
                <w:szCs w:val="21"/>
              </w:rPr>
              <w:t>1.40%</w:t>
            </w:r>
          </w:p>
        </w:tc>
        <w:tc>
          <w:tcPr>
            <w:tcW w:w="1291" w:type="dxa"/>
            <w:vAlign w:val="center"/>
          </w:tcPr>
          <w:p w:rsidR="00DA6F6F" w:rsidRDefault="00130D3C">
            <w:pPr>
              <w:jc w:val="right"/>
            </w:pPr>
            <w:r>
              <w:rPr>
                <w:rFonts w:eastAsiaTheme="minorEastAsia"/>
                <w:color w:val="000000" w:themeColor="text1"/>
                <w:szCs w:val="21"/>
              </w:rPr>
              <w:t>17.76%</w:t>
            </w:r>
          </w:p>
        </w:tc>
        <w:tc>
          <w:tcPr>
            <w:tcW w:w="1291" w:type="dxa"/>
            <w:vAlign w:val="center"/>
          </w:tcPr>
          <w:p w:rsidR="00DA6F6F" w:rsidRDefault="00130D3C">
            <w:pPr>
              <w:jc w:val="right"/>
            </w:pPr>
            <w:r>
              <w:rPr>
                <w:rFonts w:eastAsiaTheme="minorEastAsia"/>
                <w:color w:val="000000" w:themeColor="text1"/>
                <w:szCs w:val="21"/>
              </w:rPr>
              <w:t>1.04%</w:t>
            </w:r>
          </w:p>
        </w:tc>
      </w:tr>
      <w:tr w:rsidR="00DA6F6F">
        <w:tc>
          <w:tcPr>
            <w:tcW w:w="1290" w:type="dxa"/>
            <w:vAlign w:val="center"/>
          </w:tcPr>
          <w:p w:rsidR="00DA6F6F" w:rsidRDefault="00130D3C">
            <w:pPr>
              <w:jc w:val="left"/>
            </w:pPr>
            <w:r>
              <w:rPr>
                <w:rFonts w:eastAsiaTheme="minorEastAsia"/>
                <w:color w:val="000000" w:themeColor="text1"/>
                <w:szCs w:val="21"/>
              </w:rPr>
              <w:t>过去六个月</w:t>
            </w:r>
          </w:p>
        </w:tc>
        <w:tc>
          <w:tcPr>
            <w:tcW w:w="1291" w:type="dxa"/>
            <w:vAlign w:val="center"/>
          </w:tcPr>
          <w:p w:rsidR="00DA6F6F" w:rsidRDefault="00130D3C">
            <w:pPr>
              <w:jc w:val="right"/>
            </w:pPr>
            <w:r>
              <w:rPr>
                <w:rFonts w:eastAsiaTheme="minorEastAsia"/>
                <w:color w:val="000000" w:themeColor="text1"/>
                <w:szCs w:val="21"/>
              </w:rPr>
              <w:t>31.36%</w:t>
            </w:r>
          </w:p>
        </w:tc>
        <w:tc>
          <w:tcPr>
            <w:tcW w:w="1291" w:type="dxa"/>
            <w:vAlign w:val="center"/>
          </w:tcPr>
          <w:p w:rsidR="00DA6F6F" w:rsidRDefault="00130D3C">
            <w:pPr>
              <w:jc w:val="right"/>
            </w:pPr>
            <w:r>
              <w:rPr>
                <w:rFonts w:eastAsiaTheme="minorEastAsia"/>
                <w:color w:val="000000" w:themeColor="text1"/>
                <w:szCs w:val="21"/>
              </w:rPr>
              <w:t>2.08%</w:t>
            </w:r>
          </w:p>
        </w:tc>
        <w:tc>
          <w:tcPr>
            <w:tcW w:w="1291" w:type="dxa"/>
            <w:vAlign w:val="center"/>
          </w:tcPr>
          <w:p w:rsidR="00DA6F6F" w:rsidRDefault="00130D3C">
            <w:pPr>
              <w:jc w:val="right"/>
            </w:pPr>
            <w:r>
              <w:rPr>
                <w:rFonts w:eastAsiaTheme="minorEastAsia"/>
                <w:color w:val="000000" w:themeColor="text1"/>
                <w:szCs w:val="21"/>
              </w:rPr>
              <w:t>8.92%</w:t>
            </w:r>
          </w:p>
        </w:tc>
        <w:tc>
          <w:tcPr>
            <w:tcW w:w="1291" w:type="dxa"/>
            <w:vAlign w:val="center"/>
          </w:tcPr>
          <w:p w:rsidR="00DA6F6F" w:rsidRDefault="00130D3C">
            <w:pPr>
              <w:jc w:val="right"/>
            </w:pPr>
            <w:r>
              <w:rPr>
                <w:rFonts w:eastAsiaTheme="minorEastAsia"/>
                <w:color w:val="000000" w:themeColor="text1"/>
                <w:szCs w:val="21"/>
              </w:rPr>
              <w:t>1.35%</w:t>
            </w:r>
          </w:p>
        </w:tc>
        <w:tc>
          <w:tcPr>
            <w:tcW w:w="1291" w:type="dxa"/>
            <w:vAlign w:val="center"/>
          </w:tcPr>
          <w:p w:rsidR="00DA6F6F" w:rsidRDefault="00130D3C">
            <w:pPr>
              <w:jc w:val="right"/>
            </w:pPr>
            <w:r>
              <w:rPr>
                <w:rFonts w:eastAsiaTheme="minorEastAsia"/>
                <w:color w:val="000000" w:themeColor="text1"/>
                <w:szCs w:val="21"/>
              </w:rPr>
              <w:t>22.44%</w:t>
            </w:r>
          </w:p>
        </w:tc>
        <w:tc>
          <w:tcPr>
            <w:tcW w:w="1291" w:type="dxa"/>
            <w:vAlign w:val="center"/>
          </w:tcPr>
          <w:p w:rsidR="00DA6F6F" w:rsidRDefault="00130D3C">
            <w:pPr>
              <w:jc w:val="right"/>
            </w:pPr>
            <w:r>
              <w:rPr>
                <w:rFonts w:eastAsiaTheme="minorEastAsia"/>
                <w:color w:val="000000" w:themeColor="text1"/>
                <w:szCs w:val="21"/>
              </w:rPr>
              <w:t>0.73%</w:t>
            </w:r>
          </w:p>
        </w:tc>
      </w:tr>
      <w:tr w:rsidR="00DA6F6F">
        <w:tc>
          <w:tcPr>
            <w:tcW w:w="1290" w:type="dxa"/>
            <w:vAlign w:val="center"/>
          </w:tcPr>
          <w:p w:rsidR="00DA6F6F" w:rsidRDefault="00130D3C">
            <w:pPr>
              <w:jc w:val="left"/>
            </w:pPr>
            <w:r>
              <w:rPr>
                <w:rFonts w:eastAsiaTheme="minorEastAsia"/>
                <w:color w:val="000000" w:themeColor="text1"/>
                <w:szCs w:val="21"/>
              </w:rPr>
              <w:t>过去一年</w:t>
            </w:r>
          </w:p>
        </w:tc>
        <w:tc>
          <w:tcPr>
            <w:tcW w:w="1291" w:type="dxa"/>
            <w:vAlign w:val="center"/>
          </w:tcPr>
          <w:p w:rsidR="00DA6F6F" w:rsidRDefault="00130D3C">
            <w:pPr>
              <w:jc w:val="right"/>
            </w:pPr>
            <w:r>
              <w:rPr>
                <w:rFonts w:eastAsiaTheme="minorEastAsia"/>
                <w:color w:val="000000" w:themeColor="text1"/>
                <w:szCs w:val="21"/>
              </w:rPr>
              <w:t>50.62%</w:t>
            </w:r>
          </w:p>
        </w:tc>
        <w:tc>
          <w:tcPr>
            <w:tcW w:w="1291" w:type="dxa"/>
            <w:vAlign w:val="center"/>
          </w:tcPr>
          <w:p w:rsidR="00DA6F6F" w:rsidRDefault="00130D3C">
            <w:pPr>
              <w:jc w:val="right"/>
            </w:pPr>
            <w:r>
              <w:rPr>
                <w:rFonts w:eastAsiaTheme="minorEastAsia"/>
                <w:color w:val="000000" w:themeColor="text1"/>
                <w:szCs w:val="21"/>
              </w:rPr>
              <w:t>2.11%</w:t>
            </w:r>
          </w:p>
        </w:tc>
        <w:tc>
          <w:tcPr>
            <w:tcW w:w="1291" w:type="dxa"/>
            <w:vAlign w:val="center"/>
          </w:tcPr>
          <w:p w:rsidR="00DA6F6F" w:rsidRDefault="00130D3C">
            <w:pPr>
              <w:jc w:val="right"/>
            </w:pPr>
            <w:r>
              <w:rPr>
                <w:rFonts w:eastAsiaTheme="minorEastAsia"/>
                <w:color w:val="000000" w:themeColor="text1"/>
                <w:szCs w:val="21"/>
              </w:rPr>
              <w:t>18.24%</w:t>
            </w:r>
          </w:p>
        </w:tc>
        <w:tc>
          <w:tcPr>
            <w:tcW w:w="1291" w:type="dxa"/>
            <w:vAlign w:val="center"/>
          </w:tcPr>
          <w:p w:rsidR="00DA6F6F" w:rsidRDefault="00130D3C">
            <w:pPr>
              <w:jc w:val="right"/>
            </w:pPr>
            <w:r>
              <w:rPr>
                <w:rFonts w:eastAsiaTheme="minorEastAsia"/>
                <w:color w:val="000000" w:themeColor="text1"/>
                <w:szCs w:val="21"/>
              </w:rPr>
              <w:t>1.52%</w:t>
            </w:r>
          </w:p>
        </w:tc>
        <w:tc>
          <w:tcPr>
            <w:tcW w:w="1291" w:type="dxa"/>
            <w:vAlign w:val="center"/>
          </w:tcPr>
          <w:p w:rsidR="00DA6F6F" w:rsidRDefault="00130D3C">
            <w:pPr>
              <w:jc w:val="right"/>
            </w:pPr>
            <w:r>
              <w:rPr>
                <w:rFonts w:eastAsiaTheme="minorEastAsia"/>
                <w:color w:val="000000" w:themeColor="text1"/>
                <w:szCs w:val="21"/>
              </w:rPr>
              <w:t>32.38%</w:t>
            </w:r>
          </w:p>
        </w:tc>
        <w:tc>
          <w:tcPr>
            <w:tcW w:w="1291" w:type="dxa"/>
            <w:vAlign w:val="center"/>
          </w:tcPr>
          <w:p w:rsidR="00DA6F6F" w:rsidRDefault="00130D3C">
            <w:pPr>
              <w:jc w:val="right"/>
            </w:pPr>
            <w:r>
              <w:rPr>
                <w:rFonts w:eastAsiaTheme="minorEastAsia"/>
                <w:color w:val="000000" w:themeColor="text1"/>
                <w:szCs w:val="21"/>
              </w:rPr>
              <w:t>0.59%</w:t>
            </w:r>
          </w:p>
        </w:tc>
      </w:tr>
      <w:tr w:rsidR="00DA6F6F">
        <w:tc>
          <w:tcPr>
            <w:tcW w:w="1290" w:type="dxa"/>
            <w:vAlign w:val="center"/>
          </w:tcPr>
          <w:p w:rsidR="00DA6F6F" w:rsidRDefault="00130D3C">
            <w:pPr>
              <w:jc w:val="left"/>
            </w:pPr>
            <w:r>
              <w:rPr>
                <w:rFonts w:eastAsiaTheme="minorEastAsia"/>
                <w:color w:val="000000" w:themeColor="text1"/>
                <w:szCs w:val="21"/>
              </w:rPr>
              <w:t>过去三年</w:t>
            </w:r>
          </w:p>
        </w:tc>
        <w:tc>
          <w:tcPr>
            <w:tcW w:w="1291" w:type="dxa"/>
            <w:vAlign w:val="center"/>
          </w:tcPr>
          <w:p w:rsidR="00DA6F6F" w:rsidRDefault="00130D3C">
            <w:pPr>
              <w:jc w:val="right"/>
            </w:pPr>
            <w:r>
              <w:rPr>
                <w:rFonts w:eastAsiaTheme="minorEastAsia"/>
                <w:color w:val="000000" w:themeColor="text1"/>
                <w:szCs w:val="21"/>
              </w:rPr>
              <w:t>243.26%</w:t>
            </w:r>
          </w:p>
        </w:tc>
        <w:tc>
          <w:tcPr>
            <w:tcW w:w="1291" w:type="dxa"/>
            <w:vAlign w:val="center"/>
          </w:tcPr>
          <w:p w:rsidR="00DA6F6F" w:rsidRDefault="00130D3C">
            <w:pPr>
              <w:jc w:val="right"/>
            </w:pPr>
            <w:r>
              <w:rPr>
                <w:rFonts w:eastAsiaTheme="minorEastAsia"/>
                <w:color w:val="000000" w:themeColor="text1"/>
                <w:szCs w:val="21"/>
              </w:rPr>
              <w:t>1.95%</w:t>
            </w:r>
          </w:p>
        </w:tc>
        <w:tc>
          <w:tcPr>
            <w:tcW w:w="1291" w:type="dxa"/>
            <w:vAlign w:val="center"/>
          </w:tcPr>
          <w:p w:rsidR="00DA6F6F" w:rsidRDefault="00130D3C">
            <w:pPr>
              <w:jc w:val="right"/>
            </w:pPr>
            <w:r>
              <w:rPr>
                <w:rFonts w:eastAsiaTheme="minorEastAsia"/>
                <w:color w:val="000000" w:themeColor="text1"/>
                <w:szCs w:val="21"/>
              </w:rPr>
              <w:t>89.36%</w:t>
            </w:r>
          </w:p>
        </w:tc>
        <w:tc>
          <w:tcPr>
            <w:tcW w:w="1291" w:type="dxa"/>
            <w:vAlign w:val="center"/>
          </w:tcPr>
          <w:p w:rsidR="00DA6F6F" w:rsidRDefault="00130D3C">
            <w:pPr>
              <w:jc w:val="right"/>
            </w:pPr>
            <w:r>
              <w:rPr>
                <w:rFonts w:eastAsiaTheme="minorEastAsia"/>
                <w:color w:val="000000" w:themeColor="text1"/>
                <w:szCs w:val="21"/>
              </w:rPr>
              <w:t>1.38%</w:t>
            </w:r>
          </w:p>
        </w:tc>
        <w:tc>
          <w:tcPr>
            <w:tcW w:w="1291" w:type="dxa"/>
            <w:vAlign w:val="center"/>
          </w:tcPr>
          <w:p w:rsidR="00DA6F6F" w:rsidRDefault="00130D3C">
            <w:pPr>
              <w:jc w:val="right"/>
            </w:pPr>
            <w:r>
              <w:rPr>
                <w:rFonts w:eastAsiaTheme="minorEastAsia"/>
                <w:color w:val="000000" w:themeColor="text1"/>
                <w:szCs w:val="21"/>
              </w:rPr>
              <w:t>153.90%</w:t>
            </w:r>
          </w:p>
        </w:tc>
        <w:tc>
          <w:tcPr>
            <w:tcW w:w="1291" w:type="dxa"/>
            <w:vAlign w:val="center"/>
          </w:tcPr>
          <w:p w:rsidR="00DA6F6F" w:rsidRDefault="00130D3C">
            <w:pPr>
              <w:jc w:val="right"/>
            </w:pPr>
            <w:r>
              <w:rPr>
                <w:rFonts w:eastAsiaTheme="minorEastAsia"/>
                <w:color w:val="000000" w:themeColor="text1"/>
                <w:szCs w:val="21"/>
              </w:rPr>
              <w:t>0.57%</w:t>
            </w:r>
          </w:p>
        </w:tc>
      </w:tr>
      <w:tr w:rsidR="00DA6F6F">
        <w:tc>
          <w:tcPr>
            <w:tcW w:w="1290" w:type="dxa"/>
            <w:vAlign w:val="center"/>
          </w:tcPr>
          <w:p w:rsidR="00DA6F6F" w:rsidRDefault="00130D3C">
            <w:pPr>
              <w:jc w:val="left"/>
            </w:pPr>
            <w:r>
              <w:rPr>
                <w:rFonts w:eastAsiaTheme="minorEastAsia"/>
                <w:color w:val="000000" w:themeColor="text1"/>
                <w:szCs w:val="21"/>
              </w:rPr>
              <w:t>过去五年</w:t>
            </w:r>
          </w:p>
        </w:tc>
        <w:tc>
          <w:tcPr>
            <w:tcW w:w="1291" w:type="dxa"/>
            <w:vAlign w:val="center"/>
          </w:tcPr>
          <w:p w:rsidR="00DA6F6F" w:rsidRDefault="00130D3C">
            <w:pPr>
              <w:jc w:val="right"/>
            </w:pPr>
            <w:r>
              <w:rPr>
                <w:rFonts w:eastAsiaTheme="minorEastAsia"/>
                <w:color w:val="000000" w:themeColor="text1"/>
                <w:szCs w:val="21"/>
              </w:rPr>
              <w:t>239.99%</w:t>
            </w:r>
          </w:p>
        </w:tc>
        <w:tc>
          <w:tcPr>
            <w:tcW w:w="1291" w:type="dxa"/>
            <w:vAlign w:val="center"/>
          </w:tcPr>
          <w:p w:rsidR="00DA6F6F" w:rsidRDefault="00130D3C">
            <w:pPr>
              <w:jc w:val="right"/>
            </w:pPr>
            <w:r>
              <w:rPr>
                <w:rFonts w:eastAsiaTheme="minorEastAsia"/>
                <w:color w:val="000000" w:themeColor="text1"/>
                <w:szCs w:val="21"/>
              </w:rPr>
              <w:t>1.80%</w:t>
            </w:r>
          </w:p>
        </w:tc>
        <w:tc>
          <w:tcPr>
            <w:tcW w:w="1291" w:type="dxa"/>
            <w:vAlign w:val="center"/>
          </w:tcPr>
          <w:p w:rsidR="00DA6F6F" w:rsidRDefault="00130D3C">
            <w:pPr>
              <w:jc w:val="right"/>
            </w:pPr>
            <w:r>
              <w:rPr>
                <w:rFonts w:eastAsiaTheme="minorEastAsia"/>
                <w:color w:val="000000" w:themeColor="text1"/>
                <w:szCs w:val="21"/>
              </w:rPr>
              <w:t>99.75%</w:t>
            </w:r>
          </w:p>
        </w:tc>
        <w:tc>
          <w:tcPr>
            <w:tcW w:w="1291" w:type="dxa"/>
            <w:vAlign w:val="center"/>
          </w:tcPr>
          <w:p w:rsidR="00DA6F6F" w:rsidRDefault="00130D3C">
            <w:pPr>
              <w:jc w:val="right"/>
            </w:pPr>
            <w:r>
              <w:rPr>
                <w:rFonts w:eastAsiaTheme="minorEastAsia"/>
                <w:color w:val="000000" w:themeColor="text1"/>
                <w:szCs w:val="21"/>
              </w:rPr>
              <w:t>1.16%</w:t>
            </w:r>
          </w:p>
        </w:tc>
        <w:tc>
          <w:tcPr>
            <w:tcW w:w="1291" w:type="dxa"/>
            <w:vAlign w:val="center"/>
          </w:tcPr>
          <w:p w:rsidR="00DA6F6F" w:rsidRDefault="00130D3C">
            <w:pPr>
              <w:jc w:val="right"/>
            </w:pPr>
            <w:r>
              <w:rPr>
                <w:rFonts w:eastAsiaTheme="minorEastAsia"/>
                <w:color w:val="000000" w:themeColor="text1"/>
                <w:szCs w:val="21"/>
              </w:rPr>
              <w:t>140.24%</w:t>
            </w:r>
          </w:p>
        </w:tc>
        <w:tc>
          <w:tcPr>
            <w:tcW w:w="1291" w:type="dxa"/>
            <w:vAlign w:val="center"/>
          </w:tcPr>
          <w:p w:rsidR="00DA6F6F" w:rsidRDefault="00130D3C">
            <w:pPr>
              <w:jc w:val="right"/>
            </w:pPr>
            <w:r>
              <w:rPr>
                <w:rFonts w:eastAsiaTheme="minorEastAsia"/>
                <w:color w:val="000000" w:themeColor="text1"/>
                <w:szCs w:val="21"/>
              </w:rPr>
              <w:t>0.64%</w:t>
            </w:r>
          </w:p>
        </w:tc>
      </w:tr>
      <w:tr w:rsidR="00DA6F6F">
        <w:tc>
          <w:tcPr>
            <w:tcW w:w="1290" w:type="dxa"/>
            <w:vAlign w:val="center"/>
          </w:tcPr>
          <w:p w:rsidR="00DA6F6F" w:rsidRDefault="00130D3C">
            <w:pPr>
              <w:jc w:val="left"/>
            </w:pPr>
            <w:r>
              <w:rPr>
                <w:rFonts w:eastAsiaTheme="minorEastAsia"/>
                <w:color w:val="000000" w:themeColor="text1"/>
                <w:szCs w:val="21"/>
              </w:rPr>
              <w:t>自基金合同生效起至今</w:t>
            </w:r>
          </w:p>
        </w:tc>
        <w:tc>
          <w:tcPr>
            <w:tcW w:w="1291" w:type="dxa"/>
            <w:vAlign w:val="center"/>
          </w:tcPr>
          <w:p w:rsidR="00DA6F6F" w:rsidRDefault="00130D3C">
            <w:pPr>
              <w:jc w:val="right"/>
            </w:pPr>
            <w:r>
              <w:rPr>
                <w:rFonts w:eastAsiaTheme="minorEastAsia"/>
                <w:color w:val="000000" w:themeColor="text1"/>
                <w:szCs w:val="21"/>
              </w:rPr>
              <w:t>650.70%</w:t>
            </w:r>
          </w:p>
        </w:tc>
        <w:tc>
          <w:tcPr>
            <w:tcW w:w="1291" w:type="dxa"/>
            <w:vAlign w:val="center"/>
          </w:tcPr>
          <w:p w:rsidR="00DA6F6F" w:rsidRDefault="00130D3C">
            <w:pPr>
              <w:jc w:val="right"/>
            </w:pPr>
            <w:r>
              <w:rPr>
                <w:rFonts w:eastAsiaTheme="minorEastAsia"/>
                <w:color w:val="000000" w:themeColor="text1"/>
                <w:szCs w:val="21"/>
              </w:rPr>
              <w:t>1.86%</w:t>
            </w:r>
          </w:p>
        </w:tc>
        <w:tc>
          <w:tcPr>
            <w:tcW w:w="1291" w:type="dxa"/>
            <w:vAlign w:val="center"/>
          </w:tcPr>
          <w:p w:rsidR="00DA6F6F" w:rsidRDefault="00130D3C">
            <w:pPr>
              <w:jc w:val="right"/>
            </w:pPr>
            <w:r>
              <w:rPr>
                <w:rFonts w:eastAsiaTheme="minorEastAsia"/>
                <w:color w:val="000000" w:themeColor="text1"/>
                <w:szCs w:val="21"/>
              </w:rPr>
              <w:t>118.97%</w:t>
            </w:r>
          </w:p>
        </w:tc>
        <w:tc>
          <w:tcPr>
            <w:tcW w:w="1291" w:type="dxa"/>
            <w:vAlign w:val="center"/>
          </w:tcPr>
          <w:p w:rsidR="00DA6F6F" w:rsidRDefault="00130D3C">
            <w:pPr>
              <w:jc w:val="right"/>
            </w:pPr>
            <w:r>
              <w:rPr>
                <w:rFonts w:eastAsiaTheme="minorEastAsia"/>
                <w:color w:val="000000" w:themeColor="text1"/>
                <w:szCs w:val="21"/>
              </w:rPr>
              <w:t>1.24%</w:t>
            </w:r>
          </w:p>
        </w:tc>
        <w:tc>
          <w:tcPr>
            <w:tcW w:w="1291" w:type="dxa"/>
            <w:vAlign w:val="center"/>
          </w:tcPr>
          <w:p w:rsidR="00DA6F6F" w:rsidRDefault="00130D3C">
            <w:pPr>
              <w:jc w:val="right"/>
            </w:pPr>
            <w:r>
              <w:rPr>
                <w:rFonts w:eastAsiaTheme="minorEastAsia"/>
                <w:color w:val="000000" w:themeColor="text1"/>
                <w:szCs w:val="21"/>
              </w:rPr>
              <w:t>531.73%</w:t>
            </w:r>
          </w:p>
        </w:tc>
        <w:tc>
          <w:tcPr>
            <w:tcW w:w="1291" w:type="dxa"/>
            <w:vAlign w:val="center"/>
          </w:tcPr>
          <w:p w:rsidR="00DA6F6F" w:rsidRDefault="00130D3C">
            <w:pPr>
              <w:jc w:val="right"/>
            </w:pPr>
            <w:r>
              <w:rPr>
                <w:rFonts w:eastAsiaTheme="minorEastAsia"/>
                <w:color w:val="000000" w:themeColor="text1"/>
                <w:szCs w:val="21"/>
              </w:rPr>
              <w:t>0.62%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上投摩根新兴动力混合</w:t>
      </w:r>
      <w:r w:rsidRPr="00B27A29">
        <w:rPr>
          <w:rFonts w:eastAsiaTheme="minorEastAsia"/>
          <w:b/>
          <w:color w:val="000000" w:themeColor="text1"/>
          <w:kern w:val="0"/>
          <w:szCs w:val="21"/>
        </w:rPr>
        <w:t>H</w:t>
      </w:r>
      <w:r w:rsidRPr="00B27A29">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6F6F">
        <w:tc>
          <w:tcPr>
            <w:tcW w:w="1290" w:type="dxa"/>
            <w:vAlign w:val="center"/>
          </w:tcPr>
          <w:p w:rsidR="00DA6F6F" w:rsidRDefault="00130D3C">
            <w:pPr>
              <w:jc w:val="left"/>
            </w:pPr>
            <w:r>
              <w:rPr>
                <w:rFonts w:eastAsiaTheme="minorEastAsia"/>
                <w:color w:val="000000" w:themeColor="text1"/>
                <w:szCs w:val="21"/>
              </w:rPr>
              <w:t>过去三个月</w:t>
            </w:r>
          </w:p>
        </w:tc>
        <w:tc>
          <w:tcPr>
            <w:tcW w:w="1291" w:type="dxa"/>
            <w:vAlign w:val="center"/>
          </w:tcPr>
          <w:p w:rsidR="00DA6F6F" w:rsidRDefault="00130D3C">
            <w:pPr>
              <w:jc w:val="right"/>
            </w:pPr>
            <w:r>
              <w:rPr>
                <w:rFonts w:eastAsiaTheme="minorEastAsia"/>
                <w:color w:val="000000" w:themeColor="text1"/>
                <w:szCs w:val="21"/>
              </w:rPr>
              <w:t>11.09%</w:t>
            </w:r>
          </w:p>
        </w:tc>
        <w:tc>
          <w:tcPr>
            <w:tcW w:w="1291" w:type="dxa"/>
            <w:vAlign w:val="center"/>
          </w:tcPr>
          <w:p w:rsidR="00DA6F6F" w:rsidRDefault="00130D3C">
            <w:pPr>
              <w:jc w:val="right"/>
            </w:pPr>
            <w:r>
              <w:rPr>
                <w:rFonts w:eastAsiaTheme="minorEastAsia"/>
                <w:color w:val="000000" w:themeColor="text1"/>
                <w:szCs w:val="21"/>
              </w:rPr>
              <w:t>2.44%</w:t>
            </w:r>
          </w:p>
        </w:tc>
        <w:tc>
          <w:tcPr>
            <w:tcW w:w="1291" w:type="dxa"/>
            <w:vAlign w:val="center"/>
          </w:tcPr>
          <w:p w:rsidR="00DA6F6F" w:rsidRDefault="00130D3C">
            <w:pPr>
              <w:jc w:val="right"/>
            </w:pPr>
            <w:r>
              <w:rPr>
                <w:rFonts w:eastAsiaTheme="minorEastAsia"/>
                <w:color w:val="000000" w:themeColor="text1"/>
                <w:szCs w:val="21"/>
              </w:rPr>
              <w:t>-6.68%</w:t>
            </w:r>
          </w:p>
        </w:tc>
        <w:tc>
          <w:tcPr>
            <w:tcW w:w="1291" w:type="dxa"/>
            <w:vAlign w:val="center"/>
          </w:tcPr>
          <w:p w:rsidR="00DA6F6F" w:rsidRDefault="00130D3C">
            <w:pPr>
              <w:jc w:val="right"/>
            </w:pPr>
            <w:r>
              <w:rPr>
                <w:rFonts w:eastAsiaTheme="minorEastAsia"/>
                <w:color w:val="000000" w:themeColor="text1"/>
                <w:szCs w:val="21"/>
              </w:rPr>
              <w:t>1.40%</w:t>
            </w:r>
          </w:p>
        </w:tc>
        <w:tc>
          <w:tcPr>
            <w:tcW w:w="1291" w:type="dxa"/>
            <w:vAlign w:val="center"/>
          </w:tcPr>
          <w:p w:rsidR="00DA6F6F" w:rsidRDefault="00130D3C">
            <w:pPr>
              <w:jc w:val="right"/>
            </w:pPr>
            <w:r>
              <w:rPr>
                <w:rFonts w:eastAsiaTheme="minorEastAsia"/>
                <w:color w:val="000000" w:themeColor="text1"/>
                <w:szCs w:val="21"/>
              </w:rPr>
              <w:t>17.77%</w:t>
            </w:r>
          </w:p>
        </w:tc>
        <w:tc>
          <w:tcPr>
            <w:tcW w:w="1291" w:type="dxa"/>
            <w:vAlign w:val="center"/>
          </w:tcPr>
          <w:p w:rsidR="00DA6F6F" w:rsidRDefault="00130D3C">
            <w:pPr>
              <w:jc w:val="right"/>
            </w:pPr>
            <w:r>
              <w:rPr>
                <w:rFonts w:eastAsiaTheme="minorEastAsia"/>
                <w:color w:val="000000" w:themeColor="text1"/>
                <w:szCs w:val="21"/>
              </w:rPr>
              <w:t>1.04%</w:t>
            </w:r>
          </w:p>
        </w:tc>
      </w:tr>
      <w:tr w:rsidR="00DA6F6F">
        <w:tc>
          <w:tcPr>
            <w:tcW w:w="1290" w:type="dxa"/>
            <w:vAlign w:val="center"/>
          </w:tcPr>
          <w:p w:rsidR="00DA6F6F" w:rsidRDefault="00130D3C">
            <w:pPr>
              <w:jc w:val="left"/>
            </w:pPr>
            <w:r>
              <w:rPr>
                <w:rFonts w:eastAsiaTheme="minorEastAsia"/>
                <w:color w:val="000000" w:themeColor="text1"/>
                <w:szCs w:val="21"/>
              </w:rPr>
              <w:t>过去六个月</w:t>
            </w:r>
          </w:p>
        </w:tc>
        <w:tc>
          <w:tcPr>
            <w:tcW w:w="1291" w:type="dxa"/>
            <w:vAlign w:val="center"/>
          </w:tcPr>
          <w:p w:rsidR="00DA6F6F" w:rsidRDefault="00130D3C">
            <w:pPr>
              <w:jc w:val="right"/>
            </w:pPr>
            <w:r>
              <w:rPr>
                <w:rFonts w:eastAsiaTheme="minorEastAsia"/>
                <w:color w:val="000000" w:themeColor="text1"/>
                <w:szCs w:val="21"/>
              </w:rPr>
              <w:t>31.31%</w:t>
            </w:r>
          </w:p>
        </w:tc>
        <w:tc>
          <w:tcPr>
            <w:tcW w:w="1291" w:type="dxa"/>
            <w:vAlign w:val="center"/>
          </w:tcPr>
          <w:p w:rsidR="00DA6F6F" w:rsidRDefault="00130D3C">
            <w:pPr>
              <w:jc w:val="right"/>
            </w:pPr>
            <w:r>
              <w:rPr>
                <w:rFonts w:eastAsiaTheme="minorEastAsia"/>
                <w:color w:val="000000" w:themeColor="text1"/>
                <w:szCs w:val="21"/>
              </w:rPr>
              <w:t>2.08%</w:t>
            </w:r>
          </w:p>
        </w:tc>
        <w:tc>
          <w:tcPr>
            <w:tcW w:w="1291" w:type="dxa"/>
            <w:vAlign w:val="center"/>
          </w:tcPr>
          <w:p w:rsidR="00DA6F6F" w:rsidRDefault="00130D3C">
            <w:pPr>
              <w:jc w:val="right"/>
            </w:pPr>
            <w:r>
              <w:rPr>
                <w:rFonts w:eastAsiaTheme="minorEastAsia"/>
                <w:color w:val="000000" w:themeColor="text1"/>
                <w:szCs w:val="21"/>
              </w:rPr>
              <w:t>8.92%</w:t>
            </w:r>
          </w:p>
        </w:tc>
        <w:tc>
          <w:tcPr>
            <w:tcW w:w="1291" w:type="dxa"/>
            <w:vAlign w:val="center"/>
          </w:tcPr>
          <w:p w:rsidR="00DA6F6F" w:rsidRDefault="00130D3C">
            <w:pPr>
              <w:jc w:val="right"/>
            </w:pPr>
            <w:r>
              <w:rPr>
                <w:rFonts w:eastAsiaTheme="minorEastAsia"/>
                <w:color w:val="000000" w:themeColor="text1"/>
                <w:szCs w:val="21"/>
              </w:rPr>
              <w:t>1.35%</w:t>
            </w:r>
          </w:p>
        </w:tc>
        <w:tc>
          <w:tcPr>
            <w:tcW w:w="1291" w:type="dxa"/>
            <w:vAlign w:val="center"/>
          </w:tcPr>
          <w:p w:rsidR="00DA6F6F" w:rsidRDefault="00130D3C">
            <w:pPr>
              <w:jc w:val="right"/>
            </w:pPr>
            <w:r>
              <w:rPr>
                <w:rFonts w:eastAsiaTheme="minorEastAsia"/>
                <w:color w:val="000000" w:themeColor="text1"/>
                <w:szCs w:val="21"/>
              </w:rPr>
              <w:t>22.39%</w:t>
            </w:r>
          </w:p>
        </w:tc>
        <w:tc>
          <w:tcPr>
            <w:tcW w:w="1291" w:type="dxa"/>
            <w:vAlign w:val="center"/>
          </w:tcPr>
          <w:p w:rsidR="00DA6F6F" w:rsidRDefault="00130D3C">
            <w:pPr>
              <w:jc w:val="right"/>
            </w:pPr>
            <w:r>
              <w:rPr>
                <w:rFonts w:eastAsiaTheme="minorEastAsia"/>
                <w:color w:val="000000" w:themeColor="text1"/>
                <w:szCs w:val="21"/>
              </w:rPr>
              <w:t>0.73%</w:t>
            </w:r>
          </w:p>
        </w:tc>
      </w:tr>
      <w:tr w:rsidR="00DA6F6F">
        <w:tc>
          <w:tcPr>
            <w:tcW w:w="1290" w:type="dxa"/>
            <w:vAlign w:val="center"/>
          </w:tcPr>
          <w:p w:rsidR="00DA6F6F" w:rsidRDefault="00130D3C">
            <w:pPr>
              <w:jc w:val="left"/>
            </w:pPr>
            <w:r>
              <w:rPr>
                <w:rFonts w:eastAsiaTheme="minorEastAsia"/>
                <w:color w:val="000000" w:themeColor="text1"/>
                <w:szCs w:val="21"/>
              </w:rPr>
              <w:t>过去一年</w:t>
            </w:r>
          </w:p>
        </w:tc>
        <w:tc>
          <w:tcPr>
            <w:tcW w:w="1291" w:type="dxa"/>
            <w:vAlign w:val="center"/>
          </w:tcPr>
          <w:p w:rsidR="00DA6F6F" w:rsidRDefault="00130D3C">
            <w:pPr>
              <w:jc w:val="right"/>
            </w:pPr>
            <w:r>
              <w:rPr>
                <w:rFonts w:eastAsiaTheme="minorEastAsia"/>
                <w:color w:val="000000" w:themeColor="text1"/>
                <w:szCs w:val="21"/>
              </w:rPr>
              <w:t>50.57%</w:t>
            </w:r>
          </w:p>
        </w:tc>
        <w:tc>
          <w:tcPr>
            <w:tcW w:w="1291" w:type="dxa"/>
            <w:vAlign w:val="center"/>
          </w:tcPr>
          <w:p w:rsidR="00DA6F6F" w:rsidRDefault="00130D3C">
            <w:pPr>
              <w:jc w:val="right"/>
            </w:pPr>
            <w:r>
              <w:rPr>
                <w:rFonts w:eastAsiaTheme="minorEastAsia"/>
                <w:color w:val="000000" w:themeColor="text1"/>
                <w:szCs w:val="21"/>
              </w:rPr>
              <w:t>2.11%</w:t>
            </w:r>
          </w:p>
        </w:tc>
        <w:tc>
          <w:tcPr>
            <w:tcW w:w="1291" w:type="dxa"/>
            <w:vAlign w:val="center"/>
          </w:tcPr>
          <w:p w:rsidR="00DA6F6F" w:rsidRDefault="00130D3C">
            <w:pPr>
              <w:jc w:val="right"/>
            </w:pPr>
            <w:r>
              <w:rPr>
                <w:rFonts w:eastAsiaTheme="minorEastAsia"/>
                <w:color w:val="000000" w:themeColor="text1"/>
                <w:szCs w:val="21"/>
              </w:rPr>
              <w:t>18.24%</w:t>
            </w:r>
          </w:p>
        </w:tc>
        <w:tc>
          <w:tcPr>
            <w:tcW w:w="1291" w:type="dxa"/>
            <w:vAlign w:val="center"/>
          </w:tcPr>
          <w:p w:rsidR="00DA6F6F" w:rsidRDefault="00130D3C">
            <w:pPr>
              <w:jc w:val="right"/>
            </w:pPr>
            <w:r>
              <w:rPr>
                <w:rFonts w:eastAsiaTheme="minorEastAsia"/>
                <w:color w:val="000000" w:themeColor="text1"/>
                <w:szCs w:val="21"/>
              </w:rPr>
              <w:t>1.52%</w:t>
            </w:r>
          </w:p>
        </w:tc>
        <w:tc>
          <w:tcPr>
            <w:tcW w:w="1291" w:type="dxa"/>
            <w:vAlign w:val="center"/>
          </w:tcPr>
          <w:p w:rsidR="00DA6F6F" w:rsidRDefault="00130D3C">
            <w:pPr>
              <w:jc w:val="right"/>
            </w:pPr>
            <w:r>
              <w:rPr>
                <w:rFonts w:eastAsiaTheme="minorEastAsia"/>
                <w:color w:val="000000" w:themeColor="text1"/>
                <w:szCs w:val="21"/>
              </w:rPr>
              <w:t>32.33%</w:t>
            </w:r>
          </w:p>
        </w:tc>
        <w:tc>
          <w:tcPr>
            <w:tcW w:w="1291" w:type="dxa"/>
            <w:vAlign w:val="center"/>
          </w:tcPr>
          <w:p w:rsidR="00DA6F6F" w:rsidRDefault="00130D3C">
            <w:pPr>
              <w:jc w:val="right"/>
            </w:pPr>
            <w:r>
              <w:rPr>
                <w:rFonts w:eastAsiaTheme="minorEastAsia"/>
                <w:color w:val="000000" w:themeColor="text1"/>
                <w:szCs w:val="21"/>
              </w:rPr>
              <w:t>0.59%</w:t>
            </w:r>
          </w:p>
        </w:tc>
      </w:tr>
      <w:tr w:rsidR="00DA6F6F">
        <w:tc>
          <w:tcPr>
            <w:tcW w:w="1290" w:type="dxa"/>
            <w:vAlign w:val="center"/>
          </w:tcPr>
          <w:p w:rsidR="00DA6F6F" w:rsidRDefault="00130D3C">
            <w:pPr>
              <w:jc w:val="left"/>
            </w:pPr>
            <w:r>
              <w:rPr>
                <w:rFonts w:eastAsiaTheme="minorEastAsia"/>
                <w:color w:val="000000" w:themeColor="text1"/>
                <w:szCs w:val="21"/>
              </w:rPr>
              <w:t>过去三年</w:t>
            </w:r>
          </w:p>
        </w:tc>
        <w:tc>
          <w:tcPr>
            <w:tcW w:w="1291" w:type="dxa"/>
            <w:vAlign w:val="center"/>
          </w:tcPr>
          <w:p w:rsidR="00DA6F6F" w:rsidRDefault="00130D3C">
            <w:pPr>
              <w:jc w:val="right"/>
            </w:pPr>
            <w:r>
              <w:rPr>
                <w:rFonts w:eastAsiaTheme="minorEastAsia"/>
                <w:color w:val="000000" w:themeColor="text1"/>
                <w:szCs w:val="21"/>
              </w:rPr>
              <w:t>243.40%</w:t>
            </w:r>
          </w:p>
        </w:tc>
        <w:tc>
          <w:tcPr>
            <w:tcW w:w="1291" w:type="dxa"/>
            <w:vAlign w:val="center"/>
          </w:tcPr>
          <w:p w:rsidR="00DA6F6F" w:rsidRDefault="00130D3C">
            <w:pPr>
              <w:jc w:val="right"/>
            </w:pPr>
            <w:r>
              <w:rPr>
                <w:rFonts w:eastAsiaTheme="minorEastAsia"/>
                <w:color w:val="000000" w:themeColor="text1"/>
                <w:szCs w:val="21"/>
              </w:rPr>
              <w:t>1.95%</w:t>
            </w:r>
          </w:p>
        </w:tc>
        <w:tc>
          <w:tcPr>
            <w:tcW w:w="1291" w:type="dxa"/>
            <w:vAlign w:val="center"/>
          </w:tcPr>
          <w:p w:rsidR="00DA6F6F" w:rsidRDefault="00130D3C">
            <w:pPr>
              <w:jc w:val="right"/>
            </w:pPr>
            <w:r>
              <w:rPr>
                <w:rFonts w:eastAsiaTheme="minorEastAsia"/>
                <w:color w:val="000000" w:themeColor="text1"/>
                <w:szCs w:val="21"/>
              </w:rPr>
              <w:t>89.36%</w:t>
            </w:r>
          </w:p>
        </w:tc>
        <w:tc>
          <w:tcPr>
            <w:tcW w:w="1291" w:type="dxa"/>
            <w:vAlign w:val="center"/>
          </w:tcPr>
          <w:p w:rsidR="00DA6F6F" w:rsidRDefault="00130D3C">
            <w:pPr>
              <w:jc w:val="right"/>
            </w:pPr>
            <w:r>
              <w:rPr>
                <w:rFonts w:eastAsiaTheme="minorEastAsia"/>
                <w:color w:val="000000" w:themeColor="text1"/>
                <w:szCs w:val="21"/>
              </w:rPr>
              <w:t>1.38%</w:t>
            </w:r>
          </w:p>
        </w:tc>
        <w:tc>
          <w:tcPr>
            <w:tcW w:w="1291" w:type="dxa"/>
            <w:vAlign w:val="center"/>
          </w:tcPr>
          <w:p w:rsidR="00DA6F6F" w:rsidRDefault="00130D3C">
            <w:pPr>
              <w:jc w:val="right"/>
            </w:pPr>
            <w:r>
              <w:rPr>
                <w:rFonts w:eastAsiaTheme="minorEastAsia"/>
                <w:color w:val="000000" w:themeColor="text1"/>
                <w:szCs w:val="21"/>
              </w:rPr>
              <w:t>154.04%</w:t>
            </w:r>
          </w:p>
        </w:tc>
        <w:tc>
          <w:tcPr>
            <w:tcW w:w="1291" w:type="dxa"/>
            <w:vAlign w:val="center"/>
          </w:tcPr>
          <w:p w:rsidR="00DA6F6F" w:rsidRDefault="00130D3C">
            <w:pPr>
              <w:jc w:val="right"/>
            </w:pPr>
            <w:r>
              <w:rPr>
                <w:rFonts w:eastAsiaTheme="minorEastAsia"/>
                <w:color w:val="000000" w:themeColor="text1"/>
                <w:szCs w:val="21"/>
              </w:rPr>
              <w:t>0.57%</w:t>
            </w:r>
          </w:p>
        </w:tc>
      </w:tr>
      <w:tr w:rsidR="00DA6F6F">
        <w:tc>
          <w:tcPr>
            <w:tcW w:w="1290" w:type="dxa"/>
            <w:vAlign w:val="center"/>
          </w:tcPr>
          <w:p w:rsidR="00DA6F6F" w:rsidRDefault="00130D3C">
            <w:pPr>
              <w:jc w:val="left"/>
            </w:pPr>
            <w:r>
              <w:rPr>
                <w:rFonts w:eastAsiaTheme="minorEastAsia"/>
                <w:color w:val="000000" w:themeColor="text1"/>
                <w:szCs w:val="21"/>
              </w:rPr>
              <w:t>过去五年</w:t>
            </w:r>
          </w:p>
        </w:tc>
        <w:tc>
          <w:tcPr>
            <w:tcW w:w="1291" w:type="dxa"/>
            <w:vAlign w:val="center"/>
          </w:tcPr>
          <w:p w:rsidR="00DA6F6F" w:rsidRDefault="00130D3C">
            <w:pPr>
              <w:jc w:val="right"/>
            </w:pPr>
            <w:r>
              <w:rPr>
                <w:rFonts w:eastAsiaTheme="minorEastAsia"/>
                <w:color w:val="000000" w:themeColor="text1"/>
                <w:szCs w:val="21"/>
              </w:rPr>
              <w:t>240.30%</w:t>
            </w:r>
          </w:p>
        </w:tc>
        <w:tc>
          <w:tcPr>
            <w:tcW w:w="1291" w:type="dxa"/>
            <w:vAlign w:val="center"/>
          </w:tcPr>
          <w:p w:rsidR="00DA6F6F" w:rsidRDefault="00130D3C">
            <w:pPr>
              <w:jc w:val="right"/>
            </w:pPr>
            <w:r>
              <w:rPr>
                <w:rFonts w:eastAsiaTheme="minorEastAsia"/>
                <w:color w:val="000000" w:themeColor="text1"/>
                <w:szCs w:val="21"/>
              </w:rPr>
              <w:t>1.80%</w:t>
            </w:r>
          </w:p>
        </w:tc>
        <w:tc>
          <w:tcPr>
            <w:tcW w:w="1291" w:type="dxa"/>
            <w:vAlign w:val="center"/>
          </w:tcPr>
          <w:p w:rsidR="00DA6F6F" w:rsidRDefault="00130D3C">
            <w:pPr>
              <w:jc w:val="right"/>
            </w:pPr>
            <w:r>
              <w:rPr>
                <w:rFonts w:eastAsiaTheme="minorEastAsia"/>
                <w:color w:val="000000" w:themeColor="text1"/>
                <w:szCs w:val="21"/>
              </w:rPr>
              <w:t>99.75%</w:t>
            </w:r>
          </w:p>
        </w:tc>
        <w:tc>
          <w:tcPr>
            <w:tcW w:w="1291" w:type="dxa"/>
            <w:vAlign w:val="center"/>
          </w:tcPr>
          <w:p w:rsidR="00DA6F6F" w:rsidRDefault="00130D3C">
            <w:pPr>
              <w:jc w:val="right"/>
            </w:pPr>
            <w:r>
              <w:rPr>
                <w:rFonts w:eastAsiaTheme="minorEastAsia"/>
                <w:color w:val="000000" w:themeColor="text1"/>
                <w:szCs w:val="21"/>
              </w:rPr>
              <w:t>1.16%</w:t>
            </w:r>
          </w:p>
        </w:tc>
        <w:tc>
          <w:tcPr>
            <w:tcW w:w="1291" w:type="dxa"/>
            <w:vAlign w:val="center"/>
          </w:tcPr>
          <w:p w:rsidR="00DA6F6F" w:rsidRDefault="00130D3C">
            <w:pPr>
              <w:jc w:val="right"/>
            </w:pPr>
            <w:r>
              <w:rPr>
                <w:rFonts w:eastAsiaTheme="minorEastAsia"/>
                <w:color w:val="000000" w:themeColor="text1"/>
                <w:szCs w:val="21"/>
              </w:rPr>
              <w:t>140.55%</w:t>
            </w:r>
          </w:p>
        </w:tc>
        <w:tc>
          <w:tcPr>
            <w:tcW w:w="1291" w:type="dxa"/>
            <w:vAlign w:val="center"/>
          </w:tcPr>
          <w:p w:rsidR="00DA6F6F" w:rsidRDefault="00130D3C">
            <w:pPr>
              <w:jc w:val="right"/>
            </w:pPr>
            <w:r>
              <w:rPr>
                <w:rFonts w:eastAsiaTheme="minorEastAsia"/>
                <w:color w:val="000000" w:themeColor="text1"/>
                <w:szCs w:val="21"/>
              </w:rPr>
              <w:t>0.64%</w:t>
            </w:r>
          </w:p>
        </w:tc>
      </w:tr>
      <w:tr w:rsidR="00DA6F6F">
        <w:tc>
          <w:tcPr>
            <w:tcW w:w="1290" w:type="dxa"/>
            <w:vAlign w:val="center"/>
          </w:tcPr>
          <w:p w:rsidR="00DA6F6F" w:rsidRDefault="00130D3C">
            <w:pPr>
              <w:jc w:val="left"/>
            </w:pPr>
            <w:r>
              <w:rPr>
                <w:rFonts w:eastAsiaTheme="minorEastAsia"/>
                <w:color w:val="000000" w:themeColor="text1"/>
                <w:szCs w:val="21"/>
              </w:rPr>
              <w:t>自基金合同生效起至今</w:t>
            </w:r>
          </w:p>
        </w:tc>
        <w:tc>
          <w:tcPr>
            <w:tcW w:w="1291" w:type="dxa"/>
            <w:vAlign w:val="center"/>
          </w:tcPr>
          <w:p w:rsidR="00DA6F6F" w:rsidRDefault="00130D3C">
            <w:pPr>
              <w:jc w:val="right"/>
            </w:pPr>
            <w:r>
              <w:rPr>
                <w:rFonts w:eastAsiaTheme="minorEastAsia"/>
                <w:color w:val="000000" w:themeColor="text1"/>
                <w:szCs w:val="21"/>
              </w:rPr>
              <w:t>268.46%</w:t>
            </w:r>
          </w:p>
        </w:tc>
        <w:tc>
          <w:tcPr>
            <w:tcW w:w="1291" w:type="dxa"/>
            <w:vAlign w:val="center"/>
          </w:tcPr>
          <w:p w:rsidR="00DA6F6F" w:rsidRDefault="00130D3C">
            <w:pPr>
              <w:jc w:val="right"/>
            </w:pPr>
            <w:r>
              <w:rPr>
                <w:rFonts w:eastAsiaTheme="minorEastAsia"/>
                <w:color w:val="000000" w:themeColor="text1"/>
                <w:szCs w:val="21"/>
              </w:rPr>
              <w:t>1.83%</w:t>
            </w:r>
          </w:p>
        </w:tc>
        <w:tc>
          <w:tcPr>
            <w:tcW w:w="1291" w:type="dxa"/>
            <w:vAlign w:val="center"/>
          </w:tcPr>
          <w:p w:rsidR="00DA6F6F" w:rsidRDefault="00130D3C">
            <w:pPr>
              <w:jc w:val="right"/>
            </w:pPr>
            <w:r>
              <w:rPr>
                <w:rFonts w:eastAsiaTheme="minorEastAsia"/>
                <w:color w:val="000000" w:themeColor="text1"/>
                <w:szCs w:val="21"/>
              </w:rPr>
              <w:t>107.30%</w:t>
            </w:r>
          </w:p>
        </w:tc>
        <w:tc>
          <w:tcPr>
            <w:tcW w:w="1291" w:type="dxa"/>
            <w:vAlign w:val="center"/>
          </w:tcPr>
          <w:p w:rsidR="00DA6F6F" w:rsidRDefault="00130D3C">
            <w:pPr>
              <w:jc w:val="right"/>
            </w:pPr>
            <w:r>
              <w:rPr>
                <w:rFonts w:eastAsiaTheme="minorEastAsia"/>
                <w:color w:val="000000" w:themeColor="text1"/>
                <w:szCs w:val="21"/>
              </w:rPr>
              <w:t>1.15%</w:t>
            </w:r>
          </w:p>
        </w:tc>
        <w:tc>
          <w:tcPr>
            <w:tcW w:w="1291" w:type="dxa"/>
            <w:vAlign w:val="center"/>
          </w:tcPr>
          <w:p w:rsidR="00DA6F6F" w:rsidRDefault="00130D3C">
            <w:pPr>
              <w:jc w:val="right"/>
            </w:pPr>
            <w:r>
              <w:rPr>
                <w:rFonts w:eastAsiaTheme="minorEastAsia"/>
                <w:color w:val="000000" w:themeColor="text1"/>
                <w:szCs w:val="21"/>
              </w:rPr>
              <w:t>161.16%</w:t>
            </w:r>
          </w:p>
        </w:tc>
        <w:tc>
          <w:tcPr>
            <w:tcW w:w="1291" w:type="dxa"/>
            <w:vAlign w:val="center"/>
          </w:tcPr>
          <w:p w:rsidR="00DA6F6F" w:rsidRDefault="00130D3C">
            <w:pPr>
              <w:jc w:val="right"/>
            </w:pPr>
            <w:r>
              <w:rPr>
                <w:rFonts w:eastAsiaTheme="minorEastAsia"/>
                <w:color w:val="000000" w:themeColor="text1"/>
                <w:szCs w:val="21"/>
              </w:rPr>
              <w:t>0.68%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上投摩根新兴动力混合型证券投资基金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．上投摩根新兴动力混合</w:t>
      </w:r>
      <w:r w:rsidRPr="00B27A29">
        <w:rPr>
          <w:rFonts w:eastAsiaTheme="minorEastAsia"/>
          <w:color w:val="000000" w:themeColor="text1"/>
          <w:szCs w:val="21"/>
        </w:rPr>
        <w:t>A</w:t>
      </w:r>
      <w:r w:rsidRPr="00B27A29">
        <w:rPr>
          <w:rFonts w:eastAsiaTheme="minorEastAsia"/>
          <w:color w:val="000000" w:themeColor="text1"/>
          <w:szCs w:val="21"/>
        </w:rPr>
        <w:t>类：</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2020</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日起，业绩比较基准自</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上证国债指数收益率</w:t>
      </w:r>
      <w:r w:rsidRPr="00B27A29">
        <w:rPr>
          <w:rFonts w:eastAsiaTheme="minorEastAsia"/>
          <w:color w:val="000000" w:themeColor="text1"/>
          <w:szCs w:val="21"/>
        </w:rPr>
        <w:t>*20%”</w:t>
      </w:r>
      <w:r w:rsidRPr="00B27A29">
        <w:rPr>
          <w:rFonts w:eastAsiaTheme="minorEastAsia"/>
          <w:color w:val="000000" w:themeColor="text1"/>
          <w:szCs w:val="21"/>
        </w:rPr>
        <w:t>修改为</w:t>
      </w:r>
      <w:r w:rsidRPr="00B27A29">
        <w:rPr>
          <w:rFonts w:eastAsiaTheme="minorEastAsia"/>
          <w:color w:val="000000" w:themeColor="text1"/>
          <w:szCs w:val="21"/>
        </w:rPr>
        <w:t>“</w:t>
      </w:r>
      <w:r w:rsidRPr="00B27A29">
        <w:rPr>
          <w:rFonts w:eastAsiaTheme="minorEastAsia"/>
          <w:color w:val="000000" w:themeColor="text1"/>
          <w:szCs w:val="21"/>
        </w:rPr>
        <w:t>中国战略新兴产业成份指数收益率</w:t>
      </w:r>
      <w:r w:rsidRPr="00B27A29">
        <w:rPr>
          <w:rFonts w:eastAsiaTheme="minorEastAsia"/>
          <w:color w:val="000000" w:themeColor="text1"/>
          <w:szCs w:val="21"/>
        </w:rPr>
        <w:t>*85%+</w:t>
      </w:r>
      <w:r w:rsidRPr="00B27A29">
        <w:rPr>
          <w:rFonts w:eastAsiaTheme="minorEastAsia"/>
          <w:color w:val="000000" w:themeColor="text1"/>
          <w:szCs w:val="21"/>
        </w:rPr>
        <w:t>上证国债指数收益率</w:t>
      </w:r>
      <w:r w:rsidRPr="00B27A29">
        <w:rPr>
          <w:rFonts w:eastAsiaTheme="minorEastAsia"/>
          <w:color w:val="000000" w:themeColor="text1"/>
          <w:szCs w:val="21"/>
        </w:rPr>
        <w:t>*15%”</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．上投摩根新兴动力混合</w:t>
      </w:r>
      <w:r w:rsidRPr="00B27A29">
        <w:rPr>
          <w:rFonts w:eastAsiaTheme="minorEastAsia"/>
          <w:color w:val="000000" w:themeColor="text1"/>
          <w:szCs w:val="21"/>
        </w:rPr>
        <w:t>H</w:t>
      </w:r>
      <w:r w:rsidRPr="00B27A29">
        <w:rPr>
          <w:rFonts w:eastAsiaTheme="minorEastAsia"/>
          <w:color w:val="000000" w:themeColor="text1"/>
          <w:szCs w:val="21"/>
        </w:rPr>
        <w:t>类：</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2020</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日起，业绩比较基准自</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上证国债指数收益率</w:t>
      </w:r>
      <w:r w:rsidRPr="00B27A29">
        <w:rPr>
          <w:rFonts w:eastAsiaTheme="minorEastAsia"/>
          <w:color w:val="000000" w:themeColor="text1"/>
          <w:szCs w:val="21"/>
        </w:rPr>
        <w:t>*20%”</w:t>
      </w:r>
      <w:r w:rsidRPr="00B27A29">
        <w:rPr>
          <w:rFonts w:eastAsiaTheme="minorEastAsia"/>
          <w:color w:val="000000" w:themeColor="text1"/>
          <w:szCs w:val="21"/>
        </w:rPr>
        <w:t>修改为</w:t>
      </w:r>
      <w:r w:rsidRPr="00B27A29">
        <w:rPr>
          <w:rFonts w:eastAsiaTheme="minorEastAsia"/>
          <w:color w:val="000000" w:themeColor="text1"/>
          <w:szCs w:val="21"/>
        </w:rPr>
        <w:t>“</w:t>
      </w:r>
      <w:r w:rsidRPr="00B27A29">
        <w:rPr>
          <w:rFonts w:eastAsiaTheme="minorEastAsia"/>
          <w:color w:val="000000" w:themeColor="text1"/>
          <w:szCs w:val="21"/>
        </w:rPr>
        <w:t>中国战略新兴产业成份指数收益率</w:t>
      </w:r>
      <w:r w:rsidRPr="00B27A29">
        <w:rPr>
          <w:rFonts w:eastAsiaTheme="minorEastAsia"/>
          <w:color w:val="000000" w:themeColor="text1"/>
          <w:szCs w:val="21"/>
        </w:rPr>
        <w:t>*85%+</w:t>
      </w:r>
      <w:r w:rsidRPr="00B27A29">
        <w:rPr>
          <w:rFonts w:eastAsiaTheme="minorEastAsia"/>
          <w:color w:val="000000" w:themeColor="text1"/>
          <w:szCs w:val="21"/>
        </w:rPr>
        <w:t>上证国债指数收益率</w:t>
      </w:r>
      <w:r w:rsidRPr="00B27A29">
        <w:rPr>
          <w:rFonts w:eastAsiaTheme="minorEastAsia"/>
          <w:color w:val="000000" w:themeColor="text1"/>
          <w:szCs w:val="21"/>
        </w:rPr>
        <w:t>*15%”</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A6F6F">
        <w:tc>
          <w:tcPr>
            <w:tcW w:w="952" w:type="dxa"/>
            <w:vAlign w:val="center"/>
          </w:tcPr>
          <w:p w:rsidR="00DA6F6F" w:rsidRDefault="00130D3C">
            <w:pPr>
              <w:jc w:val="center"/>
            </w:pPr>
            <w:r>
              <w:rPr>
                <w:rFonts w:eastAsiaTheme="minorEastAsia"/>
                <w:color w:val="000000" w:themeColor="text1"/>
                <w:szCs w:val="21"/>
              </w:rPr>
              <w:t>杜猛</w:t>
            </w:r>
          </w:p>
        </w:tc>
        <w:tc>
          <w:tcPr>
            <w:tcW w:w="930" w:type="dxa"/>
            <w:vAlign w:val="center"/>
          </w:tcPr>
          <w:p w:rsidR="00DA6F6F" w:rsidRDefault="00130D3C">
            <w:pPr>
              <w:jc w:val="center"/>
            </w:pPr>
            <w:r>
              <w:rPr>
                <w:rFonts w:eastAsiaTheme="minorEastAsia"/>
                <w:color w:val="000000" w:themeColor="text1"/>
                <w:szCs w:val="21"/>
              </w:rPr>
              <w:t>本基金基金经理、副总经理兼投资总监</w:t>
            </w:r>
          </w:p>
        </w:tc>
        <w:tc>
          <w:tcPr>
            <w:tcW w:w="1210" w:type="dxa"/>
            <w:vAlign w:val="center"/>
          </w:tcPr>
          <w:p w:rsidR="00DA6F6F" w:rsidRDefault="00130D3C">
            <w:pPr>
              <w:jc w:val="center"/>
            </w:pPr>
            <w:r>
              <w:rPr>
                <w:rFonts w:eastAsiaTheme="minorEastAsia"/>
                <w:color w:val="000000" w:themeColor="text1"/>
                <w:szCs w:val="21"/>
              </w:rPr>
              <w:t>2011-07-13</w:t>
            </w:r>
          </w:p>
        </w:tc>
        <w:tc>
          <w:tcPr>
            <w:tcW w:w="1309" w:type="dxa"/>
            <w:vAlign w:val="center"/>
          </w:tcPr>
          <w:p w:rsidR="00DA6F6F" w:rsidRDefault="00130D3C">
            <w:pPr>
              <w:jc w:val="center"/>
            </w:pPr>
            <w:r>
              <w:rPr>
                <w:rFonts w:eastAsiaTheme="minorEastAsia"/>
                <w:color w:val="000000" w:themeColor="text1"/>
                <w:szCs w:val="21"/>
              </w:rPr>
              <w:t>-</w:t>
            </w:r>
          </w:p>
        </w:tc>
        <w:tc>
          <w:tcPr>
            <w:tcW w:w="1254" w:type="dxa"/>
            <w:vAlign w:val="center"/>
          </w:tcPr>
          <w:p w:rsidR="00DA6F6F" w:rsidRDefault="00130D3C">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DA6F6F" w:rsidRDefault="00130D3C">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w:t>
            </w:r>
          </w:p>
        </w:tc>
      </w:tr>
    </w:tbl>
    <w:p w:rsidR="00DA6F6F" w:rsidRDefault="00130D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A6F6F" w:rsidRDefault="00130D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年三季度市场处于震荡状态，其中中证</w:t>
      </w:r>
      <w:r>
        <w:rPr>
          <w:rFonts w:eastAsiaTheme="minorEastAsia"/>
          <w:color w:val="000000" w:themeColor="text1"/>
          <w:szCs w:val="21"/>
        </w:rPr>
        <w:t>500</w:t>
      </w:r>
      <w:r>
        <w:rPr>
          <w:rFonts w:eastAsiaTheme="minorEastAsia"/>
          <w:color w:val="000000" w:themeColor="text1"/>
          <w:szCs w:val="21"/>
        </w:rPr>
        <w:t>表现优异，中小市值公司逐渐得到市场关注。在此期间，部分原材料价格大幅上涨，其中有需求推动的原因，也有供给受限的原因，因此引发了市场对于经济滞涨的担忧。但我们认为本轮周期与过往不同，并非是完全的货币现象。本基金基于长期成长的选股逻辑，重点投资了新兴产业中的优质公司，争取为投资者在中长期获得较好的超额收益。</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2021</w:t>
      </w:r>
      <w:r>
        <w:rPr>
          <w:rFonts w:eastAsiaTheme="minorEastAsia"/>
          <w:color w:val="000000" w:themeColor="text1"/>
          <w:szCs w:val="21"/>
        </w:rPr>
        <w:t>年四季度以及</w:t>
      </w:r>
      <w:r>
        <w:rPr>
          <w:rFonts w:eastAsiaTheme="minorEastAsia"/>
          <w:color w:val="000000" w:themeColor="text1"/>
          <w:szCs w:val="21"/>
        </w:rPr>
        <w:t>2022</w:t>
      </w:r>
      <w:r>
        <w:rPr>
          <w:rFonts w:eastAsiaTheme="minorEastAsia"/>
          <w:color w:val="000000" w:themeColor="text1"/>
          <w:szCs w:val="21"/>
        </w:rPr>
        <w:t>年，疫情虽在，但全球的重新联接应该是大趋势，我们可能需要考虑这种因素。虽然可能会面临诸多挑战，但我们要看到经济的韧性，以及部分</w:t>
      </w:r>
      <w:r>
        <w:rPr>
          <w:rFonts w:eastAsiaTheme="minorEastAsia"/>
          <w:color w:val="000000" w:themeColor="text1"/>
          <w:szCs w:val="21"/>
        </w:rPr>
        <w:t>新兴产业成长的趋势。不用过多纠结市场风格的切换或是其他，市场上行的动力来自于上市公司盈利的增长，更主要的是全社会资产配置向权益市场的转移。</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年最后一个季度以及以后的</w:t>
      </w:r>
      <w:r>
        <w:rPr>
          <w:rFonts w:eastAsiaTheme="minorEastAsia"/>
          <w:color w:val="000000" w:themeColor="text1"/>
          <w:szCs w:val="21"/>
        </w:rPr>
        <w:t>2022</w:t>
      </w:r>
      <w:r>
        <w:rPr>
          <w:rFonts w:eastAsiaTheme="minorEastAsia"/>
          <w:color w:val="000000" w:themeColor="text1"/>
          <w:szCs w:val="21"/>
        </w:rPr>
        <w:t>年，甚至更长一段时间，</w:t>
      </w:r>
      <w:r>
        <w:rPr>
          <w:rFonts w:eastAsiaTheme="minorEastAsia"/>
          <w:color w:val="000000" w:themeColor="text1"/>
          <w:szCs w:val="21"/>
        </w:rPr>
        <w:t>A</w:t>
      </w:r>
      <w:r>
        <w:rPr>
          <w:rFonts w:eastAsiaTheme="minorEastAsia"/>
          <w:color w:val="000000" w:themeColor="text1"/>
          <w:szCs w:val="21"/>
        </w:rPr>
        <w:t>股市场是一个回报相对正常的市场，不用过度悲观也无须过度乐观。市场整体估值仍在合理范畴，仍然能寻找到估值和业绩增速匹配的公司进行中长期投资。与此同时，一些新兴行业的成长趋势已经不可阻挡，中国一批优秀公司正在快速崛起并在全球获得主导地位，对此我们充满信心。</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从更长期看，新兴产业的崛起将成为中国未来</w:t>
      </w:r>
      <w:r w:rsidRPr="00B27A29">
        <w:rPr>
          <w:rFonts w:eastAsiaTheme="minorEastAsia"/>
          <w:color w:val="000000" w:themeColor="text1"/>
          <w:szCs w:val="21"/>
        </w:rPr>
        <w:t>10-20</w:t>
      </w:r>
      <w:r w:rsidRPr="00B27A29">
        <w:rPr>
          <w:rFonts w:eastAsiaTheme="minorEastAsia"/>
          <w:color w:val="000000" w:themeColor="text1"/>
          <w:szCs w:val="21"/>
        </w:rPr>
        <w:t>年经济增长的最大动力之一，证券市场最大的投资机会或也将来源于此，我们更看好未来几年科技行业的市场表现。我们将充分深入研究，寻找新兴产业中长期成长的公司，力争为基金持有人创造持续稳定收益。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:11.08%</w:t>
      </w:r>
      <w:r>
        <w:rPr>
          <w:rFonts w:eastAsiaTheme="minorEastAsia"/>
          <w:color w:val="000000" w:themeColor="text1"/>
          <w:szCs w:val="21"/>
        </w:rPr>
        <w:t>，同期业绩比较基准收益率为</w:t>
      </w:r>
      <w:r>
        <w:rPr>
          <w:rFonts w:eastAsiaTheme="minorEastAsia"/>
          <w:color w:val="000000" w:themeColor="text1"/>
          <w:szCs w:val="21"/>
        </w:rPr>
        <w:t>:-6.68%,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H</w:t>
      </w:r>
      <w:r w:rsidRPr="00B27A29">
        <w:rPr>
          <w:rFonts w:eastAsiaTheme="minorEastAsia"/>
          <w:color w:val="000000" w:themeColor="text1"/>
          <w:szCs w:val="21"/>
        </w:rPr>
        <w:t>份额净值增长率为</w:t>
      </w:r>
      <w:r w:rsidRPr="00B27A29">
        <w:rPr>
          <w:rFonts w:eastAsiaTheme="minorEastAsia"/>
          <w:color w:val="000000" w:themeColor="text1"/>
          <w:szCs w:val="21"/>
        </w:rPr>
        <w:t>:11.09%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:-6.68%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6,904,543,588.27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6,904,543,588.27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3,749,175.00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3,749,175.00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511,537,719.77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52,245,337.25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7,472,075,820.29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317,687,114.10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300,646,908.41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6,140,248,072.76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61,680,830.39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7,514,531.79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73,521,554.40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3,157,403.88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39,988.76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47,183.78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6,904,543,588.27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92.83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A6F6F">
        <w:tc>
          <w:tcPr>
            <w:tcW w:w="817" w:type="dxa"/>
            <w:vAlign w:val="center"/>
          </w:tcPr>
          <w:p w:rsidR="00DA6F6F" w:rsidRDefault="00130D3C">
            <w:pPr>
              <w:jc w:val="center"/>
            </w:pPr>
            <w:r>
              <w:rPr>
                <w:rFonts w:eastAsiaTheme="minorEastAsia"/>
                <w:kern w:val="0"/>
                <w:szCs w:val="21"/>
              </w:rPr>
              <w:t>1</w:t>
            </w:r>
          </w:p>
        </w:tc>
        <w:tc>
          <w:tcPr>
            <w:tcW w:w="1276" w:type="dxa"/>
            <w:vAlign w:val="center"/>
          </w:tcPr>
          <w:p w:rsidR="00DA6F6F" w:rsidRDefault="00130D3C">
            <w:pPr>
              <w:jc w:val="center"/>
            </w:pPr>
            <w:r>
              <w:rPr>
                <w:rFonts w:eastAsiaTheme="minorEastAsia"/>
                <w:kern w:val="0"/>
                <w:szCs w:val="21"/>
              </w:rPr>
              <w:t>002236</w:t>
            </w:r>
          </w:p>
        </w:tc>
        <w:tc>
          <w:tcPr>
            <w:tcW w:w="1701" w:type="dxa"/>
            <w:vAlign w:val="center"/>
          </w:tcPr>
          <w:p w:rsidR="00DA6F6F" w:rsidRDefault="00130D3C">
            <w:pPr>
              <w:jc w:val="center"/>
            </w:pPr>
            <w:r>
              <w:rPr>
                <w:rFonts w:eastAsiaTheme="minorEastAsia"/>
                <w:kern w:val="0"/>
                <w:szCs w:val="21"/>
              </w:rPr>
              <w:t>大华股份</w:t>
            </w:r>
          </w:p>
        </w:tc>
        <w:tc>
          <w:tcPr>
            <w:tcW w:w="1276" w:type="dxa"/>
            <w:vAlign w:val="center"/>
          </w:tcPr>
          <w:p w:rsidR="00DA6F6F" w:rsidRDefault="00130D3C">
            <w:pPr>
              <w:jc w:val="right"/>
            </w:pPr>
            <w:r>
              <w:rPr>
                <w:rFonts w:eastAsiaTheme="minorEastAsia"/>
                <w:kern w:val="0"/>
                <w:szCs w:val="21"/>
              </w:rPr>
              <w:t>28,866,428</w:t>
            </w:r>
          </w:p>
        </w:tc>
        <w:tc>
          <w:tcPr>
            <w:tcW w:w="1842" w:type="dxa"/>
            <w:vAlign w:val="center"/>
          </w:tcPr>
          <w:p w:rsidR="00DA6F6F" w:rsidRDefault="00130D3C">
            <w:pPr>
              <w:jc w:val="right"/>
            </w:pPr>
            <w:r>
              <w:rPr>
                <w:rFonts w:eastAsiaTheme="minorEastAsia"/>
                <w:kern w:val="0"/>
                <w:szCs w:val="21"/>
              </w:rPr>
              <w:t>684,711,672.16</w:t>
            </w:r>
          </w:p>
        </w:tc>
        <w:tc>
          <w:tcPr>
            <w:tcW w:w="1616" w:type="dxa"/>
            <w:vAlign w:val="center"/>
          </w:tcPr>
          <w:p w:rsidR="00DA6F6F" w:rsidRDefault="00130D3C">
            <w:pPr>
              <w:jc w:val="right"/>
            </w:pPr>
            <w:r>
              <w:rPr>
                <w:rFonts w:eastAsiaTheme="minorEastAsia"/>
                <w:kern w:val="0"/>
                <w:szCs w:val="21"/>
              </w:rPr>
              <w:t>9.21</w:t>
            </w:r>
          </w:p>
        </w:tc>
      </w:tr>
      <w:tr w:rsidR="00DA6F6F">
        <w:tc>
          <w:tcPr>
            <w:tcW w:w="817" w:type="dxa"/>
            <w:vAlign w:val="center"/>
          </w:tcPr>
          <w:p w:rsidR="00DA6F6F" w:rsidRDefault="00130D3C">
            <w:pPr>
              <w:jc w:val="center"/>
            </w:pPr>
            <w:r>
              <w:rPr>
                <w:rFonts w:eastAsiaTheme="minorEastAsia"/>
                <w:kern w:val="0"/>
                <w:szCs w:val="21"/>
              </w:rPr>
              <w:t>2</w:t>
            </w:r>
          </w:p>
        </w:tc>
        <w:tc>
          <w:tcPr>
            <w:tcW w:w="1276" w:type="dxa"/>
            <w:vAlign w:val="center"/>
          </w:tcPr>
          <w:p w:rsidR="00DA6F6F" w:rsidRDefault="00130D3C">
            <w:pPr>
              <w:jc w:val="center"/>
            </w:pPr>
            <w:r>
              <w:rPr>
                <w:rFonts w:eastAsiaTheme="minorEastAsia"/>
                <w:kern w:val="0"/>
                <w:szCs w:val="21"/>
              </w:rPr>
              <w:t>300390</w:t>
            </w:r>
          </w:p>
        </w:tc>
        <w:tc>
          <w:tcPr>
            <w:tcW w:w="1701" w:type="dxa"/>
            <w:vAlign w:val="center"/>
          </w:tcPr>
          <w:p w:rsidR="00DA6F6F" w:rsidRDefault="00130D3C">
            <w:pPr>
              <w:jc w:val="center"/>
            </w:pPr>
            <w:r>
              <w:rPr>
                <w:rFonts w:eastAsiaTheme="minorEastAsia"/>
                <w:kern w:val="0"/>
                <w:szCs w:val="21"/>
              </w:rPr>
              <w:t>天华超净</w:t>
            </w:r>
          </w:p>
        </w:tc>
        <w:tc>
          <w:tcPr>
            <w:tcW w:w="1276" w:type="dxa"/>
            <w:vAlign w:val="center"/>
          </w:tcPr>
          <w:p w:rsidR="00DA6F6F" w:rsidRDefault="00130D3C">
            <w:pPr>
              <w:jc w:val="right"/>
            </w:pPr>
            <w:r>
              <w:rPr>
                <w:rFonts w:eastAsiaTheme="minorEastAsia"/>
                <w:kern w:val="0"/>
                <w:szCs w:val="21"/>
              </w:rPr>
              <w:t>6,431,619</w:t>
            </w:r>
          </w:p>
        </w:tc>
        <w:tc>
          <w:tcPr>
            <w:tcW w:w="1842" w:type="dxa"/>
            <w:vAlign w:val="center"/>
          </w:tcPr>
          <w:p w:rsidR="00DA6F6F" w:rsidRDefault="00130D3C">
            <w:pPr>
              <w:jc w:val="right"/>
            </w:pPr>
            <w:r>
              <w:rPr>
                <w:rFonts w:eastAsiaTheme="minorEastAsia"/>
                <w:kern w:val="0"/>
                <w:szCs w:val="21"/>
              </w:rPr>
              <w:t>676,037,215.47</w:t>
            </w:r>
          </w:p>
        </w:tc>
        <w:tc>
          <w:tcPr>
            <w:tcW w:w="1616" w:type="dxa"/>
            <w:vAlign w:val="center"/>
          </w:tcPr>
          <w:p w:rsidR="00DA6F6F" w:rsidRDefault="00130D3C">
            <w:pPr>
              <w:jc w:val="right"/>
            </w:pPr>
            <w:r>
              <w:rPr>
                <w:rFonts w:eastAsiaTheme="minorEastAsia"/>
                <w:kern w:val="0"/>
                <w:szCs w:val="21"/>
              </w:rPr>
              <w:t>9.09</w:t>
            </w:r>
          </w:p>
        </w:tc>
      </w:tr>
      <w:tr w:rsidR="00DA6F6F">
        <w:tc>
          <w:tcPr>
            <w:tcW w:w="817" w:type="dxa"/>
            <w:vAlign w:val="center"/>
          </w:tcPr>
          <w:p w:rsidR="00DA6F6F" w:rsidRDefault="00130D3C">
            <w:pPr>
              <w:jc w:val="center"/>
            </w:pPr>
            <w:r>
              <w:rPr>
                <w:rFonts w:eastAsiaTheme="minorEastAsia"/>
                <w:kern w:val="0"/>
                <w:szCs w:val="21"/>
              </w:rPr>
              <w:t>3</w:t>
            </w:r>
          </w:p>
        </w:tc>
        <w:tc>
          <w:tcPr>
            <w:tcW w:w="1276" w:type="dxa"/>
            <w:vAlign w:val="center"/>
          </w:tcPr>
          <w:p w:rsidR="00DA6F6F" w:rsidRDefault="00130D3C">
            <w:pPr>
              <w:jc w:val="center"/>
            </w:pPr>
            <w:r>
              <w:rPr>
                <w:rFonts w:eastAsiaTheme="minorEastAsia"/>
                <w:kern w:val="0"/>
                <w:szCs w:val="21"/>
              </w:rPr>
              <w:t>300014</w:t>
            </w:r>
          </w:p>
        </w:tc>
        <w:tc>
          <w:tcPr>
            <w:tcW w:w="1701" w:type="dxa"/>
            <w:vAlign w:val="center"/>
          </w:tcPr>
          <w:p w:rsidR="00DA6F6F" w:rsidRDefault="00130D3C">
            <w:pPr>
              <w:jc w:val="center"/>
            </w:pPr>
            <w:r>
              <w:rPr>
                <w:rFonts w:eastAsiaTheme="minorEastAsia"/>
                <w:kern w:val="0"/>
                <w:szCs w:val="21"/>
              </w:rPr>
              <w:t>亿纬锂能</w:t>
            </w:r>
          </w:p>
        </w:tc>
        <w:tc>
          <w:tcPr>
            <w:tcW w:w="1276" w:type="dxa"/>
            <w:vAlign w:val="center"/>
          </w:tcPr>
          <w:p w:rsidR="00DA6F6F" w:rsidRDefault="00130D3C">
            <w:pPr>
              <w:jc w:val="right"/>
            </w:pPr>
            <w:r>
              <w:rPr>
                <w:rFonts w:eastAsiaTheme="minorEastAsia"/>
                <w:kern w:val="0"/>
                <w:szCs w:val="21"/>
              </w:rPr>
              <w:t>5,078,494</w:t>
            </w:r>
          </w:p>
        </w:tc>
        <w:tc>
          <w:tcPr>
            <w:tcW w:w="1842" w:type="dxa"/>
            <w:vAlign w:val="center"/>
          </w:tcPr>
          <w:p w:rsidR="00DA6F6F" w:rsidRDefault="00130D3C">
            <w:pPr>
              <w:jc w:val="right"/>
            </w:pPr>
            <w:r>
              <w:rPr>
                <w:rFonts w:eastAsiaTheme="minorEastAsia"/>
                <w:kern w:val="0"/>
                <w:szCs w:val="21"/>
              </w:rPr>
              <w:t>502,923,260.82</w:t>
            </w:r>
          </w:p>
        </w:tc>
        <w:tc>
          <w:tcPr>
            <w:tcW w:w="1616" w:type="dxa"/>
            <w:vAlign w:val="center"/>
          </w:tcPr>
          <w:p w:rsidR="00DA6F6F" w:rsidRDefault="00130D3C">
            <w:pPr>
              <w:jc w:val="right"/>
            </w:pPr>
            <w:r>
              <w:rPr>
                <w:rFonts w:eastAsiaTheme="minorEastAsia"/>
                <w:kern w:val="0"/>
                <w:szCs w:val="21"/>
              </w:rPr>
              <w:t>6.76</w:t>
            </w:r>
          </w:p>
        </w:tc>
      </w:tr>
      <w:tr w:rsidR="00DA6F6F">
        <w:tc>
          <w:tcPr>
            <w:tcW w:w="817" w:type="dxa"/>
            <w:vAlign w:val="center"/>
          </w:tcPr>
          <w:p w:rsidR="00DA6F6F" w:rsidRDefault="00130D3C">
            <w:pPr>
              <w:jc w:val="center"/>
            </w:pPr>
            <w:r>
              <w:rPr>
                <w:rFonts w:eastAsiaTheme="minorEastAsia"/>
                <w:kern w:val="0"/>
                <w:szCs w:val="21"/>
              </w:rPr>
              <w:t>4</w:t>
            </w:r>
          </w:p>
        </w:tc>
        <w:tc>
          <w:tcPr>
            <w:tcW w:w="1276" w:type="dxa"/>
            <w:vAlign w:val="center"/>
          </w:tcPr>
          <w:p w:rsidR="00DA6F6F" w:rsidRDefault="00130D3C">
            <w:pPr>
              <w:jc w:val="center"/>
            </w:pPr>
            <w:r>
              <w:rPr>
                <w:rFonts w:eastAsiaTheme="minorEastAsia"/>
                <w:kern w:val="0"/>
                <w:szCs w:val="21"/>
              </w:rPr>
              <w:t>600438</w:t>
            </w:r>
          </w:p>
        </w:tc>
        <w:tc>
          <w:tcPr>
            <w:tcW w:w="1701" w:type="dxa"/>
            <w:vAlign w:val="center"/>
          </w:tcPr>
          <w:p w:rsidR="00DA6F6F" w:rsidRDefault="00130D3C">
            <w:pPr>
              <w:jc w:val="center"/>
            </w:pPr>
            <w:r>
              <w:rPr>
                <w:rFonts w:eastAsiaTheme="minorEastAsia"/>
                <w:kern w:val="0"/>
                <w:szCs w:val="21"/>
              </w:rPr>
              <w:t>通威股份</w:t>
            </w:r>
          </w:p>
        </w:tc>
        <w:tc>
          <w:tcPr>
            <w:tcW w:w="1276" w:type="dxa"/>
            <w:vAlign w:val="center"/>
          </w:tcPr>
          <w:p w:rsidR="00DA6F6F" w:rsidRDefault="00130D3C">
            <w:pPr>
              <w:jc w:val="right"/>
            </w:pPr>
            <w:r>
              <w:rPr>
                <w:rFonts w:eastAsiaTheme="minorEastAsia"/>
                <w:kern w:val="0"/>
                <w:szCs w:val="21"/>
              </w:rPr>
              <w:t>9,244,505</w:t>
            </w:r>
          </w:p>
        </w:tc>
        <w:tc>
          <w:tcPr>
            <w:tcW w:w="1842" w:type="dxa"/>
            <w:vAlign w:val="center"/>
          </w:tcPr>
          <w:p w:rsidR="00DA6F6F" w:rsidRDefault="00130D3C">
            <w:pPr>
              <w:jc w:val="right"/>
            </w:pPr>
            <w:r>
              <w:rPr>
                <w:rFonts w:eastAsiaTheme="minorEastAsia"/>
                <w:kern w:val="0"/>
                <w:szCs w:val="21"/>
              </w:rPr>
              <w:t>470,915,084.70</w:t>
            </w:r>
          </w:p>
        </w:tc>
        <w:tc>
          <w:tcPr>
            <w:tcW w:w="1616" w:type="dxa"/>
            <w:vAlign w:val="center"/>
          </w:tcPr>
          <w:p w:rsidR="00DA6F6F" w:rsidRDefault="00130D3C">
            <w:pPr>
              <w:jc w:val="right"/>
            </w:pPr>
            <w:r>
              <w:rPr>
                <w:rFonts w:eastAsiaTheme="minorEastAsia"/>
                <w:kern w:val="0"/>
                <w:szCs w:val="21"/>
              </w:rPr>
              <w:t>6.33</w:t>
            </w:r>
          </w:p>
        </w:tc>
      </w:tr>
      <w:tr w:rsidR="00DA6F6F">
        <w:tc>
          <w:tcPr>
            <w:tcW w:w="817" w:type="dxa"/>
            <w:vAlign w:val="center"/>
          </w:tcPr>
          <w:p w:rsidR="00DA6F6F" w:rsidRDefault="00130D3C">
            <w:pPr>
              <w:jc w:val="center"/>
            </w:pPr>
            <w:r>
              <w:rPr>
                <w:rFonts w:eastAsiaTheme="minorEastAsia"/>
                <w:kern w:val="0"/>
                <w:szCs w:val="21"/>
              </w:rPr>
              <w:t>5</w:t>
            </w:r>
          </w:p>
        </w:tc>
        <w:tc>
          <w:tcPr>
            <w:tcW w:w="1276" w:type="dxa"/>
            <w:vAlign w:val="center"/>
          </w:tcPr>
          <w:p w:rsidR="00DA6F6F" w:rsidRDefault="00130D3C">
            <w:pPr>
              <w:jc w:val="center"/>
            </w:pPr>
            <w:r>
              <w:rPr>
                <w:rFonts w:eastAsiaTheme="minorEastAsia"/>
                <w:kern w:val="0"/>
                <w:szCs w:val="21"/>
              </w:rPr>
              <w:t>688169</w:t>
            </w:r>
          </w:p>
        </w:tc>
        <w:tc>
          <w:tcPr>
            <w:tcW w:w="1701" w:type="dxa"/>
            <w:vAlign w:val="center"/>
          </w:tcPr>
          <w:p w:rsidR="00DA6F6F" w:rsidRDefault="00130D3C">
            <w:pPr>
              <w:jc w:val="center"/>
            </w:pPr>
            <w:r>
              <w:rPr>
                <w:rFonts w:eastAsiaTheme="minorEastAsia"/>
                <w:kern w:val="0"/>
                <w:szCs w:val="21"/>
              </w:rPr>
              <w:t>石头科技</w:t>
            </w:r>
          </w:p>
        </w:tc>
        <w:tc>
          <w:tcPr>
            <w:tcW w:w="1276" w:type="dxa"/>
            <w:vAlign w:val="center"/>
          </w:tcPr>
          <w:p w:rsidR="00DA6F6F" w:rsidRDefault="00130D3C">
            <w:pPr>
              <w:jc w:val="right"/>
            </w:pPr>
            <w:r>
              <w:rPr>
                <w:rFonts w:eastAsiaTheme="minorEastAsia"/>
                <w:kern w:val="0"/>
                <w:szCs w:val="21"/>
              </w:rPr>
              <w:t>555,146</w:t>
            </w:r>
          </w:p>
        </w:tc>
        <w:tc>
          <w:tcPr>
            <w:tcW w:w="1842" w:type="dxa"/>
            <w:vAlign w:val="center"/>
          </w:tcPr>
          <w:p w:rsidR="00DA6F6F" w:rsidRDefault="00130D3C">
            <w:pPr>
              <w:jc w:val="right"/>
            </w:pPr>
            <w:r>
              <w:rPr>
                <w:rFonts w:eastAsiaTheme="minorEastAsia"/>
                <w:kern w:val="0"/>
                <w:szCs w:val="21"/>
              </w:rPr>
              <w:t>392,449,361.78</w:t>
            </w:r>
          </w:p>
        </w:tc>
        <w:tc>
          <w:tcPr>
            <w:tcW w:w="1616" w:type="dxa"/>
            <w:vAlign w:val="center"/>
          </w:tcPr>
          <w:p w:rsidR="00DA6F6F" w:rsidRDefault="00130D3C">
            <w:pPr>
              <w:jc w:val="right"/>
            </w:pPr>
            <w:r>
              <w:rPr>
                <w:rFonts w:eastAsiaTheme="minorEastAsia"/>
                <w:kern w:val="0"/>
                <w:szCs w:val="21"/>
              </w:rPr>
              <w:t>5.28</w:t>
            </w:r>
          </w:p>
        </w:tc>
      </w:tr>
      <w:tr w:rsidR="00DA6F6F">
        <w:tc>
          <w:tcPr>
            <w:tcW w:w="817" w:type="dxa"/>
            <w:vAlign w:val="center"/>
          </w:tcPr>
          <w:p w:rsidR="00DA6F6F" w:rsidRDefault="00130D3C">
            <w:pPr>
              <w:jc w:val="center"/>
            </w:pPr>
            <w:r>
              <w:rPr>
                <w:rFonts w:eastAsiaTheme="minorEastAsia"/>
                <w:kern w:val="0"/>
                <w:szCs w:val="21"/>
              </w:rPr>
              <w:t>6</w:t>
            </w:r>
          </w:p>
        </w:tc>
        <w:tc>
          <w:tcPr>
            <w:tcW w:w="1276" w:type="dxa"/>
            <w:vAlign w:val="center"/>
          </w:tcPr>
          <w:p w:rsidR="00DA6F6F" w:rsidRDefault="00130D3C">
            <w:pPr>
              <w:jc w:val="center"/>
            </w:pPr>
            <w:r>
              <w:rPr>
                <w:rFonts w:eastAsiaTheme="minorEastAsia"/>
                <w:kern w:val="0"/>
                <w:szCs w:val="21"/>
              </w:rPr>
              <w:t>002714</w:t>
            </w:r>
          </w:p>
        </w:tc>
        <w:tc>
          <w:tcPr>
            <w:tcW w:w="1701" w:type="dxa"/>
            <w:vAlign w:val="center"/>
          </w:tcPr>
          <w:p w:rsidR="00DA6F6F" w:rsidRDefault="00130D3C">
            <w:pPr>
              <w:jc w:val="center"/>
            </w:pPr>
            <w:r>
              <w:rPr>
                <w:rFonts w:eastAsiaTheme="minorEastAsia"/>
                <w:kern w:val="0"/>
                <w:szCs w:val="21"/>
              </w:rPr>
              <w:t>牧原股份</w:t>
            </w:r>
          </w:p>
        </w:tc>
        <w:tc>
          <w:tcPr>
            <w:tcW w:w="1276" w:type="dxa"/>
            <w:vAlign w:val="center"/>
          </w:tcPr>
          <w:p w:rsidR="00DA6F6F" w:rsidRDefault="00130D3C">
            <w:pPr>
              <w:jc w:val="right"/>
            </w:pPr>
            <w:r>
              <w:rPr>
                <w:rFonts w:eastAsiaTheme="minorEastAsia"/>
                <w:kern w:val="0"/>
                <w:szCs w:val="21"/>
              </w:rPr>
              <w:t>6,121,139</w:t>
            </w:r>
          </w:p>
        </w:tc>
        <w:tc>
          <w:tcPr>
            <w:tcW w:w="1842" w:type="dxa"/>
            <w:vAlign w:val="center"/>
          </w:tcPr>
          <w:p w:rsidR="00DA6F6F" w:rsidRDefault="00130D3C">
            <w:pPr>
              <w:jc w:val="right"/>
            </w:pPr>
            <w:r>
              <w:rPr>
                <w:rFonts w:eastAsiaTheme="minorEastAsia"/>
                <w:kern w:val="0"/>
                <w:szCs w:val="21"/>
              </w:rPr>
              <w:t>317,687,114.10</w:t>
            </w:r>
          </w:p>
        </w:tc>
        <w:tc>
          <w:tcPr>
            <w:tcW w:w="1616" w:type="dxa"/>
            <w:vAlign w:val="center"/>
          </w:tcPr>
          <w:p w:rsidR="00DA6F6F" w:rsidRDefault="00130D3C">
            <w:pPr>
              <w:jc w:val="right"/>
            </w:pPr>
            <w:r>
              <w:rPr>
                <w:rFonts w:eastAsiaTheme="minorEastAsia"/>
                <w:kern w:val="0"/>
                <w:szCs w:val="21"/>
              </w:rPr>
              <w:t>4.27</w:t>
            </w:r>
          </w:p>
        </w:tc>
      </w:tr>
      <w:tr w:rsidR="00DA6F6F">
        <w:tc>
          <w:tcPr>
            <w:tcW w:w="817" w:type="dxa"/>
            <w:vAlign w:val="center"/>
          </w:tcPr>
          <w:p w:rsidR="00DA6F6F" w:rsidRDefault="00130D3C">
            <w:pPr>
              <w:jc w:val="center"/>
            </w:pPr>
            <w:r>
              <w:rPr>
                <w:rFonts w:eastAsiaTheme="minorEastAsia"/>
                <w:kern w:val="0"/>
                <w:szCs w:val="21"/>
              </w:rPr>
              <w:t>7</w:t>
            </w:r>
          </w:p>
        </w:tc>
        <w:tc>
          <w:tcPr>
            <w:tcW w:w="1276" w:type="dxa"/>
            <w:vAlign w:val="center"/>
          </w:tcPr>
          <w:p w:rsidR="00DA6F6F" w:rsidRDefault="00130D3C">
            <w:pPr>
              <w:jc w:val="center"/>
            </w:pPr>
            <w:r>
              <w:rPr>
                <w:rFonts w:eastAsiaTheme="minorEastAsia"/>
                <w:kern w:val="0"/>
                <w:szCs w:val="21"/>
              </w:rPr>
              <w:t>603799</w:t>
            </w:r>
          </w:p>
        </w:tc>
        <w:tc>
          <w:tcPr>
            <w:tcW w:w="1701" w:type="dxa"/>
            <w:vAlign w:val="center"/>
          </w:tcPr>
          <w:p w:rsidR="00DA6F6F" w:rsidRDefault="00130D3C">
            <w:pPr>
              <w:jc w:val="center"/>
            </w:pPr>
            <w:r>
              <w:rPr>
                <w:rFonts w:eastAsiaTheme="minorEastAsia"/>
                <w:kern w:val="0"/>
                <w:szCs w:val="21"/>
              </w:rPr>
              <w:t>华友钴业</w:t>
            </w:r>
          </w:p>
        </w:tc>
        <w:tc>
          <w:tcPr>
            <w:tcW w:w="1276" w:type="dxa"/>
            <w:vAlign w:val="center"/>
          </w:tcPr>
          <w:p w:rsidR="00DA6F6F" w:rsidRDefault="00130D3C">
            <w:pPr>
              <w:jc w:val="right"/>
            </w:pPr>
            <w:r>
              <w:rPr>
                <w:rFonts w:eastAsiaTheme="minorEastAsia"/>
                <w:kern w:val="0"/>
                <w:szCs w:val="21"/>
              </w:rPr>
              <w:t>2,864,548</w:t>
            </w:r>
          </w:p>
        </w:tc>
        <w:tc>
          <w:tcPr>
            <w:tcW w:w="1842" w:type="dxa"/>
            <w:vAlign w:val="center"/>
          </w:tcPr>
          <w:p w:rsidR="00DA6F6F" w:rsidRDefault="00130D3C">
            <w:pPr>
              <w:jc w:val="right"/>
            </w:pPr>
            <w:r>
              <w:rPr>
                <w:rFonts w:eastAsiaTheme="minorEastAsia"/>
                <w:kern w:val="0"/>
                <w:szCs w:val="21"/>
              </w:rPr>
              <w:t>296,194,263.20</w:t>
            </w:r>
          </w:p>
        </w:tc>
        <w:tc>
          <w:tcPr>
            <w:tcW w:w="1616" w:type="dxa"/>
            <w:vAlign w:val="center"/>
          </w:tcPr>
          <w:p w:rsidR="00DA6F6F" w:rsidRDefault="00130D3C">
            <w:pPr>
              <w:jc w:val="right"/>
            </w:pPr>
            <w:r>
              <w:rPr>
                <w:rFonts w:eastAsiaTheme="minorEastAsia"/>
                <w:kern w:val="0"/>
                <w:szCs w:val="21"/>
              </w:rPr>
              <w:t>3.98</w:t>
            </w:r>
          </w:p>
        </w:tc>
      </w:tr>
      <w:tr w:rsidR="00DA6F6F">
        <w:tc>
          <w:tcPr>
            <w:tcW w:w="817" w:type="dxa"/>
            <w:vAlign w:val="center"/>
          </w:tcPr>
          <w:p w:rsidR="00DA6F6F" w:rsidRDefault="00130D3C">
            <w:pPr>
              <w:jc w:val="center"/>
            </w:pPr>
            <w:r>
              <w:rPr>
                <w:rFonts w:eastAsiaTheme="minorEastAsia"/>
                <w:kern w:val="0"/>
                <w:szCs w:val="21"/>
              </w:rPr>
              <w:t>8</w:t>
            </w:r>
          </w:p>
        </w:tc>
        <w:tc>
          <w:tcPr>
            <w:tcW w:w="1276" w:type="dxa"/>
            <w:vAlign w:val="center"/>
          </w:tcPr>
          <w:p w:rsidR="00DA6F6F" w:rsidRDefault="00130D3C">
            <w:pPr>
              <w:jc w:val="center"/>
            </w:pPr>
            <w:r>
              <w:rPr>
                <w:rFonts w:eastAsiaTheme="minorEastAsia"/>
                <w:kern w:val="0"/>
                <w:szCs w:val="21"/>
              </w:rPr>
              <w:t>300432</w:t>
            </w:r>
          </w:p>
        </w:tc>
        <w:tc>
          <w:tcPr>
            <w:tcW w:w="1701" w:type="dxa"/>
            <w:vAlign w:val="center"/>
          </w:tcPr>
          <w:p w:rsidR="00DA6F6F" w:rsidRDefault="00130D3C">
            <w:pPr>
              <w:jc w:val="center"/>
            </w:pPr>
            <w:r>
              <w:rPr>
                <w:rFonts w:eastAsiaTheme="minorEastAsia"/>
                <w:kern w:val="0"/>
                <w:szCs w:val="21"/>
              </w:rPr>
              <w:t>富临精工</w:t>
            </w:r>
          </w:p>
        </w:tc>
        <w:tc>
          <w:tcPr>
            <w:tcW w:w="1276" w:type="dxa"/>
            <w:vAlign w:val="center"/>
          </w:tcPr>
          <w:p w:rsidR="00DA6F6F" w:rsidRDefault="00130D3C">
            <w:pPr>
              <w:jc w:val="right"/>
            </w:pPr>
            <w:r>
              <w:rPr>
                <w:rFonts w:eastAsiaTheme="minorEastAsia"/>
                <w:kern w:val="0"/>
                <w:szCs w:val="21"/>
              </w:rPr>
              <w:t>6,231,857</w:t>
            </w:r>
          </w:p>
        </w:tc>
        <w:tc>
          <w:tcPr>
            <w:tcW w:w="1842" w:type="dxa"/>
            <w:vAlign w:val="center"/>
          </w:tcPr>
          <w:p w:rsidR="00DA6F6F" w:rsidRDefault="00130D3C">
            <w:pPr>
              <w:jc w:val="right"/>
            </w:pPr>
            <w:r>
              <w:rPr>
                <w:rFonts w:eastAsiaTheme="minorEastAsia"/>
                <w:kern w:val="0"/>
                <w:szCs w:val="21"/>
              </w:rPr>
              <w:t>254,509,039.88</w:t>
            </w:r>
          </w:p>
        </w:tc>
        <w:tc>
          <w:tcPr>
            <w:tcW w:w="1616" w:type="dxa"/>
            <w:vAlign w:val="center"/>
          </w:tcPr>
          <w:p w:rsidR="00DA6F6F" w:rsidRDefault="00130D3C">
            <w:pPr>
              <w:jc w:val="right"/>
            </w:pPr>
            <w:r>
              <w:rPr>
                <w:rFonts w:eastAsiaTheme="minorEastAsia"/>
                <w:kern w:val="0"/>
                <w:szCs w:val="21"/>
              </w:rPr>
              <w:t>3.42</w:t>
            </w:r>
          </w:p>
        </w:tc>
      </w:tr>
      <w:tr w:rsidR="00DA6F6F">
        <w:tc>
          <w:tcPr>
            <w:tcW w:w="817" w:type="dxa"/>
            <w:vAlign w:val="center"/>
          </w:tcPr>
          <w:p w:rsidR="00DA6F6F" w:rsidRDefault="00130D3C">
            <w:pPr>
              <w:jc w:val="center"/>
            </w:pPr>
            <w:r>
              <w:rPr>
                <w:rFonts w:eastAsiaTheme="minorEastAsia"/>
                <w:kern w:val="0"/>
                <w:szCs w:val="21"/>
              </w:rPr>
              <w:t>9</w:t>
            </w:r>
          </w:p>
        </w:tc>
        <w:tc>
          <w:tcPr>
            <w:tcW w:w="1276" w:type="dxa"/>
            <w:vAlign w:val="center"/>
          </w:tcPr>
          <w:p w:rsidR="00DA6F6F" w:rsidRDefault="00130D3C">
            <w:pPr>
              <w:jc w:val="center"/>
            </w:pPr>
            <w:r>
              <w:rPr>
                <w:rFonts w:eastAsiaTheme="minorEastAsia"/>
                <w:kern w:val="0"/>
                <w:szCs w:val="21"/>
              </w:rPr>
              <w:t>000301</w:t>
            </w:r>
          </w:p>
        </w:tc>
        <w:tc>
          <w:tcPr>
            <w:tcW w:w="1701" w:type="dxa"/>
            <w:vAlign w:val="center"/>
          </w:tcPr>
          <w:p w:rsidR="00DA6F6F" w:rsidRDefault="00130D3C">
            <w:pPr>
              <w:jc w:val="center"/>
            </w:pPr>
            <w:r>
              <w:rPr>
                <w:rFonts w:eastAsiaTheme="minorEastAsia"/>
                <w:kern w:val="0"/>
                <w:szCs w:val="21"/>
              </w:rPr>
              <w:t>东方盛虹</w:t>
            </w:r>
          </w:p>
        </w:tc>
        <w:tc>
          <w:tcPr>
            <w:tcW w:w="1276" w:type="dxa"/>
            <w:vAlign w:val="center"/>
          </w:tcPr>
          <w:p w:rsidR="00DA6F6F" w:rsidRDefault="00130D3C">
            <w:pPr>
              <w:jc w:val="right"/>
            </w:pPr>
            <w:r>
              <w:rPr>
                <w:rFonts w:eastAsiaTheme="minorEastAsia"/>
                <w:kern w:val="0"/>
                <w:szCs w:val="21"/>
              </w:rPr>
              <w:t>8,849,888</w:t>
            </w:r>
          </w:p>
        </w:tc>
        <w:tc>
          <w:tcPr>
            <w:tcW w:w="1842" w:type="dxa"/>
            <w:vAlign w:val="center"/>
          </w:tcPr>
          <w:p w:rsidR="00DA6F6F" w:rsidRDefault="00130D3C">
            <w:pPr>
              <w:jc w:val="right"/>
            </w:pPr>
            <w:r>
              <w:rPr>
                <w:rFonts w:eastAsiaTheme="minorEastAsia"/>
                <w:kern w:val="0"/>
                <w:szCs w:val="21"/>
              </w:rPr>
              <w:t>248,858,850.56</w:t>
            </w:r>
          </w:p>
        </w:tc>
        <w:tc>
          <w:tcPr>
            <w:tcW w:w="1616" w:type="dxa"/>
            <w:vAlign w:val="center"/>
          </w:tcPr>
          <w:p w:rsidR="00DA6F6F" w:rsidRDefault="00130D3C">
            <w:pPr>
              <w:jc w:val="right"/>
            </w:pPr>
            <w:r>
              <w:rPr>
                <w:rFonts w:eastAsiaTheme="minorEastAsia"/>
                <w:kern w:val="0"/>
                <w:szCs w:val="21"/>
              </w:rPr>
              <w:t>3.35</w:t>
            </w:r>
          </w:p>
        </w:tc>
      </w:tr>
      <w:tr w:rsidR="00DA6F6F">
        <w:tc>
          <w:tcPr>
            <w:tcW w:w="817" w:type="dxa"/>
            <w:vAlign w:val="center"/>
          </w:tcPr>
          <w:p w:rsidR="00DA6F6F" w:rsidRDefault="00130D3C">
            <w:pPr>
              <w:jc w:val="center"/>
            </w:pPr>
            <w:r>
              <w:rPr>
                <w:rFonts w:eastAsiaTheme="minorEastAsia"/>
                <w:kern w:val="0"/>
                <w:szCs w:val="21"/>
              </w:rPr>
              <w:t>10</w:t>
            </w:r>
          </w:p>
        </w:tc>
        <w:tc>
          <w:tcPr>
            <w:tcW w:w="1276" w:type="dxa"/>
            <w:vAlign w:val="center"/>
          </w:tcPr>
          <w:p w:rsidR="00DA6F6F" w:rsidRDefault="00130D3C">
            <w:pPr>
              <w:jc w:val="center"/>
            </w:pPr>
            <w:r>
              <w:rPr>
                <w:rFonts w:eastAsiaTheme="minorEastAsia"/>
                <w:kern w:val="0"/>
                <w:szCs w:val="21"/>
              </w:rPr>
              <w:t>603501</w:t>
            </w:r>
          </w:p>
        </w:tc>
        <w:tc>
          <w:tcPr>
            <w:tcW w:w="1701" w:type="dxa"/>
            <w:vAlign w:val="center"/>
          </w:tcPr>
          <w:p w:rsidR="00DA6F6F" w:rsidRDefault="00130D3C">
            <w:pPr>
              <w:jc w:val="center"/>
            </w:pPr>
            <w:r>
              <w:rPr>
                <w:rFonts w:eastAsiaTheme="minorEastAsia"/>
                <w:kern w:val="0"/>
                <w:szCs w:val="21"/>
              </w:rPr>
              <w:t>韦尔股份</w:t>
            </w:r>
          </w:p>
        </w:tc>
        <w:tc>
          <w:tcPr>
            <w:tcW w:w="1276" w:type="dxa"/>
            <w:vAlign w:val="center"/>
          </w:tcPr>
          <w:p w:rsidR="00DA6F6F" w:rsidRDefault="00130D3C">
            <w:pPr>
              <w:jc w:val="right"/>
            </w:pPr>
            <w:r>
              <w:rPr>
                <w:rFonts w:eastAsiaTheme="minorEastAsia"/>
                <w:kern w:val="0"/>
                <w:szCs w:val="21"/>
              </w:rPr>
              <w:t>960,741</w:t>
            </w:r>
          </w:p>
        </w:tc>
        <w:tc>
          <w:tcPr>
            <w:tcW w:w="1842" w:type="dxa"/>
            <w:vAlign w:val="center"/>
          </w:tcPr>
          <w:p w:rsidR="00DA6F6F" w:rsidRDefault="00130D3C">
            <w:pPr>
              <w:jc w:val="right"/>
            </w:pPr>
            <w:r>
              <w:rPr>
                <w:rFonts w:eastAsiaTheme="minorEastAsia"/>
                <w:kern w:val="0"/>
                <w:szCs w:val="21"/>
              </w:rPr>
              <w:t>233,085,374.01</w:t>
            </w:r>
          </w:p>
        </w:tc>
        <w:tc>
          <w:tcPr>
            <w:tcW w:w="1616" w:type="dxa"/>
            <w:vAlign w:val="center"/>
          </w:tcPr>
          <w:p w:rsidR="00DA6F6F" w:rsidRDefault="00130D3C">
            <w:pPr>
              <w:jc w:val="right"/>
            </w:pPr>
            <w:r>
              <w:rPr>
                <w:rFonts w:eastAsiaTheme="minorEastAsia"/>
                <w:kern w:val="0"/>
                <w:szCs w:val="21"/>
              </w:rPr>
              <w:t>3.13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3,749,175.00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3,749,175.00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A6F6F">
        <w:tc>
          <w:tcPr>
            <w:tcW w:w="1504" w:type="dxa"/>
            <w:vAlign w:val="center"/>
          </w:tcPr>
          <w:p w:rsidR="00DA6F6F" w:rsidRDefault="00130D3C">
            <w:pPr>
              <w:jc w:val="center"/>
            </w:pPr>
            <w:r>
              <w:rPr>
                <w:rFonts w:eastAsiaTheme="minorEastAsia"/>
                <w:color w:val="000000" w:themeColor="text1"/>
                <w:szCs w:val="21"/>
              </w:rPr>
              <w:t>1</w:t>
            </w:r>
          </w:p>
        </w:tc>
        <w:tc>
          <w:tcPr>
            <w:tcW w:w="1504" w:type="dxa"/>
            <w:vAlign w:val="center"/>
          </w:tcPr>
          <w:p w:rsidR="00DA6F6F" w:rsidRDefault="00130D3C">
            <w:pPr>
              <w:jc w:val="center"/>
            </w:pPr>
            <w:r>
              <w:rPr>
                <w:rFonts w:eastAsiaTheme="minorEastAsia"/>
                <w:color w:val="000000" w:themeColor="text1"/>
                <w:szCs w:val="21"/>
              </w:rPr>
              <w:t>113616</w:t>
            </w:r>
          </w:p>
        </w:tc>
        <w:tc>
          <w:tcPr>
            <w:tcW w:w="1504" w:type="dxa"/>
            <w:vAlign w:val="center"/>
          </w:tcPr>
          <w:p w:rsidR="00DA6F6F" w:rsidRDefault="00130D3C">
            <w:pPr>
              <w:jc w:val="center"/>
            </w:pPr>
            <w:r>
              <w:rPr>
                <w:rFonts w:eastAsiaTheme="minorEastAsia"/>
                <w:color w:val="000000" w:themeColor="text1"/>
                <w:szCs w:val="21"/>
              </w:rPr>
              <w:t>韦尔转债</w:t>
            </w:r>
          </w:p>
        </w:tc>
        <w:tc>
          <w:tcPr>
            <w:tcW w:w="1503" w:type="dxa"/>
            <w:vAlign w:val="center"/>
          </w:tcPr>
          <w:p w:rsidR="00DA6F6F" w:rsidRDefault="00130D3C">
            <w:pPr>
              <w:jc w:val="right"/>
            </w:pPr>
            <w:r>
              <w:rPr>
                <w:rFonts w:eastAsiaTheme="minorEastAsia"/>
                <w:color w:val="000000" w:themeColor="text1"/>
                <w:szCs w:val="21"/>
              </w:rPr>
              <w:t>26,310</w:t>
            </w:r>
          </w:p>
        </w:tc>
        <w:tc>
          <w:tcPr>
            <w:tcW w:w="1503" w:type="dxa"/>
            <w:vAlign w:val="center"/>
          </w:tcPr>
          <w:p w:rsidR="00DA6F6F" w:rsidRDefault="00130D3C">
            <w:pPr>
              <w:jc w:val="right"/>
            </w:pPr>
            <w:r>
              <w:rPr>
                <w:rFonts w:eastAsiaTheme="minorEastAsia"/>
                <w:color w:val="000000" w:themeColor="text1"/>
                <w:szCs w:val="21"/>
              </w:rPr>
              <w:t>3,749,175.00</w:t>
            </w:r>
          </w:p>
        </w:tc>
        <w:tc>
          <w:tcPr>
            <w:tcW w:w="1503" w:type="dxa"/>
            <w:vAlign w:val="center"/>
          </w:tcPr>
          <w:p w:rsidR="00DA6F6F" w:rsidRDefault="00130D3C">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996,037.46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18,625,101.71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152,485.30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32,471,712.78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52,245,337.25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DA6F6F">
        <w:tc>
          <w:tcPr>
            <w:tcW w:w="1181" w:type="dxa"/>
            <w:vAlign w:val="center"/>
          </w:tcPr>
          <w:p w:rsidR="00DA6F6F" w:rsidRDefault="00130D3C">
            <w:pPr>
              <w:jc w:val="center"/>
            </w:pPr>
            <w:r>
              <w:rPr>
                <w:rFonts w:eastAsiaTheme="minorEastAsia"/>
                <w:color w:val="000000" w:themeColor="text1"/>
                <w:szCs w:val="21"/>
              </w:rPr>
              <w:t>1</w:t>
            </w:r>
          </w:p>
        </w:tc>
        <w:tc>
          <w:tcPr>
            <w:tcW w:w="2497" w:type="dxa"/>
            <w:vAlign w:val="center"/>
          </w:tcPr>
          <w:p w:rsidR="00DA6F6F" w:rsidRDefault="00130D3C">
            <w:pPr>
              <w:jc w:val="center"/>
            </w:pPr>
            <w:r>
              <w:rPr>
                <w:rFonts w:eastAsiaTheme="minorEastAsia"/>
                <w:color w:val="000000" w:themeColor="text1"/>
                <w:szCs w:val="21"/>
              </w:rPr>
              <w:t>113616</w:t>
            </w:r>
          </w:p>
        </w:tc>
        <w:tc>
          <w:tcPr>
            <w:tcW w:w="1746" w:type="dxa"/>
            <w:vAlign w:val="center"/>
          </w:tcPr>
          <w:p w:rsidR="00DA6F6F" w:rsidRDefault="00130D3C">
            <w:pPr>
              <w:jc w:val="center"/>
            </w:pPr>
            <w:r>
              <w:rPr>
                <w:rFonts w:eastAsiaTheme="minorEastAsia"/>
                <w:color w:val="000000" w:themeColor="text1"/>
                <w:szCs w:val="21"/>
              </w:rPr>
              <w:t>韦尔转债</w:t>
            </w:r>
          </w:p>
        </w:tc>
        <w:tc>
          <w:tcPr>
            <w:tcW w:w="1825" w:type="dxa"/>
            <w:vAlign w:val="center"/>
          </w:tcPr>
          <w:p w:rsidR="00DA6F6F" w:rsidRDefault="00130D3C">
            <w:pPr>
              <w:jc w:val="right"/>
            </w:pPr>
            <w:r>
              <w:rPr>
                <w:rFonts w:eastAsiaTheme="minorEastAsia"/>
                <w:color w:val="000000" w:themeColor="text1"/>
                <w:szCs w:val="21"/>
              </w:rPr>
              <w:t>3,749,175.00</w:t>
            </w:r>
          </w:p>
        </w:tc>
        <w:tc>
          <w:tcPr>
            <w:tcW w:w="1679" w:type="dxa"/>
            <w:vAlign w:val="center"/>
          </w:tcPr>
          <w:p w:rsidR="00DA6F6F" w:rsidRDefault="00130D3C">
            <w:pPr>
              <w:jc w:val="right"/>
            </w:pPr>
            <w:r>
              <w:rPr>
                <w:rFonts w:eastAsiaTheme="minorEastAsia"/>
                <w:color w:val="000000" w:themeColor="text1"/>
                <w:szCs w:val="21"/>
              </w:rPr>
              <w:t>0.05</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DA6F6F">
        <w:tc>
          <w:tcPr>
            <w:tcW w:w="1083" w:type="dxa"/>
            <w:vAlign w:val="center"/>
          </w:tcPr>
          <w:p w:rsidR="00DA6F6F" w:rsidRDefault="00130D3C">
            <w:pPr>
              <w:jc w:val="center"/>
            </w:pPr>
            <w:r>
              <w:rPr>
                <w:rFonts w:eastAsiaTheme="minorEastAsia"/>
                <w:color w:val="000000" w:themeColor="text1"/>
                <w:szCs w:val="21"/>
              </w:rPr>
              <w:t>1</w:t>
            </w:r>
          </w:p>
        </w:tc>
        <w:tc>
          <w:tcPr>
            <w:tcW w:w="1302" w:type="dxa"/>
            <w:vAlign w:val="center"/>
          </w:tcPr>
          <w:p w:rsidR="00DA6F6F" w:rsidRDefault="00130D3C">
            <w:pPr>
              <w:jc w:val="center"/>
            </w:pPr>
            <w:r>
              <w:rPr>
                <w:rFonts w:eastAsiaTheme="minorEastAsia"/>
                <w:color w:val="000000" w:themeColor="text1"/>
                <w:szCs w:val="21"/>
              </w:rPr>
              <w:t>300390</w:t>
            </w:r>
          </w:p>
        </w:tc>
        <w:tc>
          <w:tcPr>
            <w:tcW w:w="1301" w:type="dxa"/>
            <w:vAlign w:val="center"/>
          </w:tcPr>
          <w:p w:rsidR="00DA6F6F" w:rsidRDefault="00130D3C">
            <w:pPr>
              <w:jc w:val="center"/>
            </w:pPr>
            <w:r>
              <w:rPr>
                <w:rFonts w:eastAsiaTheme="minorEastAsia"/>
                <w:color w:val="000000" w:themeColor="text1"/>
                <w:szCs w:val="21"/>
              </w:rPr>
              <w:t>天华超净</w:t>
            </w:r>
          </w:p>
        </w:tc>
        <w:tc>
          <w:tcPr>
            <w:tcW w:w="1805" w:type="dxa"/>
            <w:vAlign w:val="center"/>
          </w:tcPr>
          <w:p w:rsidR="00DA6F6F" w:rsidRDefault="00130D3C">
            <w:pPr>
              <w:jc w:val="right"/>
            </w:pPr>
            <w:r>
              <w:rPr>
                <w:rFonts w:eastAsiaTheme="minorEastAsia"/>
                <w:color w:val="000000" w:themeColor="text1"/>
                <w:szCs w:val="21"/>
              </w:rPr>
              <w:t>168,289,320.87</w:t>
            </w:r>
          </w:p>
        </w:tc>
        <w:tc>
          <w:tcPr>
            <w:tcW w:w="1655" w:type="dxa"/>
            <w:vAlign w:val="center"/>
          </w:tcPr>
          <w:p w:rsidR="00DA6F6F" w:rsidRDefault="00130D3C">
            <w:pPr>
              <w:jc w:val="right"/>
            </w:pPr>
            <w:r>
              <w:rPr>
                <w:rFonts w:eastAsiaTheme="minorEastAsia"/>
                <w:color w:val="000000" w:themeColor="text1"/>
                <w:szCs w:val="21"/>
              </w:rPr>
              <w:t>2.26</w:t>
            </w:r>
          </w:p>
        </w:tc>
        <w:tc>
          <w:tcPr>
            <w:tcW w:w="1367" w:type="dxa"/>
            <w:vAlign w:val="center"/>
          </w:tcPr>
          <w:p w:rsidR="00DA6F6F" w:rsidRDefault="00130D3C">
            <w:pPr>
              <w:jc w:val="right"/>
            </w:pPr>
            <w:r>
              <w:rPr>
                <w:rFonts w:eastAsiaTheme="minorEastAsia"/>
                <w:color w:val="000000" w:themeColor="text1"/>
                <w:szCs w:val="21"/>
              </w:rPr>
              <w:t>非公开发行限售</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A</w:t>
            </w:r>
            <w:r w:rsidRPr="00B27A29">
              <w:rPr>
                <w:rFonts w:eastAsiaTheme="minorEastAsia"/>
                <w:color w:val="000000" w:themeColor="text1"/>
                <w:szCs w:val="21"/>
              </w:rPr>
              <w:t>类</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上投摩根新兴动力混合</w:t>
            </w:r>
            <w:r w:rsidRPr="00B27A29">
              <w:rPr>
                <w:rFonts w:eastAsiaTheme="minorEastAsia"/>
                <w:color w:val="000000" w:themeColor="text1"/>
                <w:szCs w:val="21"/>
              </w:rPr>
              <w:t>H</w:t>
            </w:r>
            <w:r w:rsidRPr="00B27A29">
              <w:rPr>
                <w:rFonts w:eastAsiaTheme="minorEastAsia"/>
                <w:color w:val="000000" w:themeColor="text1"/>
                <w:szCs w:val="21"/>
              </w:rPr>
              <w:t>类</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937,453,537.44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30,944,294.74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302,088,319.08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5,928,799.39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273,161,229.35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12,497,756.95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966,380,627.17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24,375,337.18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DA6F6F" w:rsidRDefault="00130D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30D3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30D3C">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30D3C">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上投摩根新兴动力混合型证券投资基金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3C"/>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A6F6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039D3-2139-4F14-A50B-6C742837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1312</Words>
  <Characters>7481</Characters>
  <Application>Microsoft Office Word</Application>
  <DocSecurity>0</DocSecurity>
  <Lines>62</Lines>
  <Paragraphs>17</Paragraphs>
  <ScaleCrop>false</ScaleCrop>
  <Company>TRT. Ltd. Co.</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218</cp:revision>
  <cp:lastPrinted>2007-07-19T00:46:00Z</cp:lastPrinted>
  <dcterms:created xsi:type="dcterms:W3CDTF">2013-06-21T06:56:00Z</dcterms:created>
  <dcterms:modified xsi:type="dcterms:W3CDTF">2021-10-26T05:42:00Z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