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B0ADE" w:rsidRDefault="006B0AD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B0ADE" w:rsidRDefault="006B0AD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B0ADE" w:rsidRDefault="006B0ADE">
      <w:pPr>
        <w:spacing w:line="360" w:lineRule="auto"/>
        <w:jc w:val="center"/>
        <w:rPr>
          <w:rFonts w:hint="eastAsia"/>
        </w:rPr>
      </w:pPr>
      <w:r>
        <w:rPr>
          <w:rFonts w:ascii="宋体" w:hAnsi="宋体" w:hint="eastAsia"/>
          <w:b/>
          <w:bCs/>
          <w:color w:val="000000" w:themeColor="text1"/>
          <w:sz w:val="48"/>
          <w:szCs w:val="30"/>
        </w:rPr>
        <w:t>摩根健康品质生活混合型证券投资基金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B0ADE" w:rsidRDefault="006B0AD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B0ADE" w:rsidRDefault="006B0AD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B0ADE" w:rsidRDefault="006B0AD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B0ADE" w:rsidRDefault="006B0AD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6B0ADE" w:rsidRDefault="006B0AD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B0ADE" w:rsidRDefault="006B0AD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B0ADE" w:rsidRDefault="006B0AD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B0ADE" w:rsidRDefault="006B0AD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30933549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6B0ADE" w:rsidRDefault="006B0AD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szCs w:val="24"/>
                <w:lang w:eastAsia="zh-Hans"/>
              </w:rPr>
              <w:t>摩根健康品质生活混</w:t>
            </w:r>
            <w:r>
              <w:rPr>
                <w:rFonts w:ascii="宋体" w:hAnsi="宋体" w:hint="eastAsia"/>
                <w:szCs w:val="24"/>
                <w:lang w:eastAsia="zh-Hans"/>
              </w:rPr>
              <w:t>合</w:t>
            </w:r>
            <w:r>
              <w:rPr>
                <w:rFonts w:ascii="宋体" w:hAnsi="宋体" w:hint="eastAsia"/>
                <w:lang w:eastAsia="zh-Hans"/>
              </w:rPr>
              <w:t xml:space="preserve"> </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37715</w:t>
            </w:r>
            <w:r>
              <w:rPr>
                <w:rFonts w:ascii="宋体" w:hAnsi="宋体" w:hint="eastAsia"/>
                <w:lang w:eastAsia="zh-Hans"/>
              </w:rPr>
              <w:t>0</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契约型开放</w:t>
            </w:r>
            <w:r>
              <w:rPr>
                <w:rFonts w:ascii="宋体" w:hAnsi="宋体" w:hint="eastAsia"/>
                <w:lang w:eastAsia="zh-Hans"/>
              </w:rPr>
              <w:t>式</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2025</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44,235,871.9</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本基金主要投资于有利于提升居民健康水平和生活品质的行业及公司，力争把握经济结构调整和消费升级所带来的投资机会。在严格控制风险的前提下，追求基金资产的长期稳定增值</w:t>
            </w:r>
            <w:r>
              <w:rPr>
                <w:rFonts w:ascii="宋体" w:hAnsi="宋体" w:hint="eastAsia"/>
                <w:lang w:eastAsia="zh-Hans"/>
              </w:rPr>
              <w:t>。</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本基金对大类资产的配置是从宏观层面出发，采用定量分析和定性分析相结合的手段，综合宏观经济环境、宏观经济政策、产业政策、行业景气度、证券市场走势和流动性的综合分析，积极进行大类资产配置。</w:t>
            </w:r>
            <w:r>
              <w:rPr>
                <w:rFonts w:ascii="宋体" w:hAnsi="宋体" w:hint="eastAsia"/>
                <w:lang w:eastAsia="zh-Hans"/>
              </w:rPr>
              <w:br/>
            </w:r>
            <w:r>
              <w:rPr>
                <w:rFonts w:ascii="宋体" w:hAnsi="宋体" w:hint="eastAsia"/>
                <w:lang w:eastAsia="zh-Hans"/>
              </w:rPr>
              <w:t>在控制风险的前提下，本基金将优先配置股票资产，本基金股票资产占基金资产的投资比例为</w:t>
            </w:r>
            <w:r>
              <w:rPr>
                <w:rFonts w:ascii="宋体" w:hAnsi="宋体" w:hint="eastAsia"/>
                <w:lang w:eastAsia="zh-Hans"/>
              </w:rPr>
              <w:t>70%-95%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本基金将围绕健康生活与品质生活这两大主题，重点关注有利于提升民众健康水平以及物质生活和精神生活质量的行业和个股。</w:t>
            </w:r>
            <w:r>
              <w:rPr>
                <w:rFonts w:ascii="宋体" w:hAnsi="宋体" w:hint="eastAsia"/>
                <w:lang w:eastAsia="zh-Hans"/>
              </w:rPr>
              <w:br/>
            </w:r>
            <w:r>
              <w:rPr>
                <w:rFonts w:ascii="宋体" w:hAnsi="宋体" w:hint="eastAsia"/>
                <w:lang w:eastAsia="zh-Hans"/>
              </w:rPr>
              <w:t>本基金的股票投资包含健康生活和品质生活这两大主题。健康生活对应的是有利于公众建立健康体质和生活的行业或公司，如医疗及服务、健康食品、文体产业、户外运动服装及器械等。品质生活对应的是符合公众消费趋势，建立品质生活的行业和公司，如食品饮料、汽车、家电、商贸零售、旅游、航空、消费电子等。本基金将不低于</w:t>
            </w:r>
            <w:r>
              <w:rPr>
                <w:rFonts w:ascii="宋体" w:hAnsi="宋体" w:hint="eastAsia"/>
                <w:lang w:eastAsia="zh-Hans"/>
              </w:rPr>
              <w:t>80</w:t>
            </w:r>
            <w:r>
              <w:rPr>
                <w:rFonts w:ascii="宋体" w:hAnsi="宋体" w:hint="eastAsia"/>
                <w:lang w:eastAsia="zh-Hans"/>
              </w:rPr>
              <w:t>％的非现金基金资产投资于健康品质生活主题相关的股票。</w:t>
            </w:r>
            <w:r>
              <w:rPr>
                <w:rFonts w:ascii="宋体" w:hAnsi="宋体" w:hint="eastAsia"/>
                <w:lang w:eastAsia="zh-Hans"/>
              </w:rPr>
              <w:br/>
            </w:r>
            <w:r>
              <w:rPr>
                <w:rFonts w:ascii="宋体" w:hAnsi="宋体" w:hint="eastAsia"/>
                <w:lang w:eastAsia="zh-Hans"/>
              </w:rPr>
              <w:t>行业配置方面，本基金将从行业生命周期、行业景气度、行业竞争格局等多角度，综合评估各个行业的投资价值。在行业配置的基础上，本基金管理人将采用“自下而上”的研究方法，充分发挥投研团队的</w:t>
            </w:r>
            <w:r>
              <w:rPr>
                <w:rFonts w:ascii="宋体" w:hAnsi="宋体" w:hint="eastAsia"/>
                <w:lang w:eastAsia="zh-Hans"/>
              </w:rPr>
              <w:t>主动选股能力，紧密围绕健康品质生活的投资主题，精选优质股票构建投资组合。</w:t>
            </w:r>
            <w:r>
              <w:rPr>
                <w:rFonts w:ascii="宋体" w:hAnsi="宋体" w:hint="eastAsia"/>
                <w:lang w:eastAsia="zh-Hans"/>
              </w:rPr>
              <w:br/>
            </w:r>
            <w:r>
              <w:rPr>
                <w:rFonts w:ascii="宋体" w:hAnsi="宋体" w:hint="eastAsia"/>
                <w:lang w:eastAsia="zh-Hans"/>
              </w:rPr>
              <w:t>此外，本基金采用的投资策略还包括：债券投资策略；股指期货投资策略；股票期权投资策略；国债期货投资策略；资产支持证券投资策略；存托凭证投资策略；融资业务策</w:t>
            </w:r>
            <w:r>
              <w:rPr>
                <w:rFonts w:ascii="宋体" w:hAnsi="宋体" w:hint="eastAsia"/>
                <w:lang w:eastAsia="zh-Hans"/>
              </w:rPr>
              <w:t>略</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中证内地消费指数收益率</w:t>
            </w:r>
            <w:r>
              <w:rPr>
                <w:rFonts w:ascii="宋体" w:hAnsi="宋体" w:hint="eastAsia"/>
                <w:lang w:eastAsia="zh-Hans"/>
              </w:rPr>
              <w:t>*65%+</w:t>
            </w:r>
            <w:r>
              <w:rPr>
                <w:rFonts w:ascii="宋体" w:hAnsi="宋体" w:hint="eastAsia"/>
                <w:lang w:eastAsia="zh-Hans"/>
              </w:rPr>
              <w:t>中证港股通大消费主题指数收益率</w:t>
            </w:r>
            <w:r>
              <w:rPr>
                <w:rFonts w:ascii="宋体" w:hAnsi="宋体" w:hint="eastAsia"/>
                <w:lang w:eastAsia="zh-Hans"/>
              </w:rPr>
              <w:t>*15%+</w:t>
            </w:r>
            <w:r>
              <w:rPr>
                <w:rFonts w:ascii="宋体" w:hAnsi="宋体" w:hint="eastAsia"/>
                <w:lang w:eastAsia="zh-Hans"/>
              </w:rPr>
              <w:t>银行活期存款利率（税后）</w:t>
            </w:r>
            <w:r>
              <w:rPr>
                <w:rFonts w:ascii="宋体" w:hAnsi="宋体" w:hint="eastAsia"/>
                <w:lang w:eastAsia="zh-Hans"/>
              </w:rPr>
              <w:t>*20</w:t>
            </w:r>
            <w:r>
              <w:rPr>
                <w:rFonts w:ascii="宋体" w:hAnsi="宋体" w:hint="eastAsia"/>
                <w:lang w:eastAsia="zh-Hans"/>
              </w:rPr>
              <w:t>%</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br/>
            </w:r>
            <w:r>
              <w:rPr>
                <w:rFonts w:ascii="宋体" w:hAnsi="宋体" w:hint="eastAsia"/>
                <w:lang w:eastAsia="zh-Hans"/>
              </w:rPr>
              <w:t>本基金可投资香港联合交易所上市的股票，将面临港股通机制下因投资环境、投资标的、市场制度以及交易规则等差异带来的特有风险。</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30933549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30933549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lang w:eastAsia="zh-Hans"/>
              </w:rPr>
              <w:t>摩根健康品质生活混合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lang w:eastAsia="zh-Hans"/>
              </w:rPr>
              <w:t>摩根健康品质生活混合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30933549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lang w:eastAsia="zh-Hans"/>
              </w:rPr>
              <w:t>37715</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lang w:eastAsia="zh-Hans"/>
              </w:rPr>
              <w:t>01534</w:t>
            </w:r>
            <w:r>
              <w:rPr>
                <w:rFonts w:ascii="宋体" w:hAnsi="宋体" w:hint="eastAsia"/>
                <w:lang w:eastAsia="zh-Hans"/>
              </w:rPr>
              <w:t>6</w:t>
            </w:r>
            <w:r>
              <w:rPr>
                <w:rFonts w:ascii="宋体" w:hAnsi="宋体" w:hint="eastAsia"/>
                <w:kern w:val="0"/>
                <w:sz w:val="20"/>
                <w:lang w:eastAsia="zh-Hans"/>
              </w:rPr>
              <w:t xml:space="preserve"> </w:t>
            </w:r>
          </w:p>
        </w:tc>
      </w:tr>
      <w:bookmarkEnd w:id="32"/>
      <w:bookmarkEnd w:id="33"/>
      <w:tr w:rsidR="00000000">
        <w:trPr>
          <w:divId w:val="30933549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B0ADE" w:rsidRDefault="006B0AD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lang w:eastAsia="zh-Hans"/>
              </w:rPr>
              <w:t>30,900,138.5</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lang w:eastAsia="zh-Hans"/>
              </w:rPr>
              <w:t>13,335,733.4</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6B0ADE" w:rsidRDefault="006B0AD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6B0ADE" w:rsidRDefault="006B0AD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6B0ADE" w:rsidRDefault="006B0ADE">
      <w:pPr>
        <w:jc w:val="right"/>
        <w:divId w:val="121866740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7"/>
        <w:gridCol w:w="2754"/>
        <w:gridCol w:w="2754"/>
      </w:tblGrid>
      <w:tr w:rsidR="00000000">
        <w:trPr>
          <w:divId w:val="121866740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B0ADE" w:rsidRDefault="006B0AD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B0ADE" w:rsidRDefault="006B0AD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1866740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B0ADE" w:rsidRDefault="006B0ADE">
            <w:pPr>
              <w:jc w:val="center"/>
              <w:rPr>
                <w:rFonts w:hint="eastAsia"/>
              </w:rPr>
            </w:pPr>
            <w:r>
              <w:rPr>
                <w:rFonts w:ascii="宋体" w:hAnsi="宋体" w:hint="eastAsia"/>
                <w:szCs w:val="24"/>
                <w:lang w:eastAsia="zh-Hans"/>
              </w:rPr>
              <w:t>摩根健康品质生活混合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B0ADE" w:rsidRDefault="006B0ADE">
            <w:pPr>
              <w:jc w:val="center"/>
            </w:pPr>
            <w:r>
              <w:rPr>
                <w:rFonts w:ascii="宋体" w:hAnsi="宋体" w:hint="eastAsia"/>
                <w:szCs w:val="24"/>
                <w:lang w:eastAsia="zh-Hans"/>
              </w:rPr>
              <w:t>摩根健康品质生活混合</w:t>
            </w:r>
            <w:r>
              <w:rPr>
                <w:rFonts w:ascii="宋体" w:hAnsi="宋体" w:hint="eastAsia"/>
                <w:szCs w:val="24"/>
                <w:lang w:eastAsia="zh-Hans"/>
              </w:rPr>
              <w:t>C</w:t>
            </w:r>
          </w:p>
        </w:tc>
      </w:tr>
      <w:tr w:rsidR="00000000">
        <w:trPr>
          <w:divId w:val="121866740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rPr>
                <w:rFonts w:hint="eastAsia"/>
              </w:rPr>
            </w:pPr>
            <w:r>
              <w:rPr>
                <w:rFonts w:ascii="宋体" w:hAnsi="宋体" w:hint="eastAsia"/>
                <w:szCs w:val="24"/>
                <w:lang w:eastAsia="zh-Hans"/>
              </w:rPr>
              <w:t>-5,556,399.9</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pPr>
            <w:r>
              <w:rPr>
                <w:rFonts w:ascii="宋体" w:hAnsi="宋体" w:hint="eastAsia"/>
                <w:szCs w:val="24"/>
                <w:lang w:eastAsia="zh-Hans"/>
              </w:rPr>
              <w:t>-3,318,152.8</w:t>
            </w:r>
            <w:r>
              <w:rPr>
                <w:rFonts w:ascii="宋体" w:hAnsi="宋体" w:hint="eastAsia"/>
                <w:szCs w:val="24"/>
                <w:lang w:eastAsia="zh-Hans"/>
              </w:rPr>
              <w:t>0</w:t>
            </w:r>
          </w:p>
        </w:tc>
      </w:tr>
      <w:tr w:rsidR="00000000">
        <w:trPr>
          <w:divId w:val="121866740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rPr>
                <w:rFonts w:hint="eastAsia"/>
              </w:rPr>
            </w:pPr>
            <w:r>
              <w:rPr>
                <w:rFonts w:ascii="宋体" w:hAnsi="宋体" w:hint="eastAsia"/>
                <w:szCs w:val="24"/>
                <w:lang w:eastAsia="zh-Hans"/>
              </w:rPr>
              <w:t>-10,147,708.9</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pPr>
            <w:r>
              <w:rPr>
                <w:rFonts w:ascii="宋体" w:hAnsi="宋体" w:hint="eastAsia"/>
                <w:szCs w:val="24"/>
                <w:lang w:eastAsia="zh-Hans"/>
              </w:rPr>
              <w:t>-5,662,834.8</w:t>
            </w:r>
            <w:r>
              <w:rPr>
                <w:rFonts w:ascii="宋体" w:hAnsi="宋体" w:hint="eastAsia"/>
                <w:szCs w:val="24"/>
                <w:lang w:eastAsia="zh-Hans"/>
              </w:rPr>
              <w:t>5</w:t>
            </w:r>
          </w:p>
        </w:tc>
      </w:tr>
      <w:tr w:rsidR="00000000">
        <w:trPr>
          <w:divId w:val="121866740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rPr>
                <w:rFonts w:hint="eastAsia"/>
              </w:rPr>
            </w:pPr>
            <w:r>
              <w:rPr>
                <w:rFonts w:ascii="宋体" w:hAnsi="宋体" w:hint="eastAsia"/>
                <w:szCs w:val="24"/>
                <w:lang w:eastAsia="zh-Hans"/>
              </w:rPr>
              <w:t>-0.292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pPr>
            <w:r>
              <w:rPr>
                <w:rFonts w:ascii="宋体" w:hAnsi="宋体" w:hint="eastAsia"/>
                <w:szCs w:val="24"/>
                <w:lang w:eastAsia="zh-Hans"/>
              </w:rPr>
              <w:t>-0.230</w:t>
            </w:r>
            <w:r>
              <w:rPr>
                <w:rFonts w:ascii="宋体" w:hAnsi="宋体" w:hint="eastAsia"/>
                <w:szCs w:val="24"/>
                <w:lang w:eastAsia="zh-Hans"/>
              </w:rPr>
              <w:t>0</w:t>
            </w:r>
          </w:p>
        </w:tc>
      </w:tr>
      <w:tr w:rsidR="00000000">
        <w:trPr>
          <w:divId w:val="121866740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rPr>
                <w:rFonts w:hint="eastAsia"/>
              </w:rPr>
            </w:pPr>
            <w:r>
              <w:rPr>
                <w:rFonts w:ascii="宋体" w:hAnsi="宋体" w:hint="eastAsia"/>
                <w:szCs w:val="24"/>
                <w:lang w:eastAsia="zh-Hans"/>
              </w:rPr>
              <w:t>82,718,372.8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pPr>
            <w:r>
              <w:rPr>
                <w:rFonts w:ascii="宋体" w:hAnsi="宋体" w:hint="eastAsia"/>
                <w:szCs w:val="24"/>
                <w:lang w:eastAsia="zh-Hans"/>
              </w:rPr>
              <w:t>34,936,192.2</w:t>
            </w:r>
            <w:r>
              <w:rPr>
                <w:rFonts w:ascii="宋体" w:hAnsi="宋体" w:hint="eastAsia"/>
                <w:szCs w:val="24"/>
                <w:lang w:eastAsia="zh-Hans"/>
              </w:rPr>
              <w:t>8</w:t>
            </w:r>
          </w:p>
        </w:tc>
      </w:tr>
      <w:tr w:rsidR="00000000">
        <w:trPr>
          <w:divId w:val="121866740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rPr>
                <w:rFonts w:hint="eastAsia"/>
              </w:rPr>
            </w:pPr>
            <w:r>
              <w:rPr>
                <w:rFonts w:ascii="宋体" w:hAnsi="宋体" w:hint="eastAsia"/>
                <w:szCs w:val="24"/>
                <w:lang w:eastAsia="zh-Hans"/>
              </w:rPr>
              <w:t>2.677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B0ADE" w:rsidRDefault="006B0ADE">
            <w:pPr>
              <w:jc w:val="right"/>
            </w:pPr>
            <w:r>
              <w:rPr>
                <w:rFonts w:ascii="宋体" w:hAnsi="宋体" w:hint="eastAsia"/>
                <w:szCs w:val="24"/>
                <w:lang w:eastAsia="zh-Hans"/>
              </w:rPr>
              <w:t>2.619</w:t>
            </w:r>
            <w:r>
              <w:rPr>
                <w:rFonts w:ascii="宋体" w:hAnsi="宋体" w:hint="eastAsia"/>
                <w:szCs w:val="24"/>
                <w:lang w:eastAsia="zh-Hans"/>
              </w:rPr>
              <w:t>7</w:t>
            </w:r>
          </w:p>
        </w:tc>
      </w:tr>
    </w:tbl>
    <w:p w:rsidR="006B0ADE" w:rsidRDefault="006B0ADE">
      <w:pPr>
        <w:wordWrap w:val="0"/>
        <w:spacing w:line="360" w:lineRule="auto"/>
        <w:jc w:val="left"/>
        <w:divId w:val="101693087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B0ADE" w:rsidRDefault="006B0AD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6B0ADE" w:rsidRDefault="006B0AD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6B0ADE" w:rsidRDefault="006B0ADE">
      <w:pPr>
        <w:spacing w:line="360" w:lineRule="auto"/>
        <w:jc w:val="center"/>
        <w:divId w:val="859857220"/>
        <w:rPr>
          <w:rFonts w:hint="eastAsia"/>
        </w:rPr>
      </w:pPr>
      <w:r>
        <w:rPr>
          <w:rFonts w:ascii="宋体" w:hAnsi="宋体" w:hint="eastAsia"/>
        </w:rPr>
        <w:t>摩根健康品质生活混合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5985722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②－④</w:t>
            </w:r>
            <w:r>
              <w:rPr>
                <w:rFonts w:ascii="宋体" w:hAnsi="宋体" w:hint="eastAsia"/>
              </w:rPr>
              <w:t xml:space="preserve"> </w:t>
            </w:r>
          </w:p>
        </w:tc>
      </w:tr>
      <w:tr w:rsidR="00000000">
        <w:trPr>
          <w:divId w:val="8598572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-11.3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-12.4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r>
      <w:tr w:rsidR="00000000">
        <w:trPr>
          <w:divId w:val="8598572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-18.0</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-17.1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8598572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-13.0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-16.3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3.3</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8598572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-13.6</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-18.9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5.2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r>
    </w:tbl>
    <w:p w:rsidR="006B0ADE" w:rsidRDefault="006B0ADE">
      <w:pPr>
        <w:spacing w:line="360" w:lineRule="auto"/>
        <w:jc w:val="center"/>
        <w:divId w:val="411197420"/>
      </w:pPr>
      <w:r>
        <w:rPr>
          <w:rFonts w:ascii="宋体" w:hAnsi="宋体" w:hint="eastAsia"/>
        </w:rPr>
        <w:t>摩根健康品质生活混合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41119742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4111974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-11.5</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-12.4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r>
      <w:tr w:rsidR="00000000">
        <w:trPr>
          <w:divId w:val="4111974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-18.2</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-17.1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r>
      <w:tr w:rsidR="00000000">
        <w:trPr>
          <w:divId w:val="4111974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-13.4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-16.3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2.9</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r>
      <w:tr w:rsidR="00000000">
        <w:trPr>
          <w:divId w:val="4111974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-14.1</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-18.9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B0ADE" w:rsidRDefault="006B0ADE">
            <w:pPr>
              <w:spacing w:line="360" w:lineRule="auto"/>
              <w:jc w:val="right"/>
            </w:pPr>
            <w:r>
              <w:rPr>
                <w:rFonts w:ascii="宋体" w:hAnsi="宋体" w:hint="eastAsia"/>
              </w:rPr>
              <w:t>4.7</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r>
    </w:tbl>
    <w:p w:rsidR="006B0ADE" w:rsidRDefault="006B0AD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自基金转型以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6B0ADE" w:rsidRDefault="006B0ADE">
      <w:pPr>
        <w:spacing w:line="360" w:lineRule="auto"/>
        <w:jc w:val="left"/>
        <w:divId w:val="4811123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B0ADE" w:rsidRDefault="006B0ADE">
      <w:pPr>
        <w:spacing w:line="360" w:lineRule="auto"/>
        <w:jc w:val="left"/>
        <w:divId w:val="23497857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B0ADE" w:rsidRDefault="006B0ADE">
      <w:pPr>
        <w:spacing w:line="360" w:lineRule="auto"/>
      </w:pPr>
      <w:r>
        <w:rPr>
          <w:rFonts w:ascii="宋体" w:hAnsi="宋体" w:hint="eastAsia"/>
        </w:rPr>
        <w:t>注</w:t>
      </w:r>
      <w:r>
        <w:rPr>
          <w:rFonts w:ascii="宋体" w:hAnsi="宋体" w:hint="eastAsia"/>
        </w:rPr>
        <w:t>：</w:t>
      </w:r>
      <w:r>
        <w:rPr>
          <w:rFonts w:ascii="宋体" w:hAnsi="宋体" w:hint="eastAsia"/>
          <w:lang w:eastAsia="zh-Hans"/>
        </w:rPr>
        <w:t>本基金由中国证监会证监许可</w:t>
      </w:r>
      <w:r>
        <w:rPr>
          <w:rFonts w:ascii="宋体" w:hAnsi="宋体" w:hint="eastAsia"/>
          <w:lang w:eastAsia="zh-Hans"/>
        </w:rPr>
        <w:t>[2011]1753</w:t>
      </w:r>
      <w:r>
        <w:rPr>
          <w:rFonts w:ascii="宋体" w:hAnsi="宋体" w:hint="eastAsia"/>
          <w:lang w:eastAsia="zh-Hans"/>
        </w:rPr>
        <w:t>号文核准募集的上投摩根健康品质生活股票型证券投资基金于</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日公告更名而来。原《上投摩根健康品质生活股票型证券投资基金基金合同》于</w:t>
      </w:r>
      <w:r>
        <w:rPr>
          <w:rFonts w:ascii="宋体" w:hAnsi="宋体" w:hint="eastAsia"/>
          <w:lang w:eastAsia="zh-Hans"/>
        </w:rPr>
        <w:t>2012</w:t>
      </w:r>
      <w:r>
        <w:rPr>
          <w:rFonts w:ascii="宋体" w:hAnsi="宋体" w:hint="eastAsia"/>
          <w:lang w:eastAsia="zh-Hans"/>
        </w:rPr>
        <w:t>年</w:t>
      </w:r>
      <w:r>
        <w:rPr>
          <w:rFonts w:ascii="宋体" w:hAnsi="宋体" w:hint="eastAsia"/>
          <w:lang w:eastAsia="zh-Hans"/>
        </w:rPr>
        <w:t>02</w:t>
      </w:r>
      <w:r>
        <w:rPr>
          <w:rFonts w:ascii="宋体" w:hAnsi="宋体" w:hint="eastAsia"/>
          <w:lang w:eastAsia="zh-Hans"/>
        </w:rPr>
        <w:t>月</w:t>
      </w:r>
      <w:r>
        <w:rPr>
          <w:rFonts w:ascii="宋体" w:hAnsi="宋体" w:hint="eastAsia"/>
          <w:lang w:eastAsia="zh-Hans"/>
        </w:rPr>
        <w:t>01</w:t>
      </w:r>
      <w:r>
        <w:rPr>
          <w:rFonts w:ascii="宋体" w:hAnsi="宋体" w:hint="eastAsia"/>
          <w:lang w:eastAsia="zh-Hans"/>
        </w:rPr>
        <w:t>日正式生效。经基金份额持有人大会决议生效，自</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日起，变更后的《摩根健康品质生活混合型证券投资基金基金合同》生效，图示的时间段为原基金合同生效日至本报告期末。</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B0ADE" w:rsidRDefault="006B0AD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6B0ADE" w:rsidRDefault="006B0AD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2019691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2019691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r>
      <w:tr w:rsidR="00000000">
        <w:trPr>
          <w:divId w:val="152019691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徐项</w:t>
            </w:r>
            <w:r>
              <w:rPr>
                <w:rFonts w:ascii="宋体" w:hAnsi="宋体" w:hint="eastAsia"/>
                <w:szCs w:val="24"/>
                <w:lang w:eastAsia="zh-Hans"/>
              </w:rPr>
              <w:t>楠</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szCs w:val="24"/>
                <w:lang w:eastAsia="zh-Hans"/>
              </w:rPr>
              <w:t>徐项楠先生曾任中海基金管理有限公司行业分析师，中银基金管理有限公司高级分析师。</w:t>
            </w:r>
            <w:r>
              <w:rPr>
                <w:rFonts w:ascii="宋体" w:hAnsi="宋体" w:hint="eastAsia"/>
                <w:szCs w:val="24"/>
                <w:lang w:eastAsia="zh-Hans"/>
              </w:rPr>
              <w:t>2017</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月加入摩根基金管理（中国）有限公司（原上投摩根基金管理有限公司），历任研究员、行业专家、行业专家</w:t>
            </w:r>
            <w:r>
              <w:rPr>
                <w:rFonts w:ascii="宋体" w:hAnsi="宋体" w:hint="eastAsia"/>
                <w:szCs w:val="24"/>
                <w:lang w:eastAsia="zh-Hans"/>
              </w:rPr>
              <w:t>/</w:t>
            </w:r>
            <w:r>
              <w:rPr>
                <w:rFonts w:ascii="宋体" w:hAnsi="宋体" w:hint="eastAsia"/>
                <w:szCs w:val="24"/>
                <w:lang w:eastAsia="zh-Hans"/>
              </w:rPr>
              <w:t>基金经理助理，现任高级基金经理</w:t>
            </w:r>
            <w:r>
              <w:rPr>
                <w:rFonts w:ascii="宋体" w:hAnsi="宋体" w:hint="eastAsia"/>
                <w:szCs w:val="24"/>
                <w:lang w:eastAsia="zh-Hans"/>
              </w:rPr>
              <w:t>。</w:t>
            </w:r>
          </w:p>
        </w:tc>
      </w:tr>
    </w:tbl>
    <w:p w:rsidR="006B0ADE" w:rsidRDefault="006B0ADE">
      <w:pPr>
        <w:wordWrap w:val="0"/>
        <w:spacing w:line="360" w:lineRule="auto"/>
        <w:jc w:val="left"/>
        <w:divId w:val="59737623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B0ADE" w:rsidRDefault="006B0AD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6B0ADE" w:rsidRDefault="006B0AD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B0ADE" w:rsidRDefault="006B0AD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6B0ADE" w:rsidRDefault="006B0AD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6B0ADE" w:rsidRDefault="006B0AD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B0ADE" w:rsidRDefault="006B0AD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6B0ADE" w:rsidRDefault="006B0AD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B0ADE" w:rsidRDefault="006B0AD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cs="宋体" w:hint="eastAsia"/>
          <w:color w:val="000000"/>
          <w:kern w:val="0"/>
        </w:rPr>
        <w:t>受中东冲突带来的能源供给冲击以及内需持续偏弱影响，</w:t>
      </w:r>
      <w:r>
        <w:rPr>
          <w:rFonts w:ascii="宋体" w:hAnsi="宋体" w:cs="宋体" w:hint="eastAsia"/>
          <w:color w:val="000000"/>
          <w:kern w:val="0"/>
        </w:rPr>
        <w:t>2026</w:t>
      </w:r>
      <w:r>
        <w:rPr>
          <w:rFonts w:ascii="宋体" w:hAnsi="宋体" w:cs="宋体" w:hint="eastAsia"/>
          <w:color w:val="000000"/>
          <w:kern w:val="0"/>
        </w:rPr>
        <w:t>年二季度经济动能较</w:t>
      </w:r>
      <w:r>
        <w:rPr>
          <w:rFonts w:ascii="宋体" w:hAnsi="宋体" w:cs="宋体" w:hint="eastAsia"/>
          <w:color w:val="000000"/>
          <w:kern w:val="0"/>
        </w:rPr>
        <w:t>2026</w:t>
      </w:r>
      <w:r>
        <w:rPr>
          <w:rFonts w:ascii="宋体" w:hAnsi="宋体" w:cs="宋体" w:hint="eastAsia"/>
          <w:color w:val="000000"/>
          <w:kern w:val="0"/>
        </w:rPr>
        <w:t>年一季度放缓，但</w:t>
      </w:r>
      <w:r>
        <w:rPr>
          <w:rFonts w:ascii="宋体" w:hAnsi="宋体" w:cs="宋体" w:hint="eastAsia"/>
          <w:color w:val="000000"/>
          <w:kern w:val="0"/>
        </w:rPr>
        <w:t>AI</w:t>
      </w:r>
      <w:r>
        <w:rPr>
          <w:rFonts w:ascii="宋体" w:hAnsi="宋体" w:cs="宋体" w:hint="eastAsia"/>
          <w:color w:val="000000"/>
          <w:kern w:val="0"/>
        </w:rPr>
        <w:t>等新兴产业高景气度持续。生产端来看，</w:t>
      </w:r>
      <w:r>
        <w:rPr>
          <w:rFonts w:ascii="宋体" w:hAnsi="宋体" w:cs="宋体" w:hint="eastAsia"/>
          <w:color w:val="000000"/>
          <w:kern w:val="0"/>
        </w:rPr>
        <w:t>4-5</w:t>
      </w:r>
      <w:r>
        <w:rPr>
          <w:rFonts w:ascii="宋体" w:hAnsi="宋体" w:cs="宋体" w:hint="eastAsia"/>
          <w:color w:val="000000"/>
          <w:kern w:val="0"/>
        </w:rPr>
        <w:t>月工业增加值、服务业生产指数平均同比分别为</w:t>
      </w:r>
      <w:r>
        <w:rPr>
          <w:rFonts w:ascii="宋体" w:hAnsi="宋体" w:cs="宋体" w:hint="eastAsia"/>
          <w:color w:val="000000"/>
          <w:kern w:val="0"/>
        </w:rPr>
        <w:t>4.3%</w:t>
      </w:r>
      <w:r>
        <w:rPr>
          <w:rFonts w:ascii="宋体" w:hAnsi="宋体" w:cs="宋体" w:hint="eastAsia"/>
          <w:color w:val="000000"/>
          <w:kern w:val="0"/>
        </w:rPr>
        <w:t>、</w:t>
      </w:r>
      <w:r>
        <w:rPr>
          <w:rFonts w:ascii="宋体" w:hAnsi="宋体" w:cs="宋体" w:hint="eastAsia"/>
          <w:color w:val="000000"/>
          <w:kern w:val="0"/>
        </w:rPr>
        <w:t>4.4%</w:t>
      </w:r>
      <w:r>
        <w:rPr>
          <w:rFonts w:ascii="宋体" w:hAnsi="宋体" w:cs="宋体" w:hint="eastAsia"/>
          <w:color w:val="000000"/>
          <w:kern w:val="0"/>
        </w:rPr>
        <w:t>，较</w:t>
      </w:r>
      <w:r>
        <w:rPr>
          <w:rFonts w:ascii="宋体" w:hAnsi="宋体" w:cs="宋体" w:hint="eastAsia"/>
          <w:color w:val="000000"/>
          <w:kern w:val="0"/>
        </w:rPr>
        <w:t>2026</w:t>
      </w:r>
      <w:r>
        <w:rPr>
          <w:rFonts w:ascii="宋体" w:hAnsi="宋体" w:cs="宋体" w:hint="eastAsia"/>
          <w:color w:val="000000"/>
          <w:kern w:val="0"/>
        </w:rPr>
        <w:t>年一季度下降</w:t>
      </w:r>
      <w:r>
        <w:rPr>
          <w:rFonts w:ascii="宋体" w:hAnsi="宋体" w:cs="宋体" w:hint="eastAsia"/>
          <w:color w:val="000000"/>
          <w:kern w:val="0"/>
        </w:rPr>
        <w:t>1.8</w:t>
      </w:r>
      <w:r>
        <w:rPr>
          <w:rFonts w:ascii="宋体" w:hAnsi="宋体" w:cs="宋体" w:hint="eastAsia"/>
          <w:color w:val="000000"/>
          <w:kern w:val="0"/>
        </w:rPr>
        <w:t>、</w:t>
      </w:r>
      <w:r>
        <w:rPr>
          <w:rFonts w:ascii="宋体" w:hAnsi="宋体" w:cs="宋体" w:hint="eastAsia"/>
          <w:color w:val="000000"/>
          <w:kern w:val="0"/>
        </w:rPr>
        <w:t>0.7</w:t>
      </w:r>
      <w:r>
        <w:rPr>
          <w:rFonts w:ascii="宋体" w:hAnsi="宋体" w:cs="宋体" w:hint="eastAsia"/>
          <w:color w:val="000000"/>
          <w:kern w:val="0"/>
        </w:rPr>
        <w:t>个百分点。需求端来看，外需保持稳健增长，而内需仍然持续偏弱。虽然受到中东冲突带来的能源供给冲击影响，海外传统商品需求偏弱，但是</w:t>
      </w:r>
      <w:r>
        <w:rPr>
          <w:rFonts w:ascii="宋体" w:hAnsi="宋体" w:cs="宋体" w:hint="eastAsia"/>
          <w:color w:val="000000"/>
          <w:kern w:val="0"/>
        </w:rPr>
        <w:t>AI</w:t>
      </w:r>
      <w:r>
        <w:rPr>
          <w:rFonts w:ascii="宋体" w:hAnsi="宋体" w:cs="宋体" w:hint="eastAsia"/>
          <w:color w:val="000000"/>
          <w:kern w:val="0"/>
        </w:rPr>
        <w:t>等新兴产业景气度持续，实现量价齐升，带动中国相关产品出口上升。</w:t>
      </w:r>
      <w:r>
        <w:rPr>
          <w:rFonts w:ascii="宋体" w:hAnsi="宋体" w:cs="宋体" w:hint="eastAsia"/>
          <w:color w:val="000000"/>
          <w:kern w:val="0"/>
        </w:rPr>
        <w:t>4-5</w:t>
      </w:r>
      <w:r>
        <w:rPr>
          <w:rFonts w:ascii="宋体" w:hAnsi="宋体" w:cs="宋体" w:hint="eastAsia"/>
          <w:color w:val="000000"/>
          <w:kern w:val="0"/>
        </w:rPr>
        <w:t>月出口同比增长</w:t>
      </w:r>
      <w:r>
        <w:rPr>
          <w:rFonts w:ascii="宋体" w:hAnsi="宋体" w:cs="宋体" w:hint="eastAsia"/>
          <w:color w:val="000000"/>
          <w:kern w:val="0"/>
        </w:rPr>
        <w:t>16.7%</w:t>
      </w:r>
      <w:r>
        <w:rPr>
          <w:rFonts w:ascii="宋体" w:hAnsi="宋体" w:cs="宋体" w:hint="eastAsia"/>
          <w:color w:val="000000"/>
          <w:kern w:val="0"/>
        </w:rPr>
        <w:t>，较一季度的</w:t>
      </w:r>
      <w:r>
        <w:rPr>
          <w:rFonts w:ascii="宋体" w:hAnsi="宋体" w:cs="宋体" w:hint="eastAsia"/>
          <w:color w:val="000000"/>
          <w:kern w:val="0"/>
        </w:rPr>
        <w:t>14.7%</w:t>
      </w:r>
      <w:r>
        <w:rPr>
          <w:rFonts w:ascii="宋体" w:hAnsi="宋体" w:cs="宋体" w:hint="eastAsia"/>
          <w:color w:val="000000"/>
          <w:kern w:val="0"/>
        </w:rPr>
        <w:t>进一步上升。内需方面，虽然服务消费保持稳健，但是受以旧换新政策效果消退以及房地产持续偏弱影响，更偏商品消费的</w:t>
      </w:r>
      <w:r>
        <w:rPr>
          <w:rFonts w:ascii="宋体" w:hAnsi="宋体" w:cs="宋体" w:hint="eastAsia"/>
          <w:color w:val="000000"/>
          <w:kern w:val="0"/>
        </w:rPr>
        <w:t>4-5</w:t>
      </w:r>
      <w:r>
        <w:rPr>
          <w:rFonts w:ascii="宋体" w:hAnsi="宋体" w:cs="宋体" w:hint="eastAsia"/>
          <w:color w:val="000000"/>
          <w:kern w:val="0"/>
        </w:rPr>
        <w:t>月社会消费品零售总额同比</w:t>
      </w:r>
      <w:r>
        <w:rPr>
          <w:rFonts w:ascii="宋体" w:hAnsi="宋体" w:cs="宋体" w:hint="eastAsia"/>
          <w:color w:val="000000"/>
          <w:kern w:val="0"/>
        </w:rPr>
        <w:t>-0.2%</w:t>
      </w:r>
      <w:r>
        <w:rPr>
          <w:rFonts w:ascii="宋体" w:hAnsi="宋体" w:cs="宋体" w:hint="eastAsia"/>
          <w:color w:val="000000"/>
          <w:kern w:val="0"/>
        </w:rPr>
        <w:t>，较一季度的</w:t>
      </w:r>
      <w:r>
        <w:rPr>
          <w:rFonts w:ascii="宋体" w:hAnsi="宋体" w:cs="宋体" w:hint="eastAsia"/>
          <w:color w:val="000000"/>
          <w:kern w:val="0"/>
        </w:rPr>
        <w:t>2.4%</w:t>
      </w:r>
      <w:r>
        <w:rPr>
          <w:rFonts w:ascii="宋体" w:hAnsi="宋体" w:cs="宋体" w:hint="eastAsia"/>
          <w:color w:val="000000"/>
          <w:kern w:val="0"/>
        </w:rPr>
        <w:t>下降。固定资产投资增速再度转负，</w:t>
      </w:r>
      <w:r>
        <w:rPr>
          <w:rFonts w:ascii="宋体" w:hAnsi="宋体" w:cs="宋体" w:hint="eastAsia"/>
          <w:color w:val="000000"/>
          <w:kern w:val="0"/>
        </w:rPr>
        <w:t>1-5</w:t>
      </w:r>
      <w:r>
        <w:rPr>
          <w:rFonts w:ascii="宋体" w:hAnsi="宋体" w:cs="宋体" w:hint="eastAsia"/>
          <w:color w:val="000000"/>
          <w:kern w:val="0"/>
        </w:rPr>
        <w:t>月为</w:t>
      </w:r>
      <w:r>
        <w:rPr>
          <w:rFonts w:ascii="宋体" w:hAnsi="宋体" w:cs="宋体" w:hint="eastAsia"/>
          <w:color w:val="000000"/>
          <w:kern w:val="0"/>
        </w:rPr>
        <w:t>-4.1%</w:t>
      </w:r>
      <w:r>
        <w:rPr>
          <w:rFonts w:ascii="宋体" w:hAnsi="宋体" w:cs="宋体" w:hint="eastAsia"/>
          <w:color w:val="000000"/>
          <w:kern w:val="0"/>
        </w:rPr>
        <w:t>，较一季度的</w:t>
      </w:r>
      <w:r>
        <w:rPr>
          <w:rFonts w:ascii="宋体" w:hAnsi="宋体" w:cs="宋体" w:hint="eastAsia"/>
          <w:color w:val="000000"/>
          <w:kern w:val="0"/>
        </w:rPr>
        <w:t>+1.7%</w:t>
      </w:r>
      <w:r>
        <w:rPr>
          <w:rFonts w:ascii="宋体" w:hAnsi="宋体" w:cs="宋体" w:hint="eastAsia"/>
          <w:color w:val="000000"/>
          <w:kern w:val="0"/>
        </w:rPr>
        <w:t>下降，主要受建安投资拖累。分行业来看，三大项投资增速皆较一季度下降。全国层面房地产仍然偏弱，房地产投资降幅扩大；制造业投资也由正转负；虽然边际走弱，但是财政政策整体仍有一定支撑，基建仍然维持正增长。价格方面，受油价上升影响，</w:t>
      </w:r>
      <w:r>
        <w:rPr>
          <w:rFonts w:ascii="宋体" w:hAnsi="宋体" w:cs="宋体" w:hint="eastAsia"/>
          <w:color w:val="000000"/>
          <w:kern w:val="0"/>
        </w:rPr>
        <w:t>4-5</w:t>
      </w:r>
      <w:r>
        <w:rPr>
          <w:rFonts w:ascii="宋体" w:hAnsi="宋体" w:cs="宋体" w:hint="eastAsia"/>
          <w:color w:val="000000"/>
          <w:kern w:val="0"/>
        </w:rPr>
        <w:t>月</w:t>
      </w:r>
      <w:r>
        <w:rPr>
          <w:rFonts w:ascii="宋体" w:hAnsi="宋体" w:cs="宋体" w:hint="eastAsia"/>
          <w:color w:val="000000"/>
          <w:kern w:val="0"/>
        </w:rPr>
        <w:t>CPI</w:t>
      </w:r>
      <w:r>
        <w:rPr>
          <w:rFonts w:ascii="宋体" w:hAnsi="宋体" w:cs="宋体" w:hint="eastAsia"/>
          <w:color w:val="000000"/>
          <w:kern w:val="0"/>
        </w:rPr>
        <w:t>、</w:t>
      </w:r>
      <w:r>
        <w:rPr>
          <w:rFonts w:ascii="宋体" w:hAnsi="宋体" w:cs="宋体" w:hint="eastAsia"/>
          <w:color w:val="000000"/>
          <w:kern w:val="0"/>
        </w:rPr>
        <w:t>PPI</w:t>
      </w:r>
      <w:r>
        <w:rPr>
          <w:rFonts w:ascii="宋体" w:hAnsi="宋体" w:cs="宋体" w:hint="eastAsia"/>
          <w:color w:val="000000"/>
          <w:kern w:val="0"/>
        </w:rPr>
        <w:t>同比分别为</w:t>
      </w:r>
      <w:r>
        <w:rPr>
          <w:rFonts w:ascii="宋体" w:hAnsi="宋体" w:cs="宋体" w:hint="eastAsia"/>
          <w:color w:val="000000"/>
          <w:kern w:val="0"/>
        </w:rPr>
        <w:t>1.2%</w:t>
      </w:r>
      <w:r>
        <w:rPr>
          <w:rFonts w:ascii="宋体" w:hAnsi="宋体" w:cs="宋体" w:hint="eastAsia"/>
          <w:color w:val="000000"/>
          <w:kern w:val="0"/>
        </w:rPr>
        <w:t>、</w:t>
      </w:r>
      <w:r>
        <w:rPr>
          <w:rFonts w:ascii="宋体" w:hAnsi="宋体" w:cs="宋体" w:hint="eastAsia"/>
          <w:color w:val="000000"/>
          <w:kern w:val="0"/>
        </w:rPr>
        <w:t>3.4%</w:t>
      </w:r>
      <w:r>
        <w:rPr>
          <w:rFonts w:ascii="宋体" w:hAnsi="宋体" w:cs="宋体" w:hint="eastAsia"/>
          <w:color w:val="000000"/>
          <w:kern w:val="0"/>
        </w:rPr>
        <w:t>，尤其是</w:t>
      </w:r>
      <w:r>
        <w:rPr>
          <w:rFonts w:ascii="宋体" w:hAnsi="宋体" w:cs="宋体" w:hint="eastAsia"/>
          <w:color w:val="000000"/>
          <w:kern w:val="0"/>
        </w:rPr>
        <w:t>PPI</w:t>
      </w:r>
      <w:r>
        <w:rPr>
          <w:rFonts w:ascii="宋体" w:hAnsi="宋体" w:cs="宋体" w:hint="eastAsia"/>
          <w:color w:val="000000"/>
          <w:kern w:val="0"/>
        </w:rPr>
        <w:t>较一季度显著上升。市场预期中东冲突缓和，因此整体反弹上行，但行业结构分化明显。沪深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36.4%</w:t>
      </w:r>
      <w:r>
        <w:rPr>
          <w:rFonts w:ascii="宋体" w:hAnsi="宋体" w:cs="宋体" w:hint="eastAsia"/>
          <w:color w:val="000000"/>
          <w:kern w:val="0"/>
        </w:rPr>
        <w:t>。从行业表现来看，电子、通信、建材等行业涨幅居前，消费者服务、农林牧渔、综合等行业表现相对靠后。报告期内，本基金遵循契约，重点聚焦</w:t>
      </w:r>
      <w:r>
        <w:rPr>
          <w:rFonts w:ascii="宋体" w:hAnsi="宋体" w:cs="宋体" w:hint="eastAsia"/>
          <w:color w:val="000000"/>
          <w:kern w:val="0"/>
        </w:rPr>
        <w:t>AH</w:t>
      </w:r>
      <w:r>
        <w:rPr>
          <w:rFonts w:ascii="宋体" w:hAnsi="宋体" w:cs="宋体" w:hint="eastAsia"/>
          <w:color w:val="000000"/>
          <w:kern w:val="0"/>
        </w:rPr>
        <w:t>两地各消费子行业的优质公司以及新消费公司，报告期内业绩表现与基准持平。</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三季度，我们保持谨慎乐观。外部来看，中东冲突整体呈现波动缓和态势，美联储或按兵不动，外需或维持韧性，中国出口或仍将维持较高增速。内部来看，央行或将维持总量货币政策不变，更多采用结构性货币政策。而虽然全国层面房地产或仍然处于寻底状态中，但“十五五”规划或进一步落地，财政政策或将边际提速，重点投向重大项目和民生领域。在此背景下，基建投资和消费增速或将较二季度边际改善。行业结构上，预计</w:t>
      </w:r>
      <w:r>
        <w:rPr>
          <w:rFonts w:ascii="宋体" w:hAnsi="宋体" w:cs="宋体" w:hint="eastAsia"/>
          <w:color w:val="000000"/>
          <w:kern w:val="0"/>
        </w:rPr>
        <w:t>AI</w:t>
      </w:r>
      <w:r>
        <w:rPr>
          <w:rFonts w:ascii="宋体" w:hAnsi="宋体" w:cs="宋体" w:hint="eastAsia"/>
          <w:color w:val="000000"/>
          <w:kern w:val="0"/>
        </w:rPr>
        <w:t>等新兴产业和传统产业之间的分化或仍将持续，但不排除边际上有一定收窄的可能性。风险点一是中东冲突再度恶化，二是美联储超预期收紧货币政策，三是</w:t>
      </w:r>
      <w:r>
        <w:rPr>
          <w:rFonts w:ascii="宋体" w:hAnsi="宋体" w:cs="宋体" w:hint="eastAsia"/>
          <w:color w:val="000000"/>
          <w:kern w:val="0"/>
        </w:rPr>
        <w:t>AI</w:t>
      </w:r>
      <w:r>
        <w:rPr>
          <w:rFonts w:ascii="宋体" w:hAnsi="宋体" w:cs="宋体" w:hint="eastAsia"/>
          <w:color w:val="000000"/>
          <w:kern w:val="0"/>
        </w:rPr>
        <w:t>领域估值过高，四是房地产市场持续偏弱。消费行业上，我们认为消费受益于政策托举，或有阶段性机会。另外，新一代年轻人消费观的改善，带来了这个群体跨期消费主观偏好的显著提升，从而带动新消费行业的繁荣。该现象在美国、日本等国家历史上均有发生，伴随着经济高速发展成长起来的新一代年轻人，往往具备更高的跨期消费意愿，而消费人群整体跨期主观偏好的提升将对消费社会产生深远影响。我们认为消费方向虽然仍面临众多不确定性，但估值水平已释放一定风险，当下消费社会亦呈现出较为明显的</w:t>
      </w:r>
      <w:r>
        <w:rPr>
          <w:rFonts w:ascii="宋体" w:hAnsi="宋体" w:cs="宋体" w:hint="eastAsia"/>
          <w:color w:val="000000"/>
          <w:kern w:val="0"/>
        </w:rPr>
        <w:t>M</w:t>
      </w:r>
      <w:r>
        <w:rPr>
          <w:rFonts w:ascii="宋体" w:hAnsi="宋体" w:cs="宋体" w:hint="eastAsia"/>
          <w:color w:val="000000"/>
          <w:kern w:val="0"/>
        </w:rPr>
        <w:t>型特征，即传统消费的“高性价比消费”特点和新消费的“小众的功能性优质消费”特点。本基金持有以上方向的细分板块优质公司。未来我们亦将继续严格按照基金契约的要求，重点投资品质消费相关行业中具有相对估值优势、增长前景确定的优质公司。我们将加强对上市公司基本面的研究力度，力争为持有人创造较好回报</w:t>
      </w:r>
      <w:r>
        <w:rPr>
          <w:rFonts w:ascii="宋体" w:hAnsi="宋体" w:cs="宋体" w:hint="eastAsia"/>
          <w:color w:val="000000"/>
          <w:kern w:val="0"/>
        </w:rPr>
        <w:t>。</w:t>
      </w:r>
    </w:p>
    <w:p w:rsidR="006B0ADE" w:rsidRDefault="006B0AD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6B0ADE" w:rsidRDefault="006B0ADE">
      <w:pPr>
        <w:spacing w:line="360" w:lineRule="auto"/>
        <w:ind w:firstLineChars="200" w:firstLine="420"/>
        <w:rPr>
          <w:rFonts w:hint="eastAsia"/>
        </w:rPr>
      </w:pPr>
      <w:r>
        <w:rPr>
          <w:rFonts w:ascii="宋体" w:hAnsi="宋体" w:hint="eastAsia"/>
        </w:rPr>
        <w:t>本报告期摩根健康品质生活混合</w:t>
      </w:r>
      <w:r>
        <w:rPr>
          <w:rFonts w:ascii="宋体" w:hAnsi="宋体" w:hint="eastAsia"/>
        </w:rPr>
        <w:t>A</w:t>
      </w:r>
      <w:r>
        <w:rPr>
          <w:rFonts w:ascii="宋体" w:hAnsi="宋体" w:hint="eastAsia"/>
        </w:rPr>
        <w:t>份额净值增长率为：</w:t>
      </w:r>
      <w:r>
        <w:rPr>
          <w:rFonts w:ascii="宋体" w:hAnsi="宋体" w:hint="eastAsia"/>
        </w:rPr>
        <w:t>-11.38%</w:t>
      </w:r>
      <w:r>
        <w:rPr>
          <w:rFonts w:ascii="宋体" w:hAnsi="宋体" w:hint="eastAsia"/>
        </w:rPr>
        <w:t>，同期业绩比较基准收益率为：</w:t>
      </w:r>
      <w:r>
        <w:rPr>
          <w:rFonts w:ascii="宋体" w:hAnsi="宋体" w:hint="eastAsia"/>
        </w:rPr>
        <w:t>-12.48%</w:t>
      </w:r>
      <w:r>
        <w:rPr>
          <w:rFonts w:ascii="宋体" w:hAnsi="宋体" w:hint="eastAsia"/>
        </w:rPr>
        <w:t>；</w:t>
      </w:r>
      <w:r>
        <w:rPr>
          <w:rFonts w:ascii="宋体" w:hAnsi="宋体" w:hint="eastAsia"/>
        </w:rPr>
        <w:br/>
      </w:r>
      <w:r>
        <w:rPr>
          <w:rFonts w:ascii="宋体" w:hAnsi="宋体" w:hint="eastAsia"/>
        </w:rPr>
        <w:t xml:space="preserve">　　摩根健康品质生活混合</w:t>
      </w:r>
      <w:r>
        <w:rPr>
          <w:rFonts w:ascii="宋体" w:hAnsi="宋体" w:hint="eastAsia"/>
        </w:rPr>
        <w:t>C</w:t>
      </w:r>
      <w:r>
        <w:rPr>
          <w:rFonts w:ascii="宋体" w:hAnsi="宋体" w:hint="eastAsia"/>
        </w:rPr>
        <w:t>份额净值增长率为：</w:t>
      </w:r>
      <w:r>
        <w:rPr>
          <w:rFonts w:ascii="宋体" w:hAnsi="宋体" w:hint="eastAsia"/>
        </w:rPr>
        <w:t>-11.50%</w:t>
      </w:r>
      <w:r>
        <w:rPr>
          <w:rFonts w:ascii="宋体" w:hAnsi="宋体" w:hint="eastAsia"/>
        </w:rPr>
        <w:t>，同期业绩比较基准收益率为：</w:t>
      </w:r>
      <w:r>
        <w:rPr>
          <w:rFonts w:ascii="宋体" w:hAnsi="宋体" w:hint="eastAsia"/>
        </w:rPr>
        <w:t>-12.48%</w:t>
      </w:r>
      <w:r>
        <w:rPr>
          <w:rFonts w:ascii="宋体" w:hAnsi="宋体" w:hint="eastAsia"/>
        </w:rPr>
        <w:t>。</w:t>
      </w:r>
    </w:p>
    <w:p w:rsidR="006B0ADE" w:rsidRDefault="006B0AD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B0ADE" w:rsidRDefault="006B0AD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6B0ADE" w:rsidRDefault="006B0AD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97,611,044.4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82.3</w:t>
            </w:r>
            <w:r>
              <w:rPr>
                <w:rFonts w:ascii="宋体" w:hAnsi="宋体" w:hint="eastAsia"/>
                <w:szCs w:val="24"/>
                <w:lang w:eastAsia="zh-Hans"/>
              </w:rPr>
              <w:t>8</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97,611,044.4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82.3</w:t>
            </w:r>
            <w:r>
              <w:rPr>
                <w:rFonts w:ascii="宋体" w:hAnsi="宋体" w:hint="eastAsia"/>
                <w:szCs w:val="24"/>
                <w:lang w:eastAsia="zh-Hans"/>
              </w:rPr>
              <w:t>8</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20,384,162.1</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17.2</w:t>
            </w:r>
            <w:r>
              <w:rPr>
                <w:rFonts w:ascii="宋体" w:hAnsi="宋体" w:hint="eastAsia"/>
                <w:szCs w:val="24"/>
                <w:lang w:eastAsia="zh-Hans"/>
              </w:rPr>
              <w:t>0</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491,948.2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0.4</w:t>
            </w:r>
            <w:r>
              <w:rPr>
                <w:rFonts w:ascii="宋体" w:hAnsi="宋体" w:hint="eastAsia"/>
                <w:szCs w:val="24"/>
                <w:lang w:eastAsia="zh-Hans"/>
              </w:rPr>
              <w:t>2</w:t>
            </w:r>
          </w:p>
        </w:tc>
      </w:tr>
      <w:tr w:rsidR="00000000">
        <w:trPr>
          <w:divId w:val="17036742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B0ADE" w:rsidRDefault="006B0AD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B0ADE" w:rsidRDefault="006B0AD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118,487,154.8</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B0ADE" w:rsidRDefault="006B0ADE">
            <w:pPr>
              <w:jc w:val="right"/>
            </w:pPr>
            <w:r>
              <w:rPr>
                <w:rFonts w:ascii="宋体" w:hAnsi="宋体" w:hint="eastAsia"/>
                <w:szCs w:val="24"/>
                <w:lang w:eastAsia="zh-Hans"/>
              </w:rPr>
              <w:t>100.0</w:t>
            </w:r>
            <w:r>
              <w:rPr>
                <w:rFonts w:ascii="宋体" w:hAnsi="宋体" w:hint="eastAsia"/>
                <w:szCs w:val="24"/>
                <w:lang w:eastAsia="zh-Hans"/>
              </w:rPr>
              <w:t>0</w:t>
            </w:r>
          </w:p>
        </w:tc>
      </w:tr>
    </w:tbl>
    <w:p w:rsidR="006B0ADE" w:rsidRDefault="006B0ADE">
      <w:pPr>
        <w:spacing w:line="360" w:lineRule="auto"/>
        <w:jc w:val="left"/>
        <w:divId w:val="535653509"/>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34,515,457.97</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29.34%</w:t>
      </w:r>
      <w:r>
        <w:rPr>
          <w:rFonts w:ascii="宋体" w:hAnsi="宋体" w:hint="eastAsia"/>
        </w:rPr>
        <w:t>。</w:t>
      </w:r>
    </w:p>
    <w:p w:rsidR="006B0ADE" w:rsidRDefault="006B0AD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6B0ADE" w:rsidRDefault="006B0AD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12854997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B0ADE" w:rsidRDefault="006B0AD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B0ADE" w:rsidRDefault="006B0AD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8,145,322.1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6.9</w:t>
            </w:r>
            <w:r>
              <w:rPr>
                <w:rFonts w:ascii="宋体" w:hAnsi="宋体" w:hint="eastAsia"/>
                <w:szCs w:val="24"/>
                <w:lang w:eastAsia="zh-Hans"/>
              </w:rPr>
              <w:t>2</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54,950,264.3</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46.7</w:t>
            </w:r>
            <w:r>
              <w:rPr>
                <w:rFonts w:ascii="宋体" w:hAnsi="宋体" w:hint="eastAsia"/>
                <w:szCs w:val="24"/>
                <w:lang w:eastAsia="zh-Hans"/>
              </w:rPr>
              <w:t>0</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w:t>
            </w:r>
          </w:p>
        </w:tc>
      </w:tr>
      <w:tr w:rsidR="00000000">
        <w:trPr>
          <w:divId w:val="112854997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B0ADE" w:rsidRDefault="006B0AD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B0ADE" w:rsidRDefault="006B0AD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B0ADE" w:rsidRDefault="006B0ADE">
            <w:pPr>
              <w:jc w:val="right"/>
            </w:pPr>
            <w:r>
              <w:rPr>
                <w:rFonts w:ascii="宋体" w:hAnsi="宋体" w:hint="eastAsia"/>
                <w:szCs w:val="24"/>
                <w:lang w:eastAsia="zh-Hans"/>
              </w:rPr>
              <w:t>63,095,586.4</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B0ADE" w:rsidRDefault="006B0ADE">
            <w:pPr>
              <w:jc w:val="right"/>
            </w:pPr>
            <w:r>
              <w:rPr>
                <w:rFonts w:ascii="宋体" w:hAnsi="宋体" w:hint="eastAsia"/>
                <w:szCs w:val="24"/>
                <w:lang w:eastAsia="zh-Hans"/>
              </w:rPr>
              <w:t>53.6</w:t>
            </w:r>
            <w:r>
              <w:rPr>
                <w:rFonts w:ascii="宋体" w:hAnsi="宋体" w:hint="eastAsia"/>
                <w:szCs w:val="24"/>
                <w:lang w:eastAsia="zh-Hans"/>
              </w:rPr>
              <w:t>3</w:t>
            </w:r>
          </w:p>
        </w:tc>
      </w:tr>
    </w:tbl>
    <w:p w:rsidR="006B0ADE" w:rsidRDefault="006B0AD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B0ADE" w:rsidRDefault="006B0ADE">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B0ADE" w:rsidRDefault="006B0ADE">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B0ADE" w:rsidRDefault="006B0AD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9,964,485.6</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8.4</w:t>
            </w:r>
            <w:r>
              <w:rPr>
                <w:rFonts w:ascii="宋体" w:hAnsi="宋体" w:hint="eastAsia"/>
                <w:szCs w:val="24"/>
                <w:lang w:eastAsia="zh-Hans"/>
              </w:rPr>
              <w:t>7</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4,545,869.1</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3.8</w:t>
            </w:r>
            <w:r>
              <w:rPr>
                <w:rFonts w:ascii="宋体" w:hAnsi="宋体" w:hint="eastAsia"/>
                <w:szCs w:val="24"/>
                <w:lang w:eastAsia="zh-Hans"/>
              </w:rPr>
              <w:t>6</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11,390,588.0</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9.6</w:t>
            </w:r>
            <w:r>
              <w:rPr>
                <w:rFonts w:ascii="宋体" w:hAnsi="宋体" w:hint="eastAsia"/>
                <w:szCs w:val="24"/>
                <w:lang w:eastAsia="zh-Hans"/>
              </w:rPr>
              <w:t>8</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8,614,515.1</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7.3</w:t>
            </w:r>
            <w:r>
              <w:rPr>
                <w:rFonts w:ascii="宋体" w:hAnsi="宋体" w:hint="eastAsia"/>
                <w:szCs w:val="24"/>
                <w:lang w:eastAsia="zh-Hans"/>
              </w:rPr>
              <w:t>2</w:t>
            </w:r>
          </w:p>
        </w:tc>
      </w:tr>
      <w:tr w:rsidR="00000000">
        <w:trPr>
          <w:divId w:val="177736474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34,515,457.9</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B0ADE" w:rsidRDefault="006B0ADE">
            <w:pPr>
              <w:jc w:val="right"/>
            </w:pPr>
            <w:r>
              <w:rPr>
                <w:rFonts w:ascii="宋体" w:hAnsi="宋体" w:hint="eastAsia"/>
                <w:szCs w:val="24"/>
                <w:lang w:eastAsia="zh-Hans"/>
              </w:rPr>
              <w:t>29.3</w:t>
            </w:r>
            <w:r>
              <w:rPr>
                <w:rFonts w:ascii="宋体" w:hAnsi="宋体" w:hint="eastAsia"/>
                <w:szCs w:val="24"/>
                <w:lang w:eastAsia="zh-Hans"/>
              </w:rPr>
              <w:t>4</w:t>
            </w:r>
          </w:p>
        </w:tc>
      </w:tr>
    </w:tbl>
    <w:p w:rsidR="006B0ADE" w:rsidRDefault="006B0ADE">
      <w:pPr>
        <w:spacing w:line="360" w:lineRule="auto"/>
        <w:divId w:val="880827456"/>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6B0ADE" w:rsidRDefault="006B0AD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6B0ADE" w:rsidRDefault="006B0AD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8859856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30,51</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11,390,588.0</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9.6</w:t>
            </w:r>
            <w:r>
              <w:rPr>
                <w:rFonts w:ascii="宋体" w:hAnsi="宋体" w:hint="eastAsia"/>
                <w:szCs w:val="24"/>
                <w:lang w:eastAsia="zh-Hans"/>
              </w:rPr>
              <w:t>8</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00256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百润股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620,36</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10,496,575.8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8.9</w:t>
            </w:r>
            <w:r>
              <w:rPr>
                <w:rFonts w:ascii="宋体" w:hAnsi="宋体" w:hint="eastAsia"/>
                <w:szCs w:val="24"/>
                <w:lang w:eastAsia="zh-Hans"/>
              </w:rPr>
              <w:t>2</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60051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贵州茅</w:t>
            </w:r>
            <w:r>
              <w:rPr>
                <w:rFonts w:ascii="宋体" w:hAnsi="宋体" w:hint="eastAsia"/>
                <w:szCs w:val="24"/>
                <w:lang w:eastAsia="zh-Hans"/>
              </w:rPr>
              <w:t>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8,77</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10,399,118.2</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8.8</w:t>
            </w:r>
            <w:r>
              <w:rPr>
                <w:rFonts w:ascii="宋体" w:hAnsi="宋体" w:hint="eastAsia"/>
                <w:szCs w:val="24"/>
                <w:lang w:eastAsia="zh-Hans"/>
              </w:rPr>
              <w:t>4</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00056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泸州老</w:t>
            </w:r>
            <w:r>
              <w:rPr>
                <w:rFonts w:ascii="宋体" w:hAnsi="宋体" w:hint="eastAsia"/>
                <w:szCs w:val="24"/>
                <w:lang w:eastAsia="zh-Hans"/>
              </w:rPr>
              <w:t>窖</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132,73</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10,289,694.7</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8.7</w:t>
            </w:r>
            <w:r>
              <w:rPr>
                <w:rFonts w:ascii="宋体" w:hAnsi="宋体" w:hint="eastAsia"/>
                <w:szCs w:val="24"/>
                <w:lang w:eastAsia="zh-Hans"/>
              </w:rPr>
              <w:t>5</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0998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阿里巴巴</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120,81</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9,743,109.6</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8.2</w:t>
            </w:r>
            <w:r>
              <w:rPr>
                <w:rFonts w:ascii="宋体" w:hAnsi="宋体" w:hint="eastAsia"/>
                <w:szCs w:val="24"/>
                <w:lang w:eastAsia="zh-Hans"/>
              </w:rPr>
              <w:t>8</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0120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华润万象生</w:t>
            </w:r>
            <w:r>
              <w:rPr>
                <w:rFonts w:ascii="宋体" w:hAnsi="宋体" w:hint="eastAsia"/>
                <w:szCs w:val="24"/>
                <w:lang w:eastAsia="zh-Hans"/>
              </w:rPr>
              <w:t>活</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270,40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8,614,515.1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7.3</w:t>
            </w:r>
            <w:r>
              <w:rPr>
                <w:rFonts w:ascii="宋体" w:hAnsi="宋体" w:hint="eastAsia"/>
                <w:szCs w:val="24"/>
                <w:lang w:eastAsia="zh-Hans"/>
              </w:rPr>
              <w:t>2</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00271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牧原股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232,79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8,145,322.1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6.9</w:t>
            </w:r>
            <w:r>
              <w:rPr>
                <w:rFonts w:ascii="宋体" w:hAnsi="宋体" w:hint="eastAsia"/>
                <w:szCs w:val="24"/>
                <w:lang w:eastAsia="zh-Hans"/>
              </w:rPr>
              <w:t>2</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60328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海天味</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222,74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7,386,058.4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6.2</w:t>
            </w:r>
            <w:r>
              <w:rPr>
                <w:rFonts w:ascii="宋体" w:hAnsi="宋体" w:hint="eastAsia"/>
                <w:szCs w:val="24"/>
                <w:lang w:eastAsia="zh-Hans"/>
              </w:rPr>
              <w:t>8</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00231</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海大集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124,10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5,536,101.0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4.7</w:t>
            </w:r>
            <w:r>
              <w:rPr>
                <w:rFonts w:ascii="宋体" w:hAnsi="宋体" w:hint="eastAsia"/>
                <w:szCs w:val="24"/>
                <w:lang w:eastAsia="zh-Hans"/>
              </w:rPr>
              <w:t>1</w:t>
            </w:r>
          </w:p>
        </w:tc>
      </w:tr>
      <w:tr w:rsidR="00000000">
        <w:trPr>
          <w:divId w:val="488598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68877</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szCs w:val="24"/>
                <w:lang w:eastAsia="zh-Hans"/>
              </w:rPr>
              <w:t>影石创</w:t>
            </w:r>
            <w:r>
              <w:rPr>
                <w:rFonts w:ascii="宋体" w:hAnsi="宋体" w:hint="eastAsia"/>
                <w:szCs w:val="24"/>
                <w:lang w:eastAsia="zh-Hans"/>
              </w:rPr>
              <w:t>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34,49</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4,782,593.1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4.0</w:t>
            </w:r>
            <w:r>
              <w:rPr>
                <w:rFonts w:ascii="宋体" w:hAnsi="宋体" w:hint="eastAsia"/>
                <w:szCs w:val="24"/>
                <w:lang w:eastAsia="zh-Hans"/>
              </w:rPr>
              <w:t>6</w:t>
            </w:r>
          </w:p>
        </w:tc>
      </w:tr>
    </w:tbl>
    <w:p w:rsidR="006B0ADE" w:rsidRDefault="006B0AD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6B0ADE" w:rsidRDefault="006B0ADE">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B0ADE" w:rsidRDefault="006B0ADE">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B0ADE" w:rsidRDefault="006B0ADE">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6B0ADE" w:rsidRDefault="006B0ADE">
      <w:pPr>
        <w:spacing w:line="360" w:lineRule="auto"/>
        <w:ind w:firstLineChars="200" w:firstLine="420"/>
        <w:divId w:val="45645975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B0ADE" w:rsidRDefault="006B0ADE">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6B0ADE" w:rsidRDefault="006B0ADE">
      <w:pPr>
        <w:spacing w:line="360" w:lineRule="auto"/>
        <w:ind w:firstLineChars="200" w:firstLine="420"/>
        <w:divId w:val="81606835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B0ADE" w:rsidRDefault="006B0ADE">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6B0ADE" w:rsidRDefault="006B0ADE">
      <w:pPr>
        <w:spacing w:line="360" w:lineRule="auto"/>
        <w:ind w:firstLineChars="200" w:firstLine="420"/>
        <w:divId w:val="179228385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B0ADE" w:rsidRDefault="006B0ADE">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6B0ADE" w:rsidRDefault="006B0ADE">
      <w:pPr>
        <w:spacing w:line="360" w:lineRule="auto"/>
        <w:ind w:firstLineChars="200" w:firstLine="420"/>
        <w:divId w:val="615676453"/>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6B0ADE" w:rsidRDefault="006B0ADE">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6B0ADE" w:rsidRDefault="006B0ADE">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6B0ADE" w:rsidRDefault="006B0ADE">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B0ADE" w:rsidRDefault="006B0ADE">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6B0ADE" w:rsidRDefault="006B0AD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B0ADE" w:rsidRDefault="006B0ADE">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6930033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jc w:val="center"/>
            </w:pPr>
            <w:r>
              <w:rPr>
                <w:rFonts w:ascii="宋体" w:hAnsi="宋体" w:hint="eastAsia"/>
              </w:rPr>
              <w:t>金额（元</w:t>
            </w:r>
            <w:r>
              <w:rPr>
                <w:rFonts w:ascii="宋体" w:hAnsi="宋体" w:hint="eastAsia"/>
              </w:rPr>
              <w:t>）</w:t>
            </w:r>
            <w:r>
              <w:t xml:space="preserve"> </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166,819.9</w:t>
            </w:r>
            <w:r>
              <w:rPr>
                <w:rFonts w:ascii="宋体" w:hAnsi="宋体" w:hint="eastAsia"/>
              </w:rPr>
              <w:t>8</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265,458.8</w:t>
            </w:r>
            <w:r>
              <w:rPr>
                <w:rFonts w:ascii="宋体" w:hAnsi="宋体" w:hint="eastAsia"/>
              </w:rPr>
              <w:t>2</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59,669.4</w:t>
            </w:r>
            <w:r>
              <w:rPr>
                <w:rFonts w:ascii="宋体" w:hAnsi="宋体" w:hint="eastAsia"/>
              </w:rPr>
              <w:t>3</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p>
        </w:tc>
      </w:tr>
      <w:tr w:rsidR="00000000">
        <w:trPr>
          <w:divId w:val="8693003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491,948.2</w:t>
            </w:r>
            <w:r>
              <w:rPr>
                <w:rFonts w:ascii="宋体" w:hAnsi="宋体" w:hint="eastAsia"/>
              </w:rPr>
              <w:t>3</w:t>
            </w:r>
          </w:p>
        </w:tc>
      </w:tr>
    </w:tbl>
    <w:p w:rsidR="006B0ADE" w:rsidRDefault="006B0ADE">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6B0ADE" w:rsidRDefault="006B0AD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B0ADE" w:rsidRDefault="006B0ADE">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6B0ADE" w:rsidRDefault="006B0ADE">
      <w:pPr>
        <w:spacing w:line="360" w:lineRule="auto"/>
        <w:ind w:firstLineChars="200" w:firstLine="420"/>
        <w:jc w:val="left"/>
        <w:divId w:val="106660545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B0ADE" w:rsidRDefault="006B0ADE">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6B0ADE" w:rsidRDefault="006B0AD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6B0ADE" w:rsidRDefault="006B0ADE">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6B0ADE" w:rsidRDefault="006B0ADE">
      <w:pPr>
        <w:wordWrap w:val="0"/>
        <w:spacing w:line="360" w:lineRule="auto"/>
        <w:jc w:val="right"/>
        <w:divId w:val="1567181855"/>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56718185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ind w:right="3"/>
              <w:jc w:val="center"/>
            </w:pPr>
            <w:r>
              <w:rPr>
                <w:rFonts w:ascii="宋体" w:hAnsi="宋体" w:hint="eastAsia"/>
                <w:lang w:eastAsia="zh-Hans"/>
              </w:rPr>
              <w:t>摩根健康品质生活混合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B0ADE" w:rsidRDefault="006B0ADE">
            <w:pPr>
              <w:ind w:right="3"/>
              <w:jc w:val="center"/>
            </w:pPr>
            <w:r>
              <w:rPr>
                <w:rFonts w:ascii="宋体" w:hAnsi="宋体" w:hint="eastAsia"/>
                <w:lang w:eastAsia="zh-Hans"/>
              </w:rPr>
              <w:t>摩根健康品质生活混合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5671818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41,636,520.2</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37,081,505.8</w:t>
            </w:r>
            <w:r>
              <w:rPr>
                <w:rFonts w:ascii="宋体" w:hAnsi="宋体" w:hint="eastAsia"/>
              </w:rPr>
              <w:t>6</w:t>
            </w:r>
          </w:p>
        </w:tc>
      </w:tr>
      <w:tr w:rsidR="00000000">
        <w:trPr>
          <w:divId w:val="15671818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691,589.6</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938,096.1</w:t>
            </w:r>
            <w:r>
              <w:rPr>
                <w:rFonts w:ascii="宋体" w:hAnsi="宋体" w:hint="eastAsia"/>
              </w:rPr>
              <w:t>2</w:t>
            </w:r>
          </w:p>
        </w:tc>
      </w:tr>
      <w:tr w:rsidR="00000000">
        <w:trPr>
          <w:divId w:val="15671818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11,427,971.4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24,683,868.5</w:t>
            </w:r>
            <w:r>
              <w:rPr>
                <w:rFonts w:ascii="宋体" w:hAnsi="宋体" w:hint="eastAsia"/>
              </w:rPr>
              <w:t>1</w:t>
            </w:r>
          </w:p>
        </w:tc>
      </w:tr>
      <w:tr w:rsidR="00000000">
        <w:trPr>
          <w:divId w:val="15671818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w:t>
            </w:r>
          </w:p>
        </w:tc>
      </w:tr>
      <w:tr w:rsidR="00000000">
        <w:trPr>
          <w:divId w:val="15671818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30,900,138.5</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B0ADE" w:rsidRDefault="006B0ADE">
            <w:pPr>
              <w:jc w:val="right"/>
            </w:pPr>
            <w:r>
              <w:rPr>
                <w:rFonts w:ascii="宋体" w:hAnsi="宋体" w:hint="eastAsia"/>
              </w:rPr>
              <w:t>13,335,733.4</w:t>
            </w:r>
            <w:r>
              <w:rPr>
                <w:rFonts w:ascii="宋体" w:hAnsi="宋体" w:hint="eastAsia"/>
              </w:rPr>
              <w:t>7</w:t>
            </w:r>
          </w:p>
        </w:tc>
      </w:tr>
    </w:tbl>
    <w:p w:rsidR="006B0ADE" w:rsidRDefault="006B0ADE">
      <w:pPr>
        <w:spacing w:line="360" w:lineRule="auto"/>
        <w:jc w:val="left"/>
        <w:divId w:val="156718185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6B0ADE" w:rsidRDefault="006B0ADE">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6B0ADE" w:rsidRDefault="006B0ADE">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6B0ADE" w:rsidRDefault="006B0ADE">
      <w:pPr>
        <w:wordWrap w:val="0"/>
        <w:spacing w:line="360" w:lineRule="auto"/>
        <w:jc w:val="right"/>
        <w:divId w:val="115665449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15665449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lang w:eastAsia="zh-Hans"/>
              </w:rPr>
              <w:t>摩根健康品质生活混合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lang w:eastAsia="zh-Hans"/>
              </w:rPr>
              <w:t>摩根健康品质生活混合</w:t>
            </w:r>
            <w:r>
              <w:rPr>
                <w:rFonts w:ascii="宋体" w:hAnsi="宋体" w:hint="eastAsia"/>
                <w:lang w:eastAsia="zh-Hans"/>
              </w:rPr>
              <w:t>C</w:t>
            </w:r>
            <w:r>
              <w:rPr>
                <w:rFonts w:ascii="宋体" w:hAnsi="宋体" w:hint="eastAsia"/>
                <w:color w:val="000000"/>
              </w:rPr>
              <w:t xml:space="preserve"> </w:t>
            </w:r>
          </w:p>
        </w:tc>
      </w:tr>
      <w:tr w:rsidR="00000000">
        <w:trPr>
          <w:divId w:val="1156654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rPr>
                <w:rFonts w:hint="eastAsia"/>
              </w:rPr>
            </w:pPr>
            <w:r>
              <w:rPr>
                <w:rFonts w:ascii="宋体" w:hAnsi="宋体" w:hint="eastAsia"/>
                <w:kern w:val="0"/>
                <w:szCs w:val="24"/>
                <w:lang w:eastAsia="zh-Hans"/>
              </w:rPr>
              <w:t>107,368.7</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kern w:val="0"/>
                <w:szCs w:val="24"/>
                <w:lang w:eastAsia="zh-Hans"/>
              </w:rPr>
              <w:t>-</w:t>
            </w:r>
          </w:p>
        </w:tc>
      </w:tr>
      <w:tr w:rsidR="00000000">
        <w:trPr>
          <w:divId w:val="1156654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szCs w:val="24"/>
                <w:lang w:eastAsia="zh-Hans"/>
              </w:rPr>
              <w:t>-</w:t>
            </w:r>
          </w:p>
        </w:tc>
      </w:tr>
      <w:tr w:rsidR="00000000">
        <w:trPr>
          <w:divId w:val="1156654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rPr>
                <w:rFonts w:hint="eastAsia"/>
              </w:rPr>
            </w:pPr>
            <w:r>
              <w:rPr>
                <w:rFonts w:ascii="宋体" w:hAnsi="宋体" w:hint="eastAsia"/>
                <w:lang w:eastAsia="zh-Hans"/>
              </w:rPr>
              <w:t>23,435.3</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lang w:eastAsia="zh-Hans"/>
              </w:rPr>
              <w:t>-</w:t>
            </w:r>
          </w:p>
        </w:tc>
      </w:tr>
      <w:tr w:rsidR="00000000">
        <w:trPr>
          <w:divId w:val="1156654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rPr>
                <w:rFonts w:hint="eastAsia"/>
              </w:rPr>
            </w:pPr>
            <w:r>
              <w:rPr>
                <w:rFonts w:ascii="宋体" w:hAnsi="宋体" w:hint="eastAsia"/>
                <w:lang w:eastAsia="zh-Hans"/>
              </w:rPr>
              <w:t>83,933.4</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lang w:eastAsia="zh-Hans"/>
              </w:rPr>
              <w:t>-</w:t>
            </w:r>
          </w:p>
        </w:tc>
      </w:tr>
      <w:tr w:rsidR="00000000">
        <w:trPr>
          <w:divId w:val="1156654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rPr>
                <w:rFonts w:hint="eastAsia"/>
              </w:rPr>
            </w:pPr>
            <w:r>
              <w:rPr>
                <w:rFonts w:ascii="宋体" w:hAnsi="宋体" w:hint="eastAsia"/>
                <w:lang w:eastAsia="zh-Hans"/>
              </w:rPr>
              <w:t>0.1</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lang w:eastAsia="zh-Hans"/>
              </w:rPr>
              <w:t>-</w:t>
            </w:r>
          </w:p>
        </w:tc>
      </w:tr>
    </w:tbl>
    <w:p w:rsidR="006B0ADE" w:rsidRDefault="006B0ADE">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972449005"/>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B0ADE" w:rsidRDefault="006B0ADE">
            <w:pPr>
              <w:jc w:val="center"/>
            </w:pPr>
            <w:r>
              <w:rPr>
                <w:rFonts w:ascii="宋体" w:hAnsi="宋体" w:hint="eastAsia"/>
              </w:rPr>
              <w:t>适用费率</w:t>
            </w:r>
            <w:r>
              <w:rPr>
                <w:rFonts w:ascii="宋体" w:hAnsi="宋体" w:hint="eastAsia"/>
              </w:rPr>
              <w:t xml:space="preserve"> </w:t>
            </w:r>
          </w:p>
        </w:tc>
      </w:tr>
      <w:tr w:rsidR="00000000">
        <w:trPr>
          <w:divId w:val="97244900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-20,364.8</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-63,831.6</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r>
              <w:t xml:space="preserve"> </w:t>
            </w:r>
          </w:p>
        </w:tc>
      </w:tr>
      <w:tr w:rsidR="00000000">
        <w:trPr>
          <w:divId w:val="97244900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-3,070.4</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-9,160.6</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w:t>
            </w:r>
            <w:r>
              <w:t xml:space="preserve"> </w:t>
            </w:r>
          </w:p>
        </w:tc>
      </w:tr>
      <w:tr w:rsidR="00000000">
        <w:trPr>
          <w:divId w:val="97244900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-23,435.3</w:t>
            </w:r>
            <w:r>
              <w:rPr>
                <w:rFonts w:ascii="宋体" w:hAnsi="宋体" w:hint="eastAsia"/>
              </w:rPr>
              <w:t>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jc w:val="right"/>
            </w:pPr>
            <w:r>
              <w:rPr>
                <w:rFonts w:ascii="宋体" w:hAnsi="宋体" w:hint="eastAsia"/>
              </w:rPr>
              <w:t>-72,992.2</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tc>
      </w:tr>
    </w:tbl>
    <w:p w:rsidR="006B0ADE" w:rsidRDefault="006B0ADE">
      <w:pPr>
        <w:spacing w:line="360" w:lineRule="auto"/>
        <w:jc w:val="left"/>
        <w:divId w:val="171772340"/>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6B0ADE" w:rsidRDefault="006B0ADE">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6B0ADE" w:rsidRDefault="006B0ADE">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51"/>
        <w:gridCol w:w="1005"/>
        <w:gridCol w:w="1395"/>
        <w:gridCol w:w="1136"/>
        <w:gridCol w:w="1395"/>
        <w:gridCol w:w="1395"/>
        <w:gridCol w:w="1318"/>
      </w:tblGrid>
      <w:tr w:rsidR="00000000">
        <w:trPr>
          <w:divId w:val="1601331435"/>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jc w:val="center"/>
              <w:rPr>
                <w:rFonts w:hint="eastAsia"/>
              </w:rPr>
            </w:pPr>
            <w:bookmarkStart w:id="347" w:name="OLE_LINK42"/>
            <w:bookmarkStart w:id="348" w:name="OLE_LINK41"/>
            <w:bookmarkStart w:id="349" w:name="m13_01"/>
            <w:bookmarkStart w:id="350" w:name="m13_01_01"/>
            <w:bookmarkStart w:id="351" w:name="_Toc433036733"/>
            <w:bookmarkStart w:id="352" w:name="m12_01"/>
            <w:bookmarkEnd w:id="22"/>
            <w:bookmarkEnd w:id="42"/>
            <w:bookmarkEnd w:id="43"/>
            <w:bookmarkEnd w:id="347"/>
            <w:bookmarkEnd w:id="348"/>
            <w:bookmarkEnd w:id="349"/>
            <w:bookmarkEnd w:id="350"/>
            <w:bookmarkEnd w:id="351"/>
            <w:bookmarkEnd w:id="352"/>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60133143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期初</w:t>
            </w:r>
            <w:r>
              <w:rPr>
                <w:rFonts w:ascii="宋体" w:hAnsi="宋体" w:hint="eastAsia"/>
                <w:color w:val="000000"/>
                <w:kern w:val="0"/>
              </w:rPr>
              <w:t xml:space="preserve"> </w:t>
            </w:r>
          </w:p>
          <w:p w:rsidR="006B0ADE" w:rsidRDefault="006B0AD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申购</w:t>
            </w:r>
            <w:r>
              <w:rPr>
                <w:rFonts w:ascii="宋体" w:hAnsi="宋体" w:hint="eastAsia"/>
                <w:color w:val="000000"/>
                <w:kern w:val="0"/>
              </w:rPr>
              <w:t xml:space="preserve"> </w:t>
            </w:r>
          </w:p>
          <w:p w:rsidR="006B0ADE" w:rsidRDefault="006B0AD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赎回</w:t>
            </w:r>
            <w:r>
              <w:rPr>
                <w:rFonts w:ascii="宋体" w:hAnsi="宋体" w:hint="eastAsia"/>
                <w:color w:val="000000"/>
                <w:kern w:val="0"/>
              </w:rPr>
              <w:t xml:space="preserve"> </w:t>
            </w:r>
          </w:p>
          <w:p w:rsidR="006B0ADE" w:rsidRDefault="006B0AD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B0ADE" w:rsidRDefault="006B0ADE">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601331435"/>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24,000,000.0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8,000,000.0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16,000,000.0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36.1</w:t>
            </w:r>
            <w:r>
              <w:rPr>
                <w:rFonts w:ascii="宋体" w:hAnsi="宋体" w:hint="eastAsia"/>
                <w:color w:val="000000"/>
                <w:szCs w:val="21"/>
              </w:rPr>
              <w:t>7</w:t>
            </w:r>
            <w:r>
              <w:rPr>
                <w:szCs w:val="21"/>
              </w:rPr>
              <w:t>%</w:t>
            </w:r>
            <w:r>
              <w:t xml:space="preserve"> </w:t>
            </w:r>
          </w:p>
        </w:tc>
      </w:tr>
      <w:tr w:rsidR="00000000">
        <w:trPr>
          <w:divId w:val="160133143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ADE" w:rsidRDefault="006B0ADE">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28,000,000.0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16,000,000.0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12,000,000.0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right"/>
            </w:pPr>
            <w:r>
              <w:rPr>
                <w:rFonts w:ascii="宋体" w:hAnsi="宋体" w:hint="eastAsia"/>
                <w:color w:val="000000"/>
                <w:szCs w:val="21"/>
              </w:rPr>
              <w:t>27.1</w:t>
            </w:r>
            <w:r>
              <w:rPr>
                <w:rFonts w:ascii="宋体" w:hAnsi="宋体" w:hint="eastAsia"/>
                <w:color w:val="000000"/>
                <w:szCs w:val="21"/>
              </w:rPr>
              <w:t>3</w:t>
            </w:r>
            <w:r>
              <w:rPr>
                <w:szCs w:val="21"/>
              </w:rPr>
              <w:t>%</w:t>
            </w:r>
            <w:r>
              <w:t xml:space="preserve"> </w:t>
            </w:r>
          </w:p>
        </w:tc>
      </w:tr>
      <w:tr w:rsidR="00000000">
        <w:trPr>
          <w:divId w:val="160133143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60133143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B0ADE" w:rsidRDefault="006B0ADE">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6B0ADE" w:rsidRDefault="006B0ADE">
      <w:pPr>
        <w:pStyle w:val="XBRLTitle1"/>
        <w:spacing w:before="156" w:line="360" w:lineRule="auto"/>
        <w:ind w:left="425"/>
      </w:pPr>
      <w:bookmarkStart w:id="353" w:name="_Toc17898228"/>
      <w:bookmarkStart w:id="354" w:name="_Toc17897969"/>
      <w:bookmarkStart w:id="355" w:name="_Toc512519529"/>
      <w:bookmarkStart w:id="356" w:name="_Toc490050049"/>
      <w:bookmarkStart w:id="357" w:name="_Toc481075097"/>
      <w:bookmarkStart w:id="358" w:name="_Toc438646481"/>
      <w:bookmarkStart w:id="359" w:name="_Toc513295878"/>
      <w:bookmarkStart w:id="360" w:name="_Toc513295941"/>
      <w:bookmarkEnd w:id="339"/>
      <w:r>
        <w:rPr>
          <w:rFonts w:hAnsi="宋体" w:hint="eastAsia"/>
        </w:rPr>
        <w:t>备查文件目</w:t>
      </w:r>
      <w:r>
        <w:rPr>
          <w:rFonts w:hAnsi="宋体" w:hint="eastAsia"/>
        </w:rPr>
        <w:t>录</w:t>
      </w:r>
      <w:bookmarkEnd w:id="353"/>
      <w:bookmarkEnd w:id="354"/>
      <w:bookmarkEnd w:id="355"/>
      <w:bookmarkEnd w:id="356"/>
      <w:bookmarkEnd w:id="357"/>
      <w:bookmarkEnd w:id="358"/>
      <w:bookmarkEnd w:id="359"/>
      <w:bookmarkEnd w:id="360"/>
      <w:r>
        <w:rPr>
          <w:rFonts w:hAnsi="宋体" w:hint="eastAsia"/>
        </w:rPr>
        <w:t xml:space="preserve"> </w:t>
      </w:r>
    </w:p>
    <w:p w:rsidR="006B0ADE" w:rsidRDefault="006B0ADE">
      <w:pPr>
        <w:pStyle w:val="XBRLTitle2"/>
        <w:spacing w:before="156" w:line="360" w:lineRule="auto"/>
        <w:ind w:left="454"/>
        <w:rPr>
          <w:rFonts w:hint="eastAsia"/>
        </w:rPr>
      </w:pPr>
      <w:bookmarkStart w:id="361" w:name="_Toc438646482"/>
      <w:bookmarkStart w:id="362" w:name="_Toc17898229"/>
      <w:bookmarkStart w:id="363" w:name="_Toc17897970"/>
      <w:bookmarkStart w:id="364" w:name="_Toc512519530"/>
      <w:bookmarkStart w:id="365" w:name="_Toc481075098"/>
      <w:bookmarkStart w:id="366" w:name="_Toc490050050"/>
      <w:bookmarkStart w:id="367" w:name="_Toc513295879"/>
      <w:bookmarkStart w:id="368" w:name="_Toc513295942"/>
      <w:bookmarkStart w:id="369" w:name="m801_01_1733"/>
      <w:r>
        <w:rPr>
          <w:rFonts w:hAnsi="宋体" w:hint="eastAsia"/>
        </w:rPr>
        <w:t>备查文件目</w:t>
      </w:r>
      <w:r>
        <w:rPr>
          <w:rFonts w:hAnsi="宋体" w:hint="eastAsia"/>
        </w:rPr>
        <w:t>录</w:t>
      </w:r>
      <w:bookmarkEnd w:id="361"/>
      <w:bookmarkEnd w:id="362"/>
      <w:bookmarkEnd w:id="363"/>
      <w:bookmarkEnd w:id="364"/>
      <w:bookmarkEnd w:id="365"/>
      <w:bookmarkEnd w:id="366"/>
      <w:bookmarkEnd w:id="367"/>
      <w:bookmarkEnd w:id="368"/>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摩根健康品质生活混合型证券投资基金基金合同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摩根健康品质生活混合型证券投资基金托管协议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B0ADE" w:rsidRDefault="006B0ADE">
      <w:pPr>
        <w:pStyle w:val="XBRLTitle2"/>
        <w:spacing w:before="156" w:line="360" w:lineRule="auto"/>
        <w:ind w:left="454"/>
      </w:pPr>
      <w:bookmarkStart w:id="370" w:name="_Toc438646483"/>
      <w:bookmarkStart w:id="371" w:name="_Toc17898230"/>
      <w:bookmarkStart w:id="372" w:name="_Toc17897971"/>
      <w:bookmarkStart w:id="373" w:name="_Toc512519531"/>
      <w:bookmarkStart w:id="374" w:name="_Toc481075099"/>
      <w:bookmarkStart w:id="375" w:name="_Toc490050051"/>
      <w:bookmarkStart w:id="376" w:name="_Toc513295880"/>
      <w:bookmarkStart w:id="377" w:name="_Toc513295943"/>
      <w:bookmarkStart w:id="378" w:name="m801_01_1734"/>
      <w:bookmarkEnd w:id="369"/>
      <w:r>
        <w:rPr>
          <w:rFonts w:hAnsi="宋体" w:hint="eastAsia"/>
        </w:rPr>
        <w:t>存放地</w:t>
      </w:r>
      <w:r>
        <w:rPr>
          <w:rFonts w:hAnsi="宋体" w:hint="eastAsia"/>
        </w:rPr>
        <w:t>点</w:t>
      </w:r>
      <w:bookmarkEnd w:id="370"/>
      <w:bookmarkEnd w:id="371"/>
      <w:bookmarkEnd w:id="372"/>
      <w:bookmarkEnd w:id="373"/>
      <w:bookmarkEnd w:id="374"/>
      <w:bookmarkEnd w:id="375"/>
      <w:bookmarkEnd w:id="376"/>
      <w:bookmarkEnd w:id="377"/>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B0ADE" w:rsidRDefault="006B0ADE">
      <w:pPr>
        <w:pStyle w:val="XBRLTitle2"/>
        <w:spacing w:before="156" w:line="360" w:lineRule="auto"/>
        <w:ind w:left="454"/>
      </w:pPr>
      <w:bookmarkStart w:id="379" w:name="_Toc438646484"/>
      <w:bookmarkStart w:id="380" w:name="_Toc17898231"/>
      <w:bookmarkStart w:id="381" w:name="_Toc17897972"/>
      <w:bookmarkStart w:id="382" w:name="_Toc512519532"/>
      <w:bookmarkStart w:id="383" w:name="_Toc481075100"/>
      <w:bookmarkStart w:id="384" w:name="_Toc490050052"/>
      <w:bookmarkStart w:id="385" w:name="_Toc513295881"/>
      <w:bookmarkStart w:id="386" w:name="_Toc513295944"/>
      <w:bookmarkStart w:id="387" w:name="m801_01_1735"/>
      <w:bookmarkEnd w:id="378"/>
      <w:r>
        <w:rPr>
          <w:rFonts w:hAnsi="宋体" w:hint="eastAsia"/>
        </w:rPr>
        <w:t>查阅方</w:t>
      </w:r>
      <w:r>
        <w:rPr>
          <w:rFonts w:hAnsi="宋体" w:hint="eastAsia"/>
        </w:rPr>
        <w:t>式</w:t>
      </w:r>
      <w:bookmarkEnd w:id="379"/>
      <w:bookmarkEnd w:id="380"/>
      <w:bookmarkEnd w:id="381"/>
      <w:bookmarkEnd w:id="382"/>
      <w:bookmarkEnd w:id="383"/>
      <w:bookmarkEnd w:id="384"/>
      <w:bookmarkEnd w:id="385"/>
      <w:bookmarkEnd w:id="386"/>
      <w:r>
        <w:rPr>
          <w:rFonts w:hAnsi="宋体" w:hint="eastAsia"/>
        </w:rPr>
        <w:t xml:space="preserve"> </w:t>
      </w:r>
    </w:p>
    <w:p w:rsidR="006B0ADE" w:rsidRDefault="006B0AD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7"/>
    <w:p w:rsidR="006B0ADE" w:rsidRDefault="006B0AD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B0ADE" w:rsidRDefault="006B0AD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B0ADE" w:rsidRDefault="006B0AD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B0ADE" w:rsidRDefault="006B0AD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B0AD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ADE" w:rsidRDefault="006B0ADE">
      <w:pPr>
        <w:rPr>
          <w:szCs w:val="21"/>
        </w:rPr>
      </w:pPr>
      <w:r>
        <w:rPr>
          <w:szCs w:val="21"/>
        </w:rPr>
        <w:separator/>
      </w:r>
      <w:r>
        <w:rPr>
          <w:szCs w:val="21"/>
        </w:rPr>
        <w:t xml:space="preserve"> </w:t>
      </w:r>
    </w:p>
  </w:endnote>
  <w:endnote w:type="continuationSeparator" w:id="0">
    <w:p w:rsidR="006B0ADE" w:rsidRDefault="006B0AD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DE" w:rsidRDefault="006B0AD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ADE" w:rsidRDefault="006B0ADE">
      <w:pPr>
        <w:rPr>
          <w:szCs w:val="21"/>
        </w:rPr>
      </w:pPr>
      <w:r>
        <w:rPr>
          <w:szCs w:val="21"/>
        </w:rPr>
        <w:separator/>
      </w:r>
      <w:r>
        <w:rPr>
          <w:szCs w:val="21"/>
        </w:rPr>
        <w:t xml:space="preserve"> </w:t>
      </w:r>
    </w:p>
  </w:footnote>
  <w:footnote w:type="continuationSeparator" w:id="0">
    <w:p w:rsidR="006B0ADE" w:rsidRDefault="006B0AD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DE" w:rsidRDefault="006B0ADE">
    <w:pPr>
      <w:pStyle w:val="a8"/>
      <w:jc w:val="right"/>
    </w:pPr>
    <w:r>
      <w:rPr>
        <w:rFonts w:ascii="宋体" w:hAnsi="宋体" w:hint="eastAsia"/>
      </w:rPr>
      <w:t>摩根健康品质生活混合型证券投资基金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41534009">
    <w:abstractNumId w:val="0"/>
  </w:num>
  <w:num w:numId="2" w16cid:durableId="1955943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57D14"/>
    <w:rsid w:val="00457D14"/>
    <w:rsid w:val="00602454"/>
    <w:rsid w:val="006B0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238">
      <w:marLeft w:val="0"/>
      <w:marRight w:val="0"/>
      <w:marTop w:val="0"/>
      <w:marBottom w:val="0"/>
      <w:divBdr>
        <w:top w:val="none" w:sz="0" w:space="0" w:color="auto"/>
        <w:left w:val="none" w:sz="0" w:space="0" w:color="auto"/>
        <w:bottom w:val="none" w:sz="0" w:space="0" w:color="auto"/>
        <w:right w:val="none" w:sz="0" w:space="0" w:color="auto"/>
      </w:divBdr>
    </w:div>
    <w:div w:id="171772340">
      <w:marLeft w:val="0"/>
      <w:marRight w:val="0"/>
      <w:marTop w:val="0"/>
      <w:marBottom w:val="0"/>
      <w:divBdr>
        <w:top w:val="none" w:sz="0" w:space="0" w:color="auto"/>
        <w:left w:val="none" w:sz="0" w:space="0" w:color="auto"/>
        <w:bottom w:val="none" w:sz="0" w:space="0" w:color="auto"/>
        <w:right w:val="none" w:sz="0" w:space="0" w:color="auto"/>
      </w:divBdr>
      <w:divsChild>
        <w:div w:id="972449005">
          <w:marLeft w:val="0"/>
          <w:marRight w:val="0"/>
          <w:marTop w:val="0"/>
          <w:marBottom w:val="0"/>
          <w:divBdr>
            <w:top w:val="none" w:sz="0" w:space="0" w:color="auto"/>
            <w:left w:val="none" w:sz="0" w:space="0" w:color="auto"/>
            <w:bottom w:val="none" w:sz="0" w:space="0" w:color="auto"/>
            <w:right w:val="none" w:sz="0" w:space="0" w:color="auto"/>
          </w:divBdr>
        </w:div>
      </w:divsChild>
    </w:div>
    <w:div w:id="234978573">
      <w:marLeft w:val="0"/>
      <w:marRight w:val="0"/>
      <w:marTop w:val="0"/>
      <w:marBottom w:val="0"/>
      <w:divBdr>
        <w:top w:val="none" w:sz="0" w:space="0" w:color="auto"/>
        <w:left w:val="none" w:sz="0" w:space="0" w:color="auto"/>
        <w:bottom w:val="none" w:sz="0" w:space="0" w:color="auto"/>
        <w:right w:val="none" w:sz="0" w:space="0" w:color="auto"/>
      </w:divBdr>
    </w:div>
    <w:div w:id="309335497">
      <w:marLeft w:val="0"/>
      <w:marRight w:val="0"/>
      <w:marTop w:val="0"/>
      <w:marBottom w:val="0"/>
      <w:divBdr>
        <w:top w:val="none" w:sz="0" w:space="0" w:color="auto"/>
        <w:left w:val="none" w:sz="0" w:space="0" w:color="auto"/>
        <w:bottom w:val="none" w:sz="0" w:space="0" w:color="auto"/>
        <w:right w:val="none" w:sz="0" w:space="0" w:color="auto"/>
      </w:divBdr>
    </w:div>
    <w:div w:id="456459756">
      <w:marLeft w:val="0"/>
      <w:marRight w:val="0"/>
      <w:marTop w:val="0"/>
      <w:marBottom w:val="0"/>
      <w:divBdr>
        <w:top w:val="none" w:sz="0" w:space="0" w:color="auto"/>
        <w:left w:val="none" w:sz="0" w:space="0" w:color="auto"/>
        <w:bottom w:val="none" w:sz="0" w:space="0" w:color="auto"/>
        <w:right w:val="none" w:sz="0" w:space="0" w:color="auto"/>
      </w:divBdr>
    </w:div>
    <w:div w:id="488598566">
      <w:marLeft w:val="0"/>
      <w:marRight w:val="0"/>
      <w:marTop w:val="0"/>
      <w:marBottom w:val="0"/>
      <w:divBdr>
        <w:top w:val="none" w:sz="0" w:space="0" w:color="auto"/>
        <w:left w:val="none" w:sz="0" w:space="0" w:color="auto"/>
        <w:bottom w:val="none" w:sz="0" w:space="0" w:color="auto"/>
        <w:right w:val="none" w:sz="0" w:space="0" w:color="auto"/>
      </w:divBdr>
    </w:div>
    <w:div w:id="535653509">
      <w:marLeft w:val="0"/>
      <w:marRight w:val="0"/>
      <w:marTop w:val="0"/>
      <w:marBottom w:val="0"/>
      <w:divBdr>
        <w:top w:val="none" w:sz="0" w:space="0" w:color="auto"/>
        <w:left w:val="none" w:sz="0" w:space="0" w:color="auto"/>
        <w:bottom w:val="none" w:sz="0" w:space="0" w:color="auto"/>
        <w:right w:val="none" w:sz="0" w:space="0" w:color="auto"/>
      </w:divBdr>
      <w:divsChild>
        <w:div w:id="1703674264">
          <w:marLeft w:val="0"/>
          <w:marRight w:val="0"/>
          <w:marTop w:val="0"/>
          <w:marBottom w:val="0"/>
          <w:divBdr>
            <w:top w:val="none" w:sz="0" w:space="0" w:color="auto"/>
            <w:left w:val="none" w:sz="0" w:space="0" w:color="auto"/>
            <w:bottom w:val="none" w:sz="0" w:space="0" w:color="auto"/>
            <w:right w:val="none" w:sz="0" w:space="0" w:color="auto"/>
          </w:divBdr>
        </w:div>
      </w:divsChild>
    </w:div>
    <w:div w:id="597376235">
      <w:marLeft w:val="0"/>
      <w:marRight w:val="0"/>
      <w:marTop w:val="0"/>
      <w:marBottom w:val="0"/>
      <w:divBdr>
        <w:top w:val="none" w:sz="0" w:space="0" w:color="auto"/>
        <w:left w:val="none" w:sz="0" w:space="0" w:color="auto"/>
        <w:bottom w:val="none" w:sz="0" w:space="0" w:color="auto"/>
        <w:right w:val="none" w:sz="0" w:space="0" w:color="auto"/>
      </w:divBdr>
      <w:divsChild>
        <w:div w:id="1520196919">
          <w:marLeft w:val="0"/>
          <w:marRight w:val="0"/>
          <w:marTop w:val="0"/>
          <w:marBottom w:val="0"/>
          <w:divBdr>
            <w:top w:val="none" w:sz="0" w:space="0" w:color="auto"/>
            <w:left w:val="none" w:sz="0" w:space="0" w:color="auto"/>
            <w:bottom w:val="none" w:sz="0" w:space="0" w:color="auto"/>
            <w:right w:val="none" w:sz="0" w:space="0" w:color="auto"/>
          </w:divBdr>
        </w:div>
      </w:divsChild>
    </w:div>
    <w:div w:id="615676453">
      <w:marLeft w:val="0"/>
      <w:marRight w:val="0"/>
      <w:marTop w:val="0"/>
      <w:marBottom w:val="0"/>
      <w:divBdr>
        <w:top w:val="none" w:sz="0" w:space="0" w:color="auto"/>
        <w:left w:val="none" w:sz="0" w:space="0" w:color="auto"/>
        <w:bottom w:val="none" w:sz="0" w:space="0" w:color="auto"/>
        <w:right w:val="none" w:sz="0" w:space="0" w:color="auto"/>
      </w:divBdr>
    </w:div>
    <w:div w:id="816068351">
      <w:marLeft w:val="0"/>
      <w:marRight w:val="0"/>
      <w:marTop w:val="0"/>
      <w:marBottom w:val="0"/>
      <w:divBdr>
        <w:top w:val="none" w:sz="0" w:space="0" w:color="auto"/>
        <w:left w:val="none" w:sz="0" w:space="0" w:color="auto"/>
        <w:bottom w:val="none" w:sz="0" w:space="0" w:color="auto"/>
        <w:right w:val="none" w:sz="0" w:space="0" w:color="auto"/>
      </w:divBdr>
    </w:div>
    <w:div w:id="833296901">
      <w:marLeft w:val="0"/>
      <w:marRight w:val="0"/>
      <w:marTop w:val="0"/>
      <w:marBottom w:val="0"/>
      <w:divBdr>
        <w:top w:val="none" w:sz="0" w:space="0" w:color="auto"/>
        <w:left w:val="none" w:sz="0" w:space="0" w:color="auto"/>
        <w:bottom w:val="none" w:sz="0" w:space="0" w:color="auto"/>
        <w:right w:val="none" w:sz="0" w:space="0" w:color="auto"/>
      </w:divBdr>
      <w:divsChild>
        <w:div w:id="1601331435">
          <w:marLeft w:val="0"/>
          <w:marRight w:val="0"/>
          <w:marTop w:val="0"/>
          <w:marBottom w:val="0"/>
          <w:divBdr>
            <w:top w:val="none" w:sz="0" w:space="0" w:color="auto"/>
            <w:left w:val="none" w:sz="0" w:space="0" w:color="auto"/>
            <w:bottom w:val="none" w:sz="0" w:space="0" w:color="auto"/>
            <w:right w:val="none" w:sz="0" w:space="0" w:color="auto"/>
          </w:divBdr>
        </w:div>
      </w:divsChild>
    </w:div>
    <w:div w:id="880827456">
      <w:marLeft w:val="0"/>
      <w:marRight w:val="0"/>
      <w:marTop w:val="0"/>
      <w:marBottom w:val="0"/>
      <w:divBdr>
        <w:top w:val="none" w:sz="0" w:space="0" w:color="auto"/>
        <w:left w:val="none" w:sz="0" w:space="0" w:color="auto"/>
        <w:bottom w:val="none" w:sz="0" w:space="0" w:color="auto"/>
        <w:right w:val="none" w:sz="0" w:space="0" w:color="auto"/>
      </w:divBdr>
      <w:divsChild>
        <w:div w:id="1777364744">
          <w:marLeft w:val="0"/>
          <w:marRight w:val="0"/>
          <w:marTop w:val="0"/>
          <w:marBottom w:val="0"/>
          <w:divBdr>
            <w:top w:val="none" w:sz="0" w:space="0" w:color="auto"/>
            <w:left w:val="none" w:sz="0" w:space="0" w:color="auto"/>
            <w:bottom w:val="none" w:sz="0" w:space="0" w:color="auto"/>
            <w:right w:val="none" w:sz="0" w:space="0" w:color="auto"/>
          </w:divBdr>
        </w:div>
      </w:divsChild>
    </w:div>
    <w:div w:id="1016930871">
      <w:marLeft w:val="0"/>
      <w:marRight w:val="0"/>
      <w:marTop w:val="0"/>
      <w:marBottom w:val="0"/>
      <w:divBdr>
        <w:top w:val="none" w:sz="0" w:space="0" w:color="auto"/>
        <w:left w:val="none" w:sz="0" w:space="0" w:color="auto"/>
        <w:bottom w:val="none" w:sz="0" w:space="0" w:color="auto"/>
        <w:right w:val="none" w:sz="0" w:space="0" w:color="auto"/>
      </w:divBdr>
      <w:divsChild>
        <w:div w:id="1218667402">
          <w:marLeft w:val="0"/>
          <w:marRight w:val="0"/>
          <w:marTop w:val="0"/>
          <w:marBottom w:val="0"/>
          <w:divBdr>
            <w:top w:val="none" w:sz="0" w:space="0" w:color="auto"/>
            <w:left w:val="none" w:sz="0" w:space="0" w:color="auto"/>
            <w:bottom w:val="none" w:sz="0" w:space="0" w:color="auto"/>
            <w:right w:val="none" w:sz="0" w:space="0" w:color="auto"/>
          </w:divBdr>
        </w:div>
      </w:divsChild>
    </w:div>
    <w:div w:id="1056508296">
      <w:marLeft w:val="0"/>
      <w:marRight w:val="0"/>
      <w:marTop w:val="0"/>
      <w:marBottom w:val="0"/>
      <w:divBdr>
        <w:top w:val="none" w:sz="0" w:space="0" w:color="auto"/>
        <w:left w:val="none" w:sz="0" w:space="0" w:color="auto"/>
        <w:bottom w:val="none" w:sz="0" w:space="0" w:color="auto"/>
        <w:right w:val="none" w:sz="0" w:space="0" w:color="auto"/>
      </w:divBdr>
      <w:divsChild>
        <w:div w:id="869300337">
          <w:marLeft w:val="0"/>
          <w:marRight w:val="0"/>
          <w:marTop w:val="0"/>
          <w:marBottom w:val="0"/>
          <w:divBdr>
            <w:top w:val="none" w:sz="0" w:space="0" w:color="auto"/>
            <w:left w:val="none" w:sz="0" w:space="0" w:color="auto"/>
            <w:bottom w:val="none" w:sz="0" w:space="0" w:color="auto"/>
            <w:right w:val="none" w:sz="0" w:space="0" w:color="auto"/>
          </w:divBdr>
        </w:div>
      </w:divsChild>
    </w:div>
    <w:div w:id="1066605456">
      <w:marLeft w:val="0"/>
      <w:marRight w:val="0"/>
      <w:marTop w:val="0"/>
      <w:marBottom w:val="0"/>
      <w:divBdr>
        <w:top w:val="none" w:sz="0" w:space="0" w:color="auto"/>
        <w:left w:val="none" w:sz="0" w:space="0" w:color="auto"/>
        <w:bottom w:val="none" w:sz="0" w:space="0" w:color="auto"/>
        <w:right w:val="none" w:sz="0" w:space="0" w:color="auto"/>
      </w:divBdr>
    </w:div>
    <w:div w:id="1290235188">
      <w:marLeft w:val="0"/>
      <w:marRight w:val="0"/>
      <w:marTop w:val="0"/>
      <w:marBottom w:val="0"/>
      <w:divBdr>
        <w:top w:val="none" w:sz="0" w:space="0" w:color="auto"/>
        <w:left w:val="none" w:sz="0" w:space="0" w:color="auto"/>
        <w:bottom w:val="none" w:sz="0" w:space="0" w:color="auto"/>
        <w:right w:val="none" w:sz="0" w:space="0" w:color="auto"/>
      </w:divBdr>
      <w:divsChild>
        <w:div w:id="1128549977">
          <w:marLeft w:val="0"/>
          <w:marRight w:val="0"/>
          <w:marTop w:val="0"/>
          <w:marBottom w:val="0"/>
          <w:divBdr>
            <w:top w:val="none" w:sz="0" w:space="0" w:color="auto"/>
            <w:left w:val="none" w:sz="0" w:space="0" w:color="auto"/>
            <w:bottom w:val="none" w:sz="0" w:space="0" w:color="auto"/>
            <w:right w:val="none" w:sz="0" w:space="0" w:color="auto"/>
          </w:divBdr>
        </w:div>
      </w:divsChild>
    </w:div>
    <w:div w:id="1422214675">
      <w:marLeft w:val="0"/>
      <w:marRight w:val="0"/>
      <w:marTop w:val="0"/>
      <w:marBottom w:val="0"/>
      <w:divBdr>
        <w:top w:val="none" w:sz="0" w:space="0" w:color="auto"/>
        <w:left w:val="none" w:sz="0" w:space="0" w:color="auto"/>
        <w:bottom w:val="none" w:sz="0" w:space="0" w:color="auto"/>
        <w:right w:val="none" w:sz="0" w:space="0" w:color="auto"/>
      </w:divBdr>
      <w:divsChild>
        <w:div w:id="1156654498">
          <w:marLeft w:val="0"/>
          <w:marRight w:val="0"/>
          <w:marTop w:val="0"/>
          <w:marBottom w:val="0"/>
          <w:divBdr>
            <w:top w:val="none" w:sz="0" w:space="0" w:color="auto"/>
            <w:left w:val="none" w:sz="0" w:space="0" w:color="auto"/>
            <w:bottom w:val="none" w:sz="0" w:space="0" w:color="auto"/>
            <w:right w:val="none" w:sz="0" w:space="0" w:color="auto"/>
          </w:divBdr>
        </w:div>
      </w:divsChild>
    </w:div>
    <w:div w:id="1567181855">
      <w:marLeft w:val="0"/>
      <w:marRight w:val="0"/>
      <w:marTop w:val="0"/>
      <w:marBottom w:val="0"/>
      <w:divBdr>
        <w:top w:val="none" w:sz="0" w:space="0" w:color="auto"/>
        <w:left w:val="none" w:sz="0" w:space="0" w:color="auto"/>
        <w:bottom w:val="none" w:sz="0" w:space="0" w:color="auto"/>
        <w:right w:val="none" w:sz="0" w:space="0" w:color="auto"/>
      </w:divBdr>
    </w:div>
    <w:div w:id="1792283854">
      <w:marLeft w:val="0"/>
      <w:marRight w:val="0"/>
      <w:marTop w:val="0"/>
      <w:marBottom w:val="0"/>
      <w:divBdr>
        <w:top w:val="none" w:sz="0" w:space="0" w:color="auto"/>
        <w:left w:val="none" w:sz="0" w:space="0" w:color="auto"/>
        <w:bottom w:val="none" w:sz="0" w:space="0" w:color="auto"/>
        <w:right w:val="none" w:sz="0" w:space="0" w:color="auto"/>
      </w:divBdr>
    </w:div>
    <w:div w:id="1974208172">
      <w:marLeft w:val="0"/>
      <w:marRight w:val="0"/>
      <w:marTop w:val="0"/>
      <w:marBottom w:val="0"/>
      <w:divBdr>
        <w:top w:val="none" w:sz="0" w:space="0" w:color="auto"/>
        <w:left w:val="none" w:sz="0" w:space="0" w:color="auto"/>
        <w:bottom w:val="none" w:sz="0" w:space="0" w:color="auto"/>
        <w:right w:val="none" w:sz="0" w:space="0" w:color="auto"/>
      </w:divBdr>
      <w:divsChild>
        <w:div w:id="859857220">
          <w:marLeft w:val="0"/>
          <w:marRight w:val="0"/>
          <w:marTop w:val="0"/>
          <w:marBottom w:val="0"/>
          <w:divBdr>
            <w:top w:val="none" w:sz="0" w:space="0" w:color="auto"/>
            <w:left w:val="none" w:sz="0" w:space="0" w:color="auto"/>
            <w:bottom w:val="none" w:sz="0" w:space="0" w:color="auto"/>
            <w:right w:val="none" w:sz="0" w:space="0" w:color="auto"/>
          </w:divBdr>
        </w:div>
        <w:div w:id="41119742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1415</Words>
  <Characters>8069</Characters>
  <Application>Microsoft Office Word</Application>
  <DocSecurity>4</DocSecurity>
  <Lines>67</Lines>
  <Paragraphs>18</Paragraphs>
  <ScaleCrop>false</ScaleCrop>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