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A2E121" w14:textId="77777777" w:rsidR="00A21555" w:rsidRDefault="00A21555">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1AA34ED6" w14:textId="77777777" w:rsidR="00A21555" w:rsidRDefault="00A21555">
      <w:pPr>
        <w:spacing w:line="360" w:lineRule="auto"/>
        <w:rPr>
          <w:rFonts w:ascii="宋体" w:hAnsi="宋体" w:hint="eastAsia"/>
          <w:sz w:val="48"/>
        </w:rPr>
      </w:pPr>
      <w:r>
        <w:rPr>
          <w:rFonts w:ascii="宋体" w:hAnsi="宋体" w:hint="eastAsia"/>
          <w:sz w:val="48"/>
        </w:rPr>
        <w:t xml:space="preserve">　 </w:t>
      </w:r>
    </w:p>
    <w:p w14:paraId="061422CA" w14:textId="77777777" w:rsidR="00A21555" w:rsidRDefault="00A21555">
      <w:pPr>
        <w:spacing w:line="360" w:lineRule="auto"/>
        <w:jc w:val="center"/>
      </w:pPr>
      <w:r>
        <w:rPr>
          <w:rFonts w:ascii="宋体" w:hAnsi="宋体" w:hint="eastAsia"/>
          <w:b/>
          <w:bCs/>
          <w:color w:val="000000" w:themeColor="text1"/>
          <w:sz w:val="48"/>
          <w:szCs w:val="30"/>
        </w:rPr>
        <w:t>摩根健康品质生活混合型证券投资基金</w:t>
      </w:r>
      <w:r>
        <w:rPr>
          <w:rFonts w:ascii="宋体" w:hAnsi="宋体" w:hint="eastAsia"/>
          <w:b/>
          <w:bCs/>
          <w:color w:val="000000" w:themeColor="text1"/>
          <w:sz w:val="48"/>
          <w:szCs w:val="30"/>
        </w:rPr>
        <w:br/>
        <w:t>2026年第1季度报告</w:t>
      </w:r>
    </w:p>
    <w:p w14:paraId="4D8757F4" w14:textId="77777777" w:rsidR="00A21555" w:rsidRDefault="00A21555">
      <w:pPr>
        <w:spacing w:line="360" w:lineRule="auto"/>
        <w:jc w:val="center"/>
        <w:rPr>
          <w:rFonts w:ascii="宋体" w:hAnsi="宋体" w:hint="eastAsia"/>
          <w:sz w:val="28"/>
          <w:szCs w:val="30"/>
        </w:rPr>
      </w:pPr>
      <w:r>
        <w:rPr>
          <w:rFonts w:ascii="宋体" w:hAnsi="宋体" w:hint="eastAsia"/>
          <w:sz w:val="28"/>
          <w:szCs w:val="30"/>
        </w:rPr>
        <w:t xml:space="preserve">　 </w:t>
      </w:r>
    </w:p>
    <w:p w14:paraId="5C460ACC" w14:textId="77777777" w:rsidR="00A21555" w:rsidRDefault="00A21555">
      <w:pPr>
        <w:spacing w:line="360" w:lineRule="auto"/>
        <w:jc w:val="center"/>
      </w:pPr>
      <w:r>
        <w:rPr>
          <w:rFonts w:ascii="宋体" w:hAnsi="宋体" w:hint="eastAsia"/>
          <w:b/>
          <w:bCs/>
          <w:sz w:val="28"/>
          <w:szCs w:val="30"/>
        </w:rPr>
        <w:t>2026年3月31日</w:t>
      </w:r>
    </w:p>
    <w:p w14:paraId="0619282D" w14:textId="77777777" w:rsidR="00A21555" w:rsidRDefault="00A21555">
      <w:pPr>
        <w:spacing w:line="360" w:lineRule="auto"/>
        <w:jc w:val="center"/>
        <w:rPr>
          <w:rFonts w:ascii="宋体" w:hAnsi="宋体" w:hint="eastAsia"/>
          <w:sz w:val="28"/>
          <w:szCs w:val="30"/>
        </w:rPr>
      </w:pPr>
      <w:r>
        <w:rPr>
          <w:rFonts w:ascii="宋体" w:hAnsi="宋体" w:hint="eastAsia"/>
          <w:sz w:val="28"/>
          <w:szCs w:val="30"/>
        </w:rPr>
        <w:t xml:space="preserve">　 </w:t>
      </w:r>
    </w:p>
    <w:p w14:paraId="0E2707B0" w14:textId="77777777" w:rsidR="00A21555" w:rsidRDefault="00A21555">
      <w:pPr>
        <w:spacing w:line="360" w:lineRule="auto"/>
        <w:jc w:val="center"/>
        <w:rPr>
          <w:rFonts w:ascii="宋体" w:hAnsi="宋体" w:hint="eastAsia"/>
          <w:sz w:val="28"/>
          <w:szCs w:val="30"/>
        </w:rPr>
      </w:pPr>
      <w:r>
        <w:rPr>
          <w:rFonts w:ascii="宋体" w:hAnsi="宋体" w:hint="eastAsia"/>
          <w:sz w:val="28"/>
          <w:szCs w:val="30"/>
        </w:rPr>
        <w:t xml:space="preserve">　 </w:t>
      </w:r>
    </w:p>
    <w:p w14:paraId="0A5EAD67" w14:textId="77777777" w:rsidR="00A21555" w:rsidRDefault="00A21555">
      <w:pPr>
        <w:spacing w:line="360" w:lineRule="auto"/>
        <w:jc w:val="center"/>
        <w:rPr>
          <w:rFonts w:ascii="宋体" w:hAnsi="宋体" w:hint="eastAsia"/>
          <w:sz w:val="28"/>
          <w:szCs w:val="30"/>
        </w:rPr>
      </w:pPr>
      <w:r>
        <w:rPr>
          <w:rFonts w:ascii="宋体" w:hAnsi="宋体" w:hint="eastAsia"/>
          <w:sz w:val="28"/>
          <w:szCs w:val="30"/>
        </w:rPr>
        <w:t xml:space="preserve">　 </w:t>
      </w:r>
    </w:p>
    <w:p w14:paraId="6D2F0050" w14:textId="2D70AA35" w:rsidR="00A21555" w:rsidRDefault="00A21555">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3F2BEA3C" w14:textId="77777777" w:rsidR="00A21555" w:rsidRDefault="00A21555">
      <w:pPr>
        <w:spacing w:line="360" w:lineRule="auto"/>
        <w:jc w:val="center"/>
        <w:rPr>
          <w:rFonts w:ascii="宋体" w:hAnsi="宋体" w:hint="eastAsia"/>
          <w:sz w:val="28"/>
          <w:szCs w:val="30"/>
        </w:rPr>
      </w:pPr>
      <w:r>
        <w:rPr>
          <w:rFonts w:ascii="宋体" w:hAnsi="宋体" w:hint="eastAsia"/>
          <w:sz w:val="28"/>
          <w:szCs w:val="30"/>
        </w:rPr>
        <w:t xml:space="preserve">　 </w:t>
      </w:r>
    </w:p>
    <w:p w14:paraId="12C5CC4D" w14:textId="77777777" w:rsidR="00A21555" w:rsidRDefault="00A21555">
      <w:pPr>
        <w:spacing w:line="360" w:lineRule="auto"/>
        <w:jc w:val="center"/>
        <w:rPr>
          <w:rFonts w:ascii="宋体" w:hAnsi="宋体" w:hint="eastAsia"/>
          <w:sz w:val="28"/>
          <w:szCs w:val="30"/>
        </w:rPr>
      </w:pPr>
      <w:r>
        <w:rPr>
          <w:rFonts w:ascii="宋体" w:hAnsi="宋体" w:hint="eastAsia"/>
          <w:sz w:val="28"/>
          <w:szCs w:val="30"/>
        </w:rPr>
        <w:t xml:space="preserve">　 </w:t>
      </w:r>
    </w:p>
    <w:p w14:paraId="493B6AE8" w14:textId="77777777" w:rsidR="00A21555" w:rsidRDefault="00A21555">
      <w:pPr>
        <w:spacing w:line="360" w:lineRule="auto"/>
        <w:jc w:val="center"/>
        <w:rPr>
          <w:rFonts w:ascii="宋体" w:hAnsi="宋体" w:hint="eastAsia"/>
          <w:sz w:val="28"/>
          <w:szCs w:val="30"/>
        </w:rPr>
      </w:pPr>
      <w:r>
        <w:rPr>
          <w:rFonts w:ascii="宋体" w:hAnsi="宋体" w:hint="eastAsia"/>
          <w:sz w:val="28"/>
          <w:szCs w:val="30"/>
        </w:rPr>
        <w:t xml:space="preserve">　 </w:t>
      </w:r>
    </w:p>
    <w:p w14:paraId="07812452" w14:textId="77777777" w:rsidR="00A21555" w:rsidRDefault="00A21555">
      <w:pPr>
        <w:spacing w:line="360" w:lineRule="auto"/>
        <w:jc w:val="center"/>
        <w:rPr>
          <w:rFonts w:ascii="宋体" w:hAnsi="宋体" w:hint="eastAsia"/>
          <w:sz w:val="28"/>
          <w:szCs w:val="30"/>
        </w:rPr>
      </w:pPr>
      <w:r>
        <w:rPr>
          <w:rFonts w:ascii="宋体" w:hAnsi="宋体" w:hint="eastAsia"/>
          <w:sz w:val="28"/>
          <w:szCs w:val="30"/>
        </w:rPr>
        <w:t xml:space="preserve">　 </w:t>
      </w:r>
    </w:p>
    <w:p w14:paraId="005B0FB2" w14:textId="77777777" w:rsidR="00A21555" w:rsidRDefault="00A21555">
      <w:pPr>
        <w:spacing w:line="360" w:lineRule="auto"/>
        <w:jc w:val="center"/>
        <w:rPr>
          <w:rFonts w:ascii="宋体" w:hAnsi="宋体" w:hint="eastAsia"/>
          <w:sz w:val="28"/>
          <w:szCs w:val="30"/>
        </w:rPr>
      </w:pPr>
      <w:r>
        <w:rPr>
          <w:rFonts w:ascii="宋体" w:hAnsi="宋体" w:hint="eastAsia"/>
          <w:sz w:val="28"/>
          <w:szCs w:val="30"/>
        </w:rPr>
        <w:t xml:space="preserve">　 </w:t>
      </w:r>
    </w:p>
    <w:p w14:paraId="4075D217" w14:textId="77777777" w:rsidR="00A21555" w:rsidRDefault="00A21555">
      <w:pPr>
        <w:spacing w:line="360" w:lineRule="auto"/>
        <w:jc w:val="center"/>
        <w:rPr>
          <w:rFonts w:ascii="宋体" w:hAnsi="宋体" w:hint="eastAsia"/>
          <w:sz w:val="28"/>
          <w:szCs w:val="30"/>
        </w:rPr>
      </w:pPr>
      <w:r>
        <w:rPr>
          <w:rFonts w:ascii="宋体" w:hAnsi="宋体" w:hint="eastAsia"/>
          <w:sz w:val="28"/>
          <w:szCs w:val="30"/>
        </w:rPr>
        <w:t xml:space="preserve">　 </w:t>
      </w:r>
    </w:p>
    <w:p w14:paraId="03099F91" w14:textId="77777777" w:rsidR="00A21555" w:rsidRDefault="00A21555">
      <w:pPr>
        <w:spacing w:line="360" w:lineRule="auto"/>
        <w:jc w:val="center"/>
        <w:rPr>
          <w:rFonts w:ascii="宋体" w:hAnsi="宋体" w:hint="eastAsia"/>
          <w:sz w:val="28"/>
          <w:szCs w:val="30"/>
        </w:rPr>
      </w:pPr>
      <w:r>
        <w:rPr>
          <w:rFonts w:ascii="宋体" w:hAnsi="宋体" w:hint="eastAsia"/>
          <w:sz w:val="28"/>
          <w:szCs w:val="30"/>
        </w:rPr>
        <w:t xml:space="preserve">　 </w:t>
      </w:r>
    </w:p>
    <w:p w14:paraId="233B2C0F" w14:textId="77777777" w:rsidR="00A21555" w:rsidRDefault="00A21555">
      <w:pPr>
        <w:spacing w:line="360" w:lineRule="auto"/>
        <w:ind w:firstLineChars="800" w:firstLine="2249"/>
        <w:jc w:val="left"/>
      </w:pPr>
      <w:r>
        <w:rPr>
          <w:rFonts w:ascii="宋体" w:hAnsi="宋体" w:hint="eastAsia"/>
          <w:b/>
          <w:bCs/>
          <w:sz w:val="28"/>
          <w:szCs w:val="30"/>
        </w:rPr>
        <w:t>基金管理人：摩根基金管理（中国）有限公司</w:t>
      </w:r>
    </w:p>
    <w:p w14:paraId="3015FFA3" w14:textId="77777777" w:rsidR="00A21555" w:rsidRDefault="00A21555">
      <w:pPr>
        <w:spacing w:line="360" w:lineRule="auto"/>
        <w:ind w:firstLineChars="800" w:firstLine="2249"/>
        <w:jc w:val="left"/>
      </w:pPr>
      <w:r>
        <w:rPr>
          <w:rFonts w:ascii="宋体" w:hAnsi="宋体" w:hint="eastAsia"/>
          <w:b/>
          <w:bCs/>
          <w:sz w:val="28"/>
          <w:szCs w:val="30"/>
        </w:rPr>
        <w:t>基金托管人：中国银行股份有限公司</w:t>
      </w:r>
    </w:p>
    <w:p w14:paraId="56FCE5EF" w14:textId="77777777" w:rsidR="00A21555" w:rsidRDefault="00A21555">
      <w:pPr>
        <w:spacing w:line="360" w:lineRule="auto"/>
        <w:ind w:firstLineChars="800" w:firstLine="2249"/>
        <w:jc w:val="left"/>
      </w:pPr>
      <w:r>
        <w:rPr>
          <w:rFonts w:ascii="宋体" w:hAnsi="宋体" w:hint="eastAsia"/>
          <w:b/>
          <w:bCs/>
          <w:sz w:val="28"/>
          <w:szCs w:val="30"/>
        </w:rPr>
        <w:t>报告送出日期：2026年4月22日</w:t>
      </w:r>
    </w:p>
    <w:p w14:paraId="3F0DD3DF" w14:textId="77777777" w:rsidR="00A21555" w:rsidRDefault="00A21555">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1085E7E2" w14:textId="77777777" w:rsidR="00A21555" w:rsidRDefault="00A21555">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7C1D82B8" w14:textId="77777777" w:rsidR="00A21555" w:rsidRDefault="00A21555">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814921" w14:paraId="7881FB1D" w14:textId="77777777">
        <w:trPr>
          <w:divId w:val="1311062006"/>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132CC0D6" w14:textId="77777777" w:rsidR="00A21555" w:rsidRDefault="00A21555">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EE8C1D" w14:textId="77777777" w:rsidR="00A21555" w:rsidRDefault="00A21555">
            <w:pPr>
              <w:jc w:val="left"/>
            </w:pPr>
            <w:r>
              <w:rPr>
                <w:rFonts w:ascii="宋体" w:hAnsi="宋体" w:hint="eastAsia"/>
                <w:szCs w:val="24"/>
                <w:lang w:eastAsia="zh-Hans"/>
              </w:rPr>
              <w:t>摩根健康品质生活混合</w:t>
            </w:r>
            <w:r>
              <w:rPr>
                <w:rFonts w:ascii="宋体" w:hAnsi="宋体" w:hint="eastAsia"/>
                <w:lang w:eastAsia="zh-Hans"/>
              </w:rPr>
              <w:t xml:space="preserve"> </w:t>
            </w:r>
          </w:p>
        </w:tc>
      </w:tr>
      <w:tr w:rsidR="00814921" w14:paraId="5578DF3C" w14:textId="77777777">
        <w:trPr>
          <w:divId w:val="131106200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D8B8BC9" w14:textId="77777777" w:rsidR="00A21555" w:rsidRDefault="00A21555">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7E686C" w14:textId="77777777" w:rsidR="00A21555" w:rsidRDefault="00A21555">
            <w:pPr>
              <w:jc w:val="left"/>
            </w:pPr>
            <w:r>
              <w:rPr>
                <w:rFonts w:ascii="宋体" w:hAnsi="宋体" w:hint="eastAsia"/>
                <w:lang w:eastAsia="zh-Hans"/>
              </w:rPr>
              <w:t>377150</w:t>
            </w:r>
          </w:p>
        </w:tc>
      </w:tr>
      <w:tr w:rsidR="00814921" w14:paraId="0AE05F4C" w14:textId="77777777">
        <w:trPr>
          <w:divId w:val="131106200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18DF22" w14:textId="77777777" w:rsidR="00A21555" w:rsidRDefault="00A21555">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34E920" w14:textId="77777777" w:rsidR="00A21555" w:rsidRDefault="00A21555">
            <w:pPr>
              <w:jc w:val="left"/>
            </w:pPr>
            <w:r>
              <w:rPr>
                <w:rFonts w:ascii="宋体" w:hAnsi="宋体" w:hint="eastAsia"/>
                <w:lang w:eastAsia="zh-Hans"/>
              </w:rPr>
              <w:t>契约型开放式</w:t>
            </w:r>
          </w:p>
        </w:tc>
      </w:tr>
      <w:tr w:rsidR="00814921" w14:paraId="4FAFC04B" w14:textId="77777777">
        <w:trPr>
          <w:divId w:val="131106200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B4A4F3" w14:textId="77777777" w:rsidR="00A21555" w:rsidRDefault="00A21555">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28DCEA" w14:textId="77777777" w:rsidR="00A21555" w:rsidRDefault="00A21555">
            <w:pPr>
              <w:jc w:val="left"/>
            </w:pPr>
            <w:r>
              <w:rPr>
                <w:rFonts w:ascii="宋体" w:hAnsi="宋体" w:hint="eastAsia"/>
                <w:lang w:eastAsia="zh-Hans"/>
              </w:rPr>
              <w:t>2025年5月8日</w:t>
            </w:r>
          </w:p>
        </w:tc>
      </w:tr>
      <w:tr w:rsidR="00814921" w14:paraId="2496A8CF" w14:textId="77777777">
        <w:trPr>
          <w:divId w:val="131106200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70DB6F" w14:textId="77777777" w:rsidR="00A21555" w:rsidRDefault="00A21555">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89EF12A" w14:textId="77777777" w:rsidR="00A21555" w:rsidRDefault="00A21555">
            <w:pPr>
              <w:jc w:val="left"/>
            </w:pPr>
            <w:r>
              <w:rPr>
                <w:rFonts w:ascii="宋体" w:hAnsi="宋体" w:hint="eastAsia"/>
                <w:lang w:eastAsia="zh-Hans"/>
              </w:rPr>
              <w:t>78,718,026.13</w:t>
            </w:r>
            <w:r>
              <w:rPr>
                <w:rFonts w:hint="eastAsia"/>
              </w:rPr>
              <w:t>份</w:t>
            </w:r>
            <w:r>
              <w:rPr>
                <w:rFonts w:ascii="宋体" w:hAnsi="宋体" w:hint="eastAsia"/>
                <w:lang w:eastAsia="zh-Hans"/>
              </w:rPr>
              <w:t xml:space="preserve"> </w:t>
            </w:r>
          </w:p>
        </w:tc>
      </w:tr>
      <w:tr w:rsidR="00814921" w14:paraId="25E664F3" w14:textId="77777777">
        <w:trPr>
          <w:divId w:val="131106200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D6CACA" w14:textId="77777777" w:rsidR="00A21555" w:rsidRDefault="00A21555">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2E8D0F" w14:textId="77777777" w:rsidR="00A21555" w:rsidRDefault="00A21555">
            <w:pPr>
              <w:jc w:val="left"/>
            </w:pPr>
            <w:r>
              <w:rPr>
                <w:rFonts w:ascii="宋体" w:hAnsi="宋体" w:hint="eastAsia"/>
                <w:lang w:eastAsia="zh-Hans"/>
              </w:rPr>
              <w:t>本基金主要投资于有利于提升居民健康水平和生活品质的行业及公司，力争把握经济结构调整和消费升级所带来的投资机会。在严格控制风险的前提下，追求基金资产的长期稳定增值。</w:t>
            </w:r>
          </w:p>
        </w:tc>
      </w:tr>
      <w:tr w:rsidR="00814921" w14:paraId="042EA98A" w14:textId="77777777">
        <w:trPr>
          <w:divId w:val="131106200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BB725B" w14:textId="77777777" w:rsidR="00A21555" w:rsidRDefault="00A21555">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1EC9C0" w14:textId="77777777" w:rsidR="00A21555" w:rsidRDefault="00A21555">
            <w:pPr>
              <w:jc w:val="left"/>
            </w:pPr>
            <w:r>
              <w:rPr>
                <w:rFonts w:ascii="宋体" w:hAnsi="宋体" w:hint="eastAsia"/>
                <w:lang w:eastAsia="zh-Hans"/>
              </w:rPr>
              <w:t>1、资产配置策略：</w:t>
            </w:r>
            <w:r>
              <w:rPr>
                <w:rFonts w:ascii="宋体" w:hAnsi="宋体" w:hint="eastAsia"/>
                <w:lang w:eastAsia="zh-Hans"/>
              </w:rPr>
              <w:br/>
              <w:t>本基金对大类资产的配置是从宏观层面出发，采用定量分析和定性分析相结合的手段，综合宏观经济环境、宏观经济政策、产业政策、行业景气度、证券市场走势和流动性的综合分析，积极进行大类资产配置。</w:t>
            </w:r>
            <w:r>
              <w:rPr>
                <w:rFonts w:ascii="宋体" w:hAnsi="宋体" w:hint="eastAsia"/>
                <w:lang w:eastAsia="zh-Hans"/>
              </w:rPr>
              <w:br/>
              <w:t>在控制风险的前提下，本基金将优先配置股票资产，本基金股票资产占基金资产的投资比例为70%-95%，其中港股通标的股票的投资比例不超过股票资产的50%。</w:t>
            </w:r>
            <w:r>
              <w:rPr>
                <w:rFonts w:ascii="宋体" w:hAnsi="宋体" w:hint="eastAsia"/>
                <w:lang w:eastAsia="zh-Hans"/>
              </w:rPr>
              <w:br/>
              <w:t>2、股票投资策略：</w:t>
            </w:r>
            <w:r>
              <w:rPr>
                <w:rFonts w:ascii="宋体" w:hAnsi="宋体" w:hint="eastAsia"/>
                <w:lang w:eastAsia="zh-Hans"/>
              </w:rPr>
              <w:br/>
              <w:t>本基金将围绕健康生活与品质生活这两大主题，重点关注有利于提升民众健康水平以及物质生活和精神生活质量的行业和个股。</w:t>
            </w:r>
            <w:r>
              <w:rPr>
                <w:rFonts w:ascii="宋体" w:hAnsi="宋体" w:hint="eastAsia"/>
                <w:lang w:eastAsia="zh-Hans"/>
              </w:rPr>
              <w:br/>
              <w:t>本基金的股票投资包含健康生活和品质生活这两大主</w:t>
            </w:r>
            <w:r>
              <w:rPr>
                <w:rFonts w:ascii="宋体" w:hAnsi="宋体" w:hint="eastAsia"/>
                <w:lang w:eastAsia="zh-Hans"/>
              </w:rPr>
              <w:lastRenderedPageBreak/>
              <w:t>题。健康生活对应的是有利于公众建立健康体质和生活的行业或公司，如医疗及服务、健康食品、文体产业、户外运动服装及器械等。品质生活对应的是符合公众消费趋势，建立品质生活的行业和公司，如食品饮料、汽车、家电、商贸零售、旅游、航空、消费电子等。本基金将不低于80％的非现金基金资产投资于健康品质生活主题相关的股票。</w:t>
            </w:r>
            <w:r>
              <w:rPr>
                <w:rFonts w:ascii="宋体" w:hAnsi="宋体" w:hint="eastAsia"/>
                <w:lang w:eastAsia="zh-Hans"/>
              </w:rPr>
              <w:br/>
              <w:t>行业配置方面，本基金将从行业生命周期、行业景气度、行业竞争格局等多角度，综合评估各个行业的投资价值。在行业配置的基础上，本基金管理人将采用“自下而上”的研究方法，充分发挥投研团队的主动选股能力，紧密围绕健康品质生活的投资主题，精选优质股票构建投资组合。</w:t>
            </w:r>
            <w:r>
              <w:rPr>
                <w:rFonts w:ascii="宋体" w:hAnsi="宋体" w:hint="eastAsia"/>
                <w:lang w:eastAsia="zh-Hans"/>
              </w:rPr>
              <w:br/>
              <w:t>此外，本基金采用的投资策略还包括：债券投资策略；股指期货投资策略；股票期权投资策略；国债期货投资策略；资产支持证券投资策略；存托凭证投资策略；融资业务策略</w:t>
            </w:r>
          </w:p>
        </w:tc>
      </w:tr>
      <w:tr w:rsidR="00814921" w14:paraId="71CE17EE" w14:textId="77777777">
        <w:trPr>
          <w:divId w:val="131106200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D2ABDFF" w14:textId="77777777" w:rsidR="00A21555" w:rsidRDefault="00A21555">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C78F37" w14:textId="77777777" w:rsidR="00A21555" w:rsidRDefault="00A21555">
            <w:pPr>
              <w:jc w:val="left"/>
            </w:pPr>
            <w:r>
              <w:rPr>
                <w:rFonts w:ascii="宋体" w:hAnsi="宋体" w:hint="eastAsia"/>
                <w:lang w:eastAsia="zh-Hans"/>
              </w:rPr>
              <w:t>中证内地消费指数收益率*65%+中证港股通大消费主题指数收益率*15%+银行活期存款利率（税后）*20%</w:t>
            </w:r>
          </w:p>
        </w:tc>
      </w:tr>
      <w:tr w:rsidR="00814921" w14:paraId="0BEB350F" w14:textId="77777777">
        <w:trPr>
          <w:divId w:val="131106200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78F555" w14:textId="77777777" w:rsidR="00A21555" w:rsidRDefault="00A21555">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6878B2" w14:textId="77777777" w:rsidR="00A21555" w:rsidRDefault="00A21555">
            <w:pPr>
              <w:jc w:val="left"/>
            </w:pPr>
            <w:r>
              <w:rPr>
                <w:rFonts w:ascii="宋体" w:hAnsi="宋体" w:hint="eastAsia"/>
                <w:lang w:eastAsia="zh-Hans"/>
              </w:rPr>
              <w:t>本基金属于混合型基金产品，预期风险和收益水平高于债券型基金和货币市场基金，低于股票型基金。</w:t>
            </w:r>
            <w:r>
              <w:rPr>
                <w:rFonts w:ascii="宋体" w:hAnsi="宋体" w:hint="eastAsia"/>
                <w:lang w:eastAsia="zh-Hans"/>
              </w:rPr>
              <w:br/>
              <w:t>本基金可投资香港联合交易所上市的股票，将面临港股通机制下因投资环境、投资标的、市场制度以及交易规则等差异带来的特有风险。</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814921" w14:paraId="52A6E927" w14:textId="77777777">
        <w:trPr>
          <w:divId w:val="131106200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5F459B" w14:textId="77777777" w:rsidR="00A21555" w:rsidRDefault="00A21555">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FE3E40" w14:textId="77777777" w:rsidR="00A21555" w:rsidRDefault="00A21555">
            <w:pPr>
              <w:jc w:val="left"/>
            </w:pPr>
            <w:r>
              <w:rPr>
                <w:rFonts w:ascii="宋体" w:hAnsi="宋体" w:hint="eastAsia"/>
                <w:lang w:eastAsia="zh-Hans"/>
              </w:rPr>
              <w:t>摩根基金管理（中国）有限公司</w:t>
            </w:r>
          </w:p>
        </w:tc>
      </w:tr>
      <w:tr w:rsidR="00814921" w14:paraId="3AFCC156" w14:textId="77777777">
        <w:trPr>
          <w:divId w:val="131106200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4B5714" w14:textId="77777777" w:rsidR="00A21555" w:rsidRDefault="00A21555">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D589945" w14:textId="77777777" w:rsidR="00A21555" w:rsidRDefault="00A21555">
            <w:pPr>
              <w:jc w:val="left"/>
            </w:pPr>
            <w:r>
              <w:rPr>
                <w:rFonts w:ascii="宋体" w:hAnsi="宋体" w:hint="eastAsia"/>
                <w:lang w:eastAsia="zh-Hans"/>
              </w:rPr>
              <w:t>中国银行股份有限公司</w:t>
            </w:r>
          </w:p>
        </w:tc>
      </w:tr>
      <w:tr w:rsidR="00814921" w14:paraId="58FEE798" w14:textId="77777777">
        <w:trPr>
          <w:divId w:val="131106200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D91CED8" w14:textId="77777777" w:rsidR="00A21555" w:rsidRDefault="00A21555">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DB8FCB3" w14:textId="77777777" w:rsidR="00A21555" w:rsidRDefault="00A21555">
            <w:pPr>
              <w:jc w:val="center"/>
            </w:pPr>
            <w:r>
              <w:rPr>
                <w:rFonts w:ascii="宋体" w:hAnsi="宋体" w:hint="eastAsia"/>
                <w:lang w:eastAsia="zh-Hans"/>
              </w:rPr>
              <w:t>摩根健康品质生活混合A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CC33CC4" w14:textId="77777777" w:rsidR="00A21555" w:rsidRDefault="00A21555">
            <w:pPr>
              <w:jc w:val="center"/>
            </w:pPr>
            <w:r>
              <w:rPr>
                <w:rFonts w:ascii="宋体" w:hAnsi="宋体" w:hint="eastAsia"/>
                <w:lang w:eastAsia="zh-Hans"/>
              </w:rPr>
              <w:t>摩根健康品质生活混合C</w:t>
            </w:r>
            <w:r>
              <w:rPr>
                <w:rFonts w:ascii="宋体" w:hAnsi="宋体" w:hint="eastAsia"/>
                <w:kern w:val="0"/>
                <w:sz w:val="20"/>
                <w:lang w:eastAsia="zh-Hans"/>
              </w:rPr>
              <w:t xml:space="preserve"> </w:t>
            </w:r>
          </w:p>
        </w:tc>
      </w:tr>
      <w:tr w:rsidR="00814921" w14:paraId="658439A9" w14:textId="77777777">
        <w:trPr>
          <w:divId w:val="131106200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079B7E" w14:textId="77777777" w:rsidR="00A21555" w:rsidRDefault="00A21555">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CE5127B" w14:textId="77777777" w:rsidR="00A21555" w:rsidRDefault="00A21555">
            <w:pPr>
              <w:jc w:val="center"/>
            </w:pPr>
            <w:r>
              <w:rPr>
                <w:rFonts w:ascii="宋体" w:hAnsi="宋体" w:hint="eastAsia"/>
                <w:lang w:eastAsia="zh-Hans"/>
              </w:rPr>
              <w:t>377150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B02CD20" w14:textId="77777777" w:rsidR="00A21555" w:rsidRDefault="00A21555">
            <w:pPr>
              <w:jc w:val="center"/>
            </w:pPr>
            <w:r>
              <w:rPr>
                <w:rFonts w:ascii="宋体" w:hAnsi="宋体" w:hint="eastAsia"/>
                <w:lang w:eastAsia="zh-Hans"/>
              </w:rPr>
              <w:t>015346</w:t>
            </w:r>
            <w:r>
              <w:rPr>
                <w:rFonts w:ascii="宋体" w:hAnsi="宋体" w:hint="eastAsia"/>
                <w:kern w:val="0"/>
                <w:sz w:val="20"/>
                <w:lang w:eastAsia="zh-Hans"/>
              </w:rPr>
              <w:t xml:space="preserve"> </w:t>
            </w:r>
          </w:p>
        </w:tc>
      </w:tr>
      <w:bookmarkEnd w:id="32"/>
      <w:bookmarkEnd w:id="33"/>
      <w:tr w:rsidR="00814921" w14:paraId="487D1234" w14:textId="77777777">
        <w:trPr>
          <w:divId w:val="131106200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A4FE1C" w14:textId="77777777" w:rsidR="00A21555" w:rsidRDefault="00A21555">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B5395D" w14:textId="77777777" w:rsidR="00A21555" w:rsidRDefault="00A21555">
            <w:pPr>
              <w:jc w:val="center"/>
            </w:pPr>
            <w:r>
              <w:rPr>
                <w:rFonts w:ascii="宋体" w:hAnsi="宋体" w:hint="eastAsia"/>
                <w:lang w:eastAsia="zh-Hans"/>
              </w:rPr>
              <w:t>41,636,520.27</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66594F" w14:textId="77777777" w:rsidR="00A21555" w:rsidRDefault="00A21555">
            <w:pPr>
              <w:jc w:val="center"/>
            </w:pPr>
            <w:r>
              <w:rPr>
                <w:rFonts w:ascii="宋体" w:hAnsi="宋体" w:hint="eastAsia"/>
                <w:lang w:eastAsia="zh-Hans"/>
              </w:rPr>
              <w:t>37,081,505.86</w:t>
            </w:r>
            <w:r>
              <w:rPr>
                <w:rFonts w:hint="eastAsia"/>
              </w:rPr>
              <w:t>份</w:t>
            </w:r>
            <w:r>
              <w:rPr>
                <w:rFonts w:ascii="宋体" w:hAnsi="宋体" w:hint="eastAsia"/>
                <w:lang w:eastAsia="zh-Hans"/>
              </w:rPr>
              <w:t xml:space="preserve"> </w:t>
            </w:r>
          </w:p>
        </w:tc>
      </w:tr>
    </w:tbl>
    <w:p w14:paraId="0130266B" w14:textId="77777777" w:rsidR="00A21555" w:rsidRDefault="00A21555">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2F3E7BF6" w14:textId="77777777" w:rsidR="00A21555" w:rsidRDefault="00A21555">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0B2662D7" w14:textId="77777777" w:rsidR="00A21555" w:rsidRDefault="00A21555">
      <w:pPr>
        <w:jc w:val="right"/>
        <w:divId w:val="958486436"/>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27"/>
        <w:gridCol w:w="2754"/>
        <w:gridCol w:w="2754"/>
      </w:tblGrid>
      <w:tr w:rsidR="00814921" w14:paraId="524407B0" w14:textId="77777777">
        <w:trPr>
          <w:divId w:val="958486436"/>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AAA823F" w14:textId="77777777" w:rsidR="00A21555" w:rsidRDefault="00A21555">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A538C8E" w14:textId="77777777" w:rsidR="00A21555" w:rsidRDefault="00A21555">
            <w:pPr>
              <w:pStyle w:val="a5"/>
              <w:jc w:val="center"/>
              <w:rPr>
                <w:rFonts w:hint="eastAsia"/>
              </w:rPr>
            </w:pPr>
            <w:r>
              <w:rPr>
                <w:rFonts w:hint="eastAsia"/>
                <w:kern w:val="2"/>
                <w:sz w:val="21"/>
                <w:szCs w:val="24"/>
                <w:lang w:eastAsia="zh-Hans"/>
              </w:rPr>
              <w:t xml:space="preserve">报告期（2026年1月1日 - 2026年3月31日） </w:t>
            </w:r>
          </w:p>
        </w:tc>
      </w:tr>
      <w:tr w:rsidR="00814921" w14:paraId="4D00513D" w14:textId="77777777">
        <w:trPr>
          <w:divId w:val="958486436"/>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E7DE8E" w14:textId="77777777" w:rsidR="00A21555" w:rsidRDefault="00A21555">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851AB7A" w14:textId="77777777" w:rsidR="00A21555" w:rsidRDefault="00A21555">
            <w:pPr>
              <w:jc w:val="center"/>
            </w:pPr>
            <w:r>
              <w:rPr>
                <w:rFonts w:ascii="宋体" w:hAnsi="宋体" w:hint="eastAsia"/>
                <w:szCs w:val="24"/>
                <w:lang w:eastAsia="zh-Hans"/>
              </w:rPr>
              <w:t>摩根健康品质生活混合A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02C4282" w14:textId="77777777" w:rsidR="00A21555" w:rsidRDefault="00A21555">
            <w:pPr>
              <w:jc w:val="center"/>
            </w:pPr>
            <w:r>
              <w:rPr>
                <w:rFonts w:ascii="宋体" w:hAnsi="宋体" w:hint="eastAsia"/>
                <w:szCs w:val="24"/>
                <w:lang w:eastAsia="zh-Hans"/>
              </w:rPr>
              <w:t>摩根健康品质生活混合C</w:t>
            </w:r>
          </w:p>
        </w:tc>
      </w:tr>
      <w:tr w:rsidR="00814921" w14:paraId="603D1847" w14:textId="77777777">
        <w:trPr>
          <w:divId w:val="95848643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0396D19" w14:textId="77777777" w:rsidR="00A21555" w:rsidRDefault="00A21555">
            <w:pPr>
              <w:pStyle w:val="a5"/>
              <w:rPr>
                <w:rFonts w:hint="eastAsia"/>
              </w:rPr>
            </w:pPr>
            <w:r>
              <w:rPr>
                <w:rFonts w:hint="eastAsia"/>
                <w:kern w:val="2"/>
                <w:sz w:val="21"/>
              </w:rPr>
              <w:lastRenderedPageBreak/>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61B2D0D" w14:textId="77777777" w:rsidR="00A21555" w:rsidRDefault="00A21555">
            <w:pPr>
              <w:jc w:val="right"/>
            </w:pPr>
            <w:r>
              <w:rPr>
                <w:rFonts w:ascii="宋体" w:hAnsi="宋体" w:hint="eastAsia"/>
                <w:szCs w:val="24"/>
                <w:lang w:eastAsia="zh-Hans"/>
              </w:rPr>
              <w:t>-5,243,582.94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B9C24CF" w14:textId="77777777" w:rsidR="00A21555" w:rsidRDefault="00A21555">
            <w:pPr>
              <w:jc w:val="right"/>
            </w:pPr>
            <w:r>
              <w:rPr>
                <w:rFonts w:ascii="宋体" w:hAnsi="宋体" w:hint="eastAsia"/>
                <w:szCs w:val="24"/>
                <w:lang w:eastAsia="zh-Hans"/>
              </w:rPr>
              <w:t>-6,162,146.12</w:t>
            </w:r>
          </w:p>
        </w:tc>
      </w:tr>
      <w:tr w:rsidR="00814921" w14:paraId="6C61DE41" w14:textId="77777777">
        <w:trPr>
          <w:divId w:val="95848643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2D93808" w14:textId="77777777" w:rsidR="00A21555" w:rsidRDefault="00A21555">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2475564" w14:textId="77777777" w:rsidR="00A21555" w:rsidRDefault="00A21555">
            <w:pPr>
              <w:jc w:val="right"/>
            </w:pPr>
            <w:r>
              <w:rPr>
                <w:rFonts w:ascii="宋体" w:hAnsi="宋体" w:hint="eastAsia"/>
                <w:szCs w:val="24"/>
                <w:lang w:eastAsia="zh-Hans"/>
              </w:rPr>
              <w:t>-10,218,653.09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5A37F93" w14:textId="77777777" w:rsidR="00A21555" w:rsidRDefault="00A21555">
            <w:pPr>
              <w:jc w:val="right"/>
            </w:pPr>
            <w:r>
              <w:rPr>
                <w:rFonts w:ascii="宋体" w:hAnsi="宋体" w:hint="eastAsia"/>
                <w:szCs w:val="24"/>
                <w:lang w:eastAsia="zh-Hans"/>
              </w:rPr>
              <w:t>-14,132,013.67</w:t>
            </w:r>
          </w:p>
        </w:tc>
      </w:tr>
      <w:tr w:rsidR="00814921" w14:paraId="39914AFF" w14:textId="77777777">
        <w:trPr>
          <w:divId w:val="95848643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19848C3" w14:textId="77777777" w:rsidR="00A21555" w:rsidRDefault="00A21555">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A2C0D6C" w14:textId="77777777" w:rsidR="00A21555" w:rsidRDefault="00A21555">
            <w:pPr>
              <w:jc w:val="right"/>
            </w:pPr>
            <w:r>
              <w:rPr>
                <w:rFonts w:ascii="宋体" w:hAnsi="宋体" w:hint="eastAsia"/>
                <w:szCs w:val="24"/>
                <w:lang w:eastAsia="zh-Hans"/>
              </w:rPr>
              <w:t>-0.2064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70BC500" w14:textId="77777777" w:rsidR="00A21555" w:rsidRDefault="00A21555">
            <w:pPr>
              <w:jc w:val="right"/>
            </w:pPr>
            <w:r>
              <w:rPr>
                <w:rFonts w:ascii="宋体" w:hAnsi="宋体" w:hint="eastAsia"/>
                <w:szCs w:val="24"/>
                <w:lang w:eastAsia="zh-Hans"/>
              </w:rPr>
              <w:t>-0.2694</w:t>
            </w:r>
          </w:p>
        </w:tc>
      </w:tr>
      <w:tr w:rsidR="00814921" w14:paraId="0F637D68" w14:textId="77777777">
        <w:trPr>
          <w:divId w:val="95848643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5F6E2BE" w14:textId="77777777" w:rsidR="00A21555" w:rsidRDefault="00A21555">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B655F27" w14:textId="77777777" w:rsidR="00A21555" w:rsidRDefault="00A21555">
            <w:pPr>
              <w:jc w:val="right"/>
            </w:pPr>
            <w:r>
              <w:rPr>
                <w:rFonts w:ascii="宋体" w:hAnsi="宋体" w:hint="eastAsia"/>
                <w:szCs w:val="24"/>
                <w:lang w:eastAsia="zh-Hans"/>
              </w:rPr>
              <w:t>125,776,770.67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B0023A0" w14:textId="77777777" w:rsidR="00A21555" w:rsidRDefault="00A21555">
            <w:pPr>
              <w:jc w:val="right"/>
            </w:pPr>
            <w:r>
              <w:rPr>
                <w:rFonts w:ascii="宋体" w:hAnsi="宋体" w:hint="eastAsia"/>
                <w:szCs w:val="24"/>
                <w:lang w:eastAsia="zh-Hans"/>
              </w:rPr>
              <w:t>109,765,601.54</w:t>
            </w:r>
          </w:p>
        </w:tc>
      </w:tr>
      <w:tr w:rsidR="00814921" w14:paraId="1029DDA4" w14:textId="77777777">
        <w:trPr>
          <w:divId w:val="95848643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6CEAECF" w14:textId="77777777" w:rsidR="00A21555" w:rsidRDefault="00A21555">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2152598" w14:textId="77777777" w:rsidR="00A21555" w:rsidRDefault="00A21555">
            <w:pPr>
              <w:jc w:val="right"/>
            </w:pPr>
            <w:r>
              <w:rPr>
                <w:rFonts w:ascii="宋体" w:hAnsi="宋体" w:hint="eastAsia"/>
                <w:szCs w:val="24"/>
                <w:lang w:eastAsia="zh-Hans"/>
              </w:rPr>
              <w:t>3.0208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05035BA" w14:textId="77777777" w:rsidR="00A21555" w:rsidRDefault="00A21555">
            <w:pPr>
              <w:jc w:val="right"/>
            </w:pPr>
            <w:r>
              <w:rPr>
                <w:rFonts w:ascii="宋体" w:hAnsi="宋体" w:hint="eastAsia"/>
                <w:szCs w:val="24"/>
                <w:lang w:eastAsia="zh-Hans"/>
              </w:rPr>
              <w:t>2.9601</w:t>
            </w:r>
          </w:p>
        </w:tc>
      </w:tr>
    </w:tbl>
    <w:p w14:paraId="3128917B" w14:textId="77777777" w:rsidR="00A21555" w:rsidRDefault="00A21555">
      <w:pPr>
        <w:wordWrap w:val="0"/>
        <w:spacing w:line="360" w:lineRule="auto"/>
        <w:jc w:val="left"/>
        <w:divId w:val="1405488077"/>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7C61D84C" w14:textId="77777777" w:rsidR="00A21555" w:rsidRDefault="00A21555">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50B3D9CA" w14:textId="77777777" w:rsidR="00A21555" w:rsidRDefault="00A21555">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1EB6EFBA" w14:textId="77777777" w:rsidR="00A21555" w:rsidRDefault="00A21555">
      <w:pPr>
        <w:spacing w:line="360" w:lineRule="auto"/>
        <w:jc w:val="center"/>
        <w:divId w:val="515265747"/>
      </w:pPr>
      <w:r>
        <w:rPr>
          <w:rFonts w:ascii="宋体" w:hAnsi="宋体" w:hint="eastAsia"/>
        </w:rPr>
        <w:t>摩根健康品质生活混合A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814921" w14:paraId="70012760" w14:textId="77777777">
        <w:trPr>
          <w:divId w:val="51526574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B178823" w14:textId="77777777" w:rsidR="00A21555" w:rsidRDefault="00A21555">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0CE9131" w14:textId="77777777" w:rsidR="00A21555" w:rsidRDefault="00A21555">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FA4BCA0" w14:textId="77777777" w:rsidR="00A21555" w:rsidRDefault="00A21555">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DE505F7" w14:textId="77777777" w:rsidR="00A21555" w:rsidRDefault="00A21555">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622B0C8" w14:textId="77777777" w:rsidR="00A21555" w:rsidRDefault="00A21555">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E4B4EF" w14:textId="77777777" w:rsidR="00A21555" w:rsidRDefault="00A21555">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FFE0B38" w14:textId="77777777" w:rsidR="00A21555" w:rsidRDefault="00A21555">
            <w:pPr>
              <w:spacing w:line="360" w:lineRule="auto"/>
              <w:jc w:val="center"/>
            </w:pPr>
            <w:r>
              <w:rPr>
                <w:rFonts w:ascii="宋体" w:hAnsi="宋体" w:hint="eastAsia"/>
              </w:rPr>
              <w:t xml:space="preserve">②－④ </w:t>
            </w:r>
          </w:p>
        </w:tc>
      </w:tr>
      <w:tr w:rsidR="00814921" w14:paraId="72AAB2F3" w14:textId="77777777">
        <w:trPr>
          <w:divId w:val="51526574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508B60" w14:textId="77777777" w:rsidR="00A21555" w:rsidRDefault="00A21555">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FFEBAB" w14:textId="77777777" w:rsidR="00A21555" w:rsidRDefault="00A21555">
            <w:pPr>
              <w:spacing w:line="360" w:lineRule="auto"/>
              <w:jc w:val="right"/>
            </w:pPr>
            <w:r>
              <w:rPr>
                <w:rFonts w:ascii="宋体" w:hAnsi="宋体" w:hint="eastAsia"/>
              </w:rPr>
              <w:t xml:space="preserve">-7.53%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00DA75" w14:textId="77777777" w:rsidR="00A21555" w:rsidRDefault="00A21555">
            <w:pPr>
              <w:spacing w:line="360" w:lineRule="auto"/>
              <w:jc w:val="right"/>
            </w:pPr>
            <w:r>
              <w:rPr>
                <w:rFonts w:ascii="宋体" w:hAnsi="宋体" w:hint="eastAsia"/>
              </w:rPr>
              <w:t xml:space="preserve">1.11%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C9A474" w14:textId="77777777" w:rsidR="00A21555" w:rsidRDefault="00A21555">
            <w:pPr>
              <w:spacing w:line="360" w:lineRule="auto"/>
              <w:jc w:val="right"/>
            </w:pPr>
            <w:r>
              <w:rPr>
                <w:rFonts w:ascii="宋体" w:hAnsi="宋体" w:hint="eastAsia"/>
              </w:rPr>
              <w:t xml:space="preserve">-5.52%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B6C9D6" w14:textId="77777777" w:rsidR="00A21555" w:rsidRDefault="00A21555">
            <w:pPr>
              <w:spacing w:line="360" w:lineRule="auto"/>
              <w:jc w:val="right"/>
            </w:pPr>
            <w:r>
              <w:rPr>
                <w:rFonts w:ascii="宋体" w:hAnsi="宋体" w:hint="eastAsia"/>
              </w:rPr>
              <w:t xml:space="preserve">0.79%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C69EC75" w14:textId="77777777" w:rsidR="00A21555" w:rsidRDefault="00A21555">
            <w:pPr>
              <w:spacing w:line="360" w:lineRule="auto"/>
              <w:jc w:val="right"/>
            </w:pPr>
            <w:r>
              <w:rPr>
                <w:rFonts w:ascii="宋体" w:hAnsi="宋体" w:hint="eastAsia"/>
              </w:rPr>
              <w:t xml:space="preserve">-2.01%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A13CEB" w14:textId="77777777" w:rsidR="00A21555" w:rsidRDefault="00A21555">
            <w:pPr>
              <w:spacing w:line="360" w:lineRule="auto"/>
              <w:jc w:val="right"/>
            </w:pPr>
            <w:r>
              <w:rPr>
                <w:rFonts w:ascii="宋体" w:hAnsi="宋体" w:hint="eastAsia"/>
              </w:rPr>
              <w:t xml:space="preserve">0.32% </w:t>
            </w:r>
          </w:p>
        </w:tc>
      </w:tr>
      <w:tr w:rsidR="00814921" w14:paraId="716AADB7" w14:textId="77777777">
        <w:trPr>
          <w:divId w:val="51526574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9FFB3B" w14:textId="77777777" w:rsidR="00A21555" w:rsidRDefault="00A21555">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75D017" w14:textId="77777777" w:rsidR="00A21555" w:rsidRDefault="00A21555">
            <w:pPr>
              <w:spacing w:line="360" w:lineRule="auto"/>
              <w:jc w:val="right"/>
            </w:pPr>
            <w:r>
              <w:rPr>
                <w:rFonts w:ascii="宋体" w:hAnsi="宋体" w:hint="eastAsia"/>
              </w:rPr>
              <w:t xml:space="preserve">-9.00%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BCCB0A" w14:textId="77777777" w:rsidR="00A21555" w:rsidRDefault="00A21555">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C5F974" w14:textId="77777777" w:rsidR="00A21555" w:rsidRDefault="00A21555">
            <w:pPr>
              <w:spacing w:line="360" w:lineRule="auto"/>
              <w:jc w:val="right"/>
            </w:pPr>
            <w:r>
              <w:rPr>
                <w:rFonts w:ascii="宋体" w:hAnsi="宋体" w:hint="eastAsia"/>
              </w:rPr>
              <w:t xml:space="preserve">-10.73%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FFA12C" w14:textId="77777777" w:rsidR="00A21555" w:rsidRDefault="00A21555">
            <w:pPr>
              <w:spacing w:line="360" w:lineRule="auto"/>
              <w:jc w:val="right"/>
            </w:pPr>
            <w:r>
              <w:rPr>
                <w:rFonts w:ascii="宋体" w:hAnsi="宋体" w:hint="eastAsia"/>
              </w:rPr>
              <w:t xml:space="preserve">0.68%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AD6DA26" w14:textId="77777777" w:rsidR="00A21555" w:rsidRDefault="00A21555">
            <w:pPr>
              <w:spacing w:line="360" w:lineRule="auto"/>
              <w:jc w:val="right"/>
            </w:pPr>
            <w:r>
              <w:rPr>
                <w:rFonts w:ascii="宋体" w:hAnsi="宋体" w:hint="eastAsia"/>
              </w:rPr>
              <w:t xml:space="preserve">1.73%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7B8A04" w14:textId="77777777" w:rsidR="00A21555" w:rsidRDefault="00A21555">
            <w:pPr>
              <w:spacing w:line="360" w:lineRule="auto"/>
              <w:jc w:val="right"/>
            </w:pPr>
            <w:r>
              <w:rPr>
                <w:rFonts w:ascii="宋体" w:hAnsi="宋体" w:hint="eastAsia"/>
              </w:rPr>
              <w:t xml:space="preserve">0.30% </w:t>
            </w:r>
          </w:p>
        </w:tc>
      </w:tr>
      <w:tr w:rsidR="00814921" w14:paraId="788DFFC2" w14:textId="77777777">
        <w:trPr>
          <w:divId w:val="51526574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9745D6" w14:textId="77777777" w:rsidR="00A21555" w:rsidRDefault="00A21555">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5EDC10" w14:textId="77777777" w:rsidR="00A21555" w:rsidRDefault="00A21555">
            <w:pPr>
              <w:spacing w:line="360" w:lineRule="auto"/>
              <w:jc w:val="right"/>
            </w:pPr>
            <w:r>
              <w:rPr>
                <w:rFonts w:ascii="宋体" w:hAnsi="宋体" w:hint="eastAsia"/>
              </w:rPr>
              <w:t xml:space="preserve">-2.57%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2D29EF" w14:textId="77777777" w:rsidR="00A21555" w:rsidRDefault="00A21555">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AE5A50" w14:textId="77777777" w:rsidR="00A21555" w:rsidRDefault="00A21555">
            <w:pPr>
              <w:spacing w:line="360" w:lineRule="auto"/>
              <w:jc w:val="right"/>
            </w:pPr>
            <w:r>
              <w:rPr>
                <w:rFonts w:ascii="宋体" w:hAnsi="宋体" w:hint="eastAsia"/>
              </w:rPr>
              <w:t xml:space="preserve">-7.65%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CB9A82" w14:textId="77777777" w:rsidR="00A21555" w:rsidRDefault="00A21555">
            <w:pPr>
              <w:spacing w:line="360" w:lineRule="auto"/>
              <w:jc w:val="right"/>
            </w:pPr>
            <w:r>
              <w:rPr>
                <w:rFonts w:ascii="宋体" w:hAnsi="宋体" w:hint="eastAsia"/>
              </w:rPr>
              <w:t xml:space="preserve">0.65%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7F35933" w14:textId="77777777" w:rsidR="00A21555" w:rsidRDefault="00A21555">
            <w:pPr>
              <w:spacing w:line="360" w:lineRule="auto"/>
              <w:jc w:val="right"/>
            </w:pPr>
            <w:r>
              <w:rPr>
                <w:rFonts w:ascii="宋体" w:hAnsi="宋体" w:hint="eastAsia"/>
              </w:rPr>
              <w:t xml:space="preserve">5.08%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B1C98E" w14:textId="77777777" w:rsidR="00A21555" w:rsidRDefault="00A21555">
            <w:pPr>
              <w:spacing w:line="360" w:lineRule="auto"/>
              <w:jc w:val="right"/>
            </w:pPr>
            <w:r>
              <w:rPr>
                <w:rFonts w:ascii="宋体" w:hAnsi="宋体" w:hint="eastAsia"/>
              </w:rPr>
              <w:t xml:space="preserve">0.33% </w:t>
            </w:r>
          </w:p>
        </w:tc>
      </w:tr>
    </w:tbl>
    <w:p w14:paraId="7A99B800" w14:textId="77777777" w:rsidR="00A21555" w:rsidRDefault="00A21555">
      <w:pPr>
        <w:spacing w:line="360" w:lineRule="auto"/>
        <w:jc w:val="center"/>
        <w:divId w:val="1033001214"/>
      </w:pPr>
      <w:r>
        <w:rPr>
          <w:rFonts w:ascii="宋体" w:hAnsi="宋体" w:hint="eastAsia"/>
        </w:rPr>
        <w:t>摩根健康品质生活混合C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814921" w14:paraId="48F1A7E6" w14:textId="77777777">
        <w:trPr>
          <w:divId w:val="103300121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634C205" w14:textId="77777777" w:rsidR="00A21555" w:rsidRDefault="00A21555">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1043AEB" w14:textId="77777777" w:rsidR="00A21555" w:rsidRDefault="00A21555">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A552202" w14:textId="77777777" w:rsidR="00A21555" w:rsidRDefault="00A21555">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F06A25C" w14:textId="77777777" w:rsidR="00A21555" w:rsidRDefault="00A21555">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C8F722C" w14:textId="77777777" w:rsidR="00A21555" w:rsidRDefault="00A21555">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1BD828" w14:textId="77777777" w:rsidR="00A21555" w:rsidRDefault="00A21555">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54025A9" w14:textId="77777777" w:rsidR="00A21555" w:rsidRDefault="00A21555">
            <w:pPr>
              <w:spacing w:line="360" w:lineRule="auto"/>
              <w:jc w:val="center"/>
            </w:pPr>
            <w:r>
              <w:rPr>
                <w:rFonts w:ascii="宋体" w:hAnsi="宋体" w:hint="eastAsia"/>
              </w:rPr>
              <w:t xml:space="preserve">②－④ </w:t>
            </w:r>
          </w:p>
        </w:tc>
      </w:tr>
      <w:tr w:rsidR="00814921" w14:paraId="50989A0A" w14:textId="77777777">
        <w:trPr>
          <w:divId w:val="103300121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C304C8" w14:textId="77777777" w:rsidR="00A21555" w:rsidRDefault="00A21555">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9B71E1" w14:textId="77777777" w:rsidR="00A21555" w:rsidRDefault="00A21555">
            <w:pPr>
              <w:spacing w:line="360" w:lineRule="auto"/>
              <w:jc w:val="right"/>
            </w:pPr>
            <w:r>
              <w:rPr>
                <w:rFonts w:ascii="宋体" w:hAnsi="宋体" w:hint="eastAsia"/>
              </w:rPr>
              <w:t xml:space="preserve">-7.64%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6C9D14" w14:textId="77777777" w:rsidR="00A21555" w:rsidRDefault="00A21555">
            <w:pPr>
              <w:spacing w:line="360" w:lineRule="auto"/>
              <w:jc w:val="right"/>
            </w:pPr>
            <w:r>
              <w:rPr>
                <w:rFonts w:ascii="宋体" w:hAnsi="宋体" w:hint="eastAsia"/>
              </w:rPr>
              <w:t xml:space="preserve">1.11%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D2E806" w14:textId="77777777" w:rsidR="00A21555" w:rsidRDefault="00A21555">
            <w:pPr>
              <w:spacing w:line="360" w:lineRule="auto"/>
              <w:jc w:val="right"/>
            </w:pPr>
            <w:r>
              <w:rPr>
                <w:rFonts w:ascii="宋体" w:hAnsi="宋体" w:hint="eastAsia"/>
              </w:rPr>
              <w:t xml:space="preserve">-5.52%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1C0D69" w14:textId="77777777" w:rsidR="00A21555" w:rsidRDefault="00A21555">
            <w:pPr>
              <w:spacing w:line="360" w:lineRule="auto"/>
              <w:jc w:val="right"/>
            </w:pPr>
            <w:r>
              <w:rPr>
                <w:rFonts w:ascii="宋体" w:hAnsi="宋体" w:hint="eastAsia"/>
              </w:rPr>
              <w:t xml:space="preserve">0.79%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D3B702E" w14:textId="77777777" w:rsidR="00A21555" w:rsidRDefault="00A21555">
            <w:pPr>
              <w:spacing w:line="360" w:lineRule="auto"/>
              <w:jc w:val="right"/>
            </w:pPr>
            <w:r>
              <w:rPr>
                <w:rFonts w:ascii="宋体" w:hAnsi="宋体" w:hint="eastAsia"/>
              </w:rPr>
              <w:t xml:space="preserve">-2.12%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4B5213" w14:textId="77777777" w:rsidR="00A21555" w:rsidRDefault="00A21555">
            <w:pPr>
              <w:spacing w:line="360" w:lineRule="auto"/>
              <w:jc w:val="right"/>
            </w:pPr>
            <w:r>
              <w:rPr>
                <w:rFonts w:ascii="宋体" w:hAnsi="宋体" w:hint="eastAsia"/>
              </w:rPr>
              <w:t xml:space="preserve">0.32% </w:t>
            </w:r>
          </w:p>
        </w:tc>
      </w:tr>
      <w:tr w:rsidR="00814921" w14:paraId="5D2282DE" w14:textId="77777777">
        <w:trPr>
          <w:divId w:val="103300121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5A4422" w14:textId="77777777" w:rsidR="00A21555" w:rsidRDefault="00A21555">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F47F4D" w14:textId="77777777" w:rsidR="00A21555" w:rsidRDefault="00A21555">
            <w:pPr>
              <w:spacing w:line="360" w:lineRule="auto"/>
              <w:jc w:val="right"/>
            </w:pPr>
            <w:r>
              <w:rPr>
                <w:rFonts w:ascii="宋体" w:hAnsi="宋体" w:hint="eastAsia"/>
              </w:rPr>
              <w:t xml:space="preserve">-9.22%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C49A98" w14:textId="77777777" w:rsidR="00A21555" w:rsidRDefault="00A21555">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6B8918" w14:textId="77777777" w:rsidR="00A21555" w:rsidRDefault="00A21555">
            <w:pPr>
              <w:spacing w:line="360" w:lineRule="auto"/>
              <w:jc w:val="right"/>
            </w:pPr>
            <w:r>
              <w:rPr>
                <w:rFonts w:ascii="宋体" w:hAnsi="宋体" w:hint="eastAsia"/>
              </w:rPr>
              <w:t xml:space="preserve">-10.73%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772953" w14:textId="77777777" w:rsidR="00A21555" w:rsidRDefault="00A21555">
            <w:pPr>
              <w:spacing w:line="360" w:lineRule="auto"/>
              <w:jc w:val="right"/>
            </w:pPr>
            <w:r>
              <w:rPr>
                <w:rFonts w:ascii="宋体" w:hAnsi="宋体" w:hint="eastAsia"/>
              </w:rPr>
              <w:t xml:space="preserve">0.68%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3791332" w14:textId="77777777" w:rsidR="00A21555" w:rsidRDefault="00A21555">
            <w:pPr>
              <w:spacing w:line="360" w:lineRule="auto"/>
              <w:jc w:val="right"/>
            </w:pPr>
            <w:r>
              <w:rPr>
                <w:rFonts w:ascii="宋体" w:hAnsi="宋体" w:hint="eastAsia"/>
              </w:rPr>
              <w:t xml:space="preserve">1.51%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E227EC" w14:textId="77777777" w:rsidR="00A21555" w:rsidRDefault="00A21555">
            <w:pPr>
              <w:spacing w:line="360" w:lineRule="auto"/>
              <w:jc w:val="right"/>
            </w:pPr>
            <w:r>
              <w:rPr>
                <w:rFonts w:ascii="宋体" w:hAnsi="宋体" w:hint="eastAsia"/>
              </w:rPr>
              <w:t xml:space="preserve">0.30% </w:t>
            </w:r>
          </w:p>
        </w:tc>
      </w:tr>
      <w:tr w:rsidR="00814921" w14:paraId="3718DEF4" w14:textId="77777777">
        <w:trPr>
          <w:divId w:val="103300121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035B7D" w14:textId="77777777" w:rsidR="00A21555" w:rsidRDefault="00A21555">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D97FE8" w14:textId="77777777" w:rsidR="00A21555" w:rsidRDefault="00A21555">
            <w:pPr>
              <w:spacing w:line="360" w:lineRule="auto"/>
              <w:jc w:val="right"/>
            </w:pPr>
            <w:r>
              <w:rPr>
                <w:rFonts w:ascii="宋体" w:hAnsi="宋体" w:hint="eastAsia"/>
              </w:rPr>
              <w:t xml:space="preserve">-3.01%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0CDBA6" w14:textId="77777777" w:rsidR="00A21555" w:rsidRDefault="00A21555">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53263B" w14:textId="77777777" w:rsidR="00A21555" w:rsidRDefault="00A21555">
            <w:pPr>
              <w:spacing w:line="360" w:lineRule="auto"/>
              <w:jc w:val="right"/>
            </w:pPr>
            <w:r>
              <w:rPr>
                <w:rFonts w:ascii="宋体" w:hAnsi="宋体" w:hint="eastAsia"/>
              </w:rPr>
              <w:t xml:space="preserve">-7.65%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EE5E62" w14:textId="77777777" w:rsidR="00A21555" w:rsidRDefault="00A21555">
            <w:pPr>
              <w:spacing w:line="360" w:lineRule="auto"/>
              <w:jc w:val="right"/>
            </w:pPr>
            <w:r>
              <w:rPr>
                <w:rFonts w:ascii="宋体" w:hAnsi="宋体" w:hint="eastAsia"/>
              </w:rPr>
              <w:t xml:space="preserve">0.65%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5A78AE0" w14:textId="77777777" w:rsidR="00A21555" w:rsidRDefault="00A21555">
            <w:pPr>
              <w:spacing w:line="360" w:lineRule="auto"/>
              <w:jc w:val="right"/>
            </w:pPr>
            <w:r>
              <w:rPr>
                <w:rFonts w:ascii="宋体" w:hAnsi="宋体" w:hint="eastAsia"/>
              </w:rPr>
              <w:t xml:space="preserve">4.64%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8792D5" w14:textId="77777777" w:rsidR="00A21555" w:rsidRDefault="00A21555">
            <w:pPr>
              <w:spacing w:line="360" w:lineRule="auto"/>
              <w:jc w:val="right"/>
            </w:pPr>
            <w:r>
              <w:rPr>
                <w:rFonts w:ascii="宋体" w:hAnsi="宋体" w:hint="eastAsia"/>
              </w:rPr>
              <w:t xml:space="preserve">0.33% </w:t>
            </w:r>
          </w:p>
        </w:tc>
      </w:tr>
    </w:tbl>
    <w:p w14:paraId="502E0DDB" w14:textId="77777777" w:rsidR="00A21555" w:rsidRDefault="00A21555">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11D674E3" w14:textId="7ABC2E76" w:rsidR="00A21555" w:rsidRDefault="003A0F39">
      <w:pPr>
        <w:spacing w:line="360" w:lineRule="auto"/>
        <w:jc w:val="left"/>
        <w:divId w:val="1222868507"/>
      </w:pPr>
      <w:bookmarkStart w:id="70" w:name="m07_04_07_09"/>
      <w:bookmarkStart w:id="71" w:name="m07_04_07_09_tab"/>
      <w:r>
        <w:rPr>
          <w:rFonts w:ascii="宋体" w:hAnsi="宋体" w:hint="eastAsia"/>
          <w:noProof/>
        </w:rPr>
        <w:lastRenderedPageBreak/>
        <w:drawing>
          <wp:inline distT="0" distB="0" distL="0" distR="0" wp14:anchorId="204F65F9" wp14:editId="2107B3BC">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B4ED246" w14:textId="6BF0A5C1" w:rsidR="00A21555" w:rsidRDefault="003A0F39">
      <w:pPr>
        <w:spacing w:line="360" w:lineRule="auto"/>
        <w:jc w:val="left"/>
        <w:divId w:val="219096796"/>
      </w:pPr>
      <w:r>
        <w:rPr>
          <w:rFonts w:ascii="宋体" w:hAnsi="宋体" w:hint="eastAsia"/>
          <w:noProof/>
        </w:rPr>
        <w:drawing>
          <wp:inline distT="0" distB="0" distL="0" distR="0" wp14:anchorId="0A13BE13" wp14:editId="326F942D">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9E5AEE8" w14:textId="77777777" w:rsidR="00A21555" w:rsidRDefault="00A21555">
      <w:pPr>
        <w:spacing w:line="360" w:lineRule="auto"/>
      </w:pPr>
      <w:r>
        <w:rPr>
          <w:rFonts w:ascii="宋体" w:hAnsi="宋体" w:hint="eastAsia"/>
        </w:rPr>
        <w:t>注：</w:t>
      </w:r>
      <w:r>
        <w:rPr>
          <w:rFonts w:ascii="宋体" w:hAnsi="宋体" w:hint="eastAsia"/>
          <w:lang w:eastAsia="zh-Hans"/>
        </w:rPr>
        <w:t>本基金转型日期为 2025 年 5 月 8 日，截至本报告期末，本基金转型未满一年，图示时间段为 2025 年 5 月 8 日至 2025 年 12 月 31 日。</w:t>
      </w:r>
      <w:r>
        <w:rPr>
          <w:rFonts w:ascii="宋体" w:hAnsi="宋体" w:hint="eastAsia"/>
          <w:lang w:eastAsia="zh-Hans"/>
        </w:rPr>
        <w:br/>
        <w:t xml:space="preserve">　　本基金建仓期自 2025 年 5 月 8 日至 2025 年 11 月 7 日，建仓期结束时资产配置比例符合本基金基金合同规定。</w:t>
      </w:r>
      <w:r>
        <w:rPr>
          <w:rFonts w:ascii="宋体" w:hAnsi="宋体" w:hint="eastAsia"/>
          <w:kern w:val="0"/>
          <w:lang w:eastAsia="zh-Hans"/>
        </w:rPr>
        <w:t xml:space="preserve"> </w:t>
      </w:r>
    </w:p>
    <w:p w14:paraId="0B73CE48" w14:textId="77777777" w:rsidR="00A21555" w:rsidRDefault="00A21555">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74BD4505" w14:textId="77777777" w:rsidR="00A21555" w:rsidRDefault="00A21555">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814921" w14:paraId="37404C51" w14:textId="77777777">
        <w:trPr>
          <w:divId w:val="988559710"/>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0DB8BF" w14:textId="77777777" w:rsidR="00A21555" w:rsidRDefault="00A21555">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752877" w14:textId="77777777" w:rsidR="00A21555" w:rsidRDefault="00A21555">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9E3619" w14:textId="77777777" w:rsidR="00A21555" w:rsidRDefault="00A21555">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8E20E4" w14:textId="77777777" w:rsidR="00A21555" w:rsidRDefault="00A21555">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90B36D" w14:textId="77777777" w:rsidR="00A21555" w:rsidRDefault="00A21555">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814921" w14:paraId="6728DC07" w14:textId="77777777">
        <w:trPr>
          <w:divId w:val="988559710"/>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BC9299" w14:textId="77777777" w:rsidR="00A21555" w:rsidRDefault="00A21555">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50C2E3" w14:textId="77777777" w:rsidR="00A21555" w:rsidRDefault="00A21555">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5146FE" w14:textId="77777777" w:rsidR="00A21555" w:rsidRDefault="00A21555">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1D77E2" w14:textId="77777777" w:rsidR="00A21555" w:rsidRDefault="00A21555">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8CEB73" w14:textId="77777777" w:rsidR="00A21555" w:rsidRDefault="00A21555">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316628" w14:textId="77777777" w:rsidR="00A21555" w:rsidRDefault="00A21555">
            <w:pPr>
              <w:widowControl/>
              <w:jc w:val="left"/>
            </w:pPr>
          </w:p>
        </w:tc>
      </w:tr>
      <w:tr w:rsidR="00814921" w14:paraId="5F6F2CCF" w14:textId="77777777">
        <w:trPr>
          <w:divId w:val="98855971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8DEE08" w14:textId="77777777" w:rsidR="00A21555" w:rsidRDefault="00A21555">
            <w:pPr>
              <w:jc w:val="center"/>
            </w:pPr>
            <w:r>
              <w:rPr>
                <w:rFonts w:ascii="宋体" w:hAnsi="宋体" w:hint="eastAsia"/>
                <w:szCs w:val="24"/>
                <w:lang w:eastAsia="zh-Hans"/>
              </w:rPr>
              <w:lastRenderedPageBreak/>
              <w:t>徐项楠</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F17B8D" w14:textId="77777777" w:rsidR="00A21555" w:rsidRDefault="00A21555">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1DB779" w14:textId="77777777" w:rsidR="00A21555" w:rsidRDefault="00A21555">
            <w:pPr>
              <w:jc w:val="center"/>
            </w:pPr>
            <w:r>
              <w:rPr>
                <w:rFonts w:ascii="宋体" w:hAnsi="宋体" w:hint="eastAsia"/>
                <w:szCs w:val="24"/>
                <w:lang w:eastAsia="zh-Hans"/>
              </w:rPr>
              <w:t>2025年5月8日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148256" w14:textId="77777777" w:rsidR="00A21555" w:rsidRDefault="00A21555">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D8EDDE" w14:textId="77777777" w:rsidR="00A21555" w:rsidRDefault="00A21555">
            <w:pPr>
              <w:jc w:val="center"/>
            </w:pPr>
            <w:r>
              <w:rPr>
                <w:rFonts w:ascii="宋体" w:hAnsi="宋体" w:hint="eastAsia"/>
                <w:szCs w:val="24"/>
                <w:lang w:eastAsia="zh-Hans"/>
              </w:rPr>
              <w:t>12年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2A2236" w14:textId="77777777" w:rsidR="00A21555" w:rsidRDefault="00A21555">
            <w:pPr>
              <w:jc w:val="left"/>
            </w:pPr>
            <w:r>
              <w:rPr>
                <w:rFonts w:ascii="宋体" w:hAnsi="宋体" w:hint="eastAsia"/>
                <w:szCs w:val="24"/>
                <w:lang w:eastAsia="zh-Hans"/>
              </w:rPr>
              <w:t>徐项楠先生曾任中海基金管理有限公司行业分析师，中银基金管理有限公司高级分析师。2017年5月加入摩根基金管理（中国）有限公司（原上投摩根基金管理有限公司），历任研究员、行业专家、行业专家/基金经理助理，现任高级基金经理。</w:t>
            </w:r>
          </w:p>
        </w:tc>
      </w:tr>
    </w:tbl>
    <w:p w14:paraId="4716EE12" w14:textId="77777777" w:rsidR="00A21555" w:rsidRDefault="00A21555">
      <w:pPr>
        <w:wordWrap w:val="0"/>
        <w:spacing w:line="360" w:lineRule="auto"/>
        <w:jc w:val="left"/>
        <w:divId w:val="1905067764"/>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55B7FF74" w14:textId="77777777" w:rsidR="00A21555" w:rsidRDefault="00A21555">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0ECFF9F5" w14:textId="77777777" w:rsidR="00A21555" w:rsidRDefault="00A21555">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5BB4E64C" w14:textId="77777777" w:rsidR="00A21555" w:rsidRDefault="00A21555">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45F3D796" w14:textId="77777777" w:rsidR="00A21555" w:rsidRDefault="00A21555">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36A27780" w14:textId="77777777" w:rsidR="00A21555" w:rsidRDefault="00A21555">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11CF3375" w14:textId="77777777" w:rsidR="00A21555" w:rsidRDefault="00A21555">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54F5CDB2" w14:textId="77777777" w:rsidR="00A21555" w:rsidRDefault="00A21555">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w:t>
      </w:r>
      <w:r>
        <w:rPr>
          <w:rFonts w:ascii="宋体" w:hAnsi="宋体" w:cs="宋体" w:hint="eastAsia"/>
          <w:color w:val="000000"/>
          <w:kern w:val="0"/>
        </w:rPr>
        <w:lastRenderedPageBreak/>
        <w:t xml:space="preserve">交较少的单边交易量超过该证券当日成交量的5%的交易共有2次，均为指数投资组合因跟踪指数需要而发生的反向交易。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74E0F65C" w14:textId="77777777" w:rsidR="00A21555" w:rsidRDefault="00A21555">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7558194F" w14:textId="77777777" w:rsidR="00A21555" w:rsidRDefault="00A21555">
      <w:pPr>
        <w:spacing w:line="360" w:lineRule="auto"/>
        <w:ind w:firstLineChars="200" w:firstLine="420"/>
        <w:jc w:val="left"/>
      </w:pPr>
      <w:r>
        <w:rPr>
          <w:rFonts w:ascii="宋体" w:hAnsi="宋体" w:cs="宋体" w:hint="eastAsia"/>
          <w:color w:val="000000"/>
          <w:kern w:val="0"/>
        </w:rPr>
        <w:t>2026年一季度经济动能较2025年四季度改善，油价影响初现。生产端来看，春节错位支撑下，1-2月工业增加值、服务业生产指数累计同比分别为6.3%、5.2%，较2025年四季度同比回升1.3、0.6个百分点。但是3月起，中东冲突导致油价大幅上升，使得3月PMI环比上升幅度小幅弱于季节性。需求端来看，内外需皆边际有所上升，但外需仍然显著强于内需。春节相对偏晚支撑了1-2月出口同比增速，但春节效应以外，在海外需求边际改善、关税降低的滞后效应以及AI等产业趋势等因素拉动下，出口动能仍然显著上升。1-2月出口累计同比21.8%，较2025年四季度上升18个百分点。内需方面，春节假期消费释放叠加以旧换新政策接续，1-2月社零总额同比增长2.8%，较2025年四季度上升1.1个百分点。投资增速由负转正，1-2月固定资产投资累计同比上升1.8%，主要由建安投资驱动。分行业来看，三大项投资增速皆有所改善。虽然京沪等一线城市进一步放松房地产政策，房地产销量有所上升，但是全国层面房地产销售仍然偏弱，或因土地购置费带动，开发投资同比降幅由2025年的17.2%收窄至11.1%。财政政策前置发力，1-2月基建投资增速较2025年显著提升。出口韧性支撑下，1-2月制造业投资同比上升3.1%，较2025年上升2.5个百分点。价格方面，1-2月CPI、PPI同比分别为0.8%、-1.2%，皆较2025年四季度边际改善。油价上涨影响下，3月PMI原材料购进价格、出厂价格指数分别环比上升9.1、4.8个百分点至65.9%、55.4%。受中东冲突影响，市场整体先上后下、小幅下跌，沪深300下跌3.9%，创业板指数下跌0.6%。从行业表现来看，煤炭、石油石化、电力及公用事业等行业涨幅居前，综合金融、非银行金融、消费者服务等行业表现相对靠后。本基金始终坚持价值投资思路，报告期内，本基金严格按照契约聚焦A、H两地消费子行业的优质公司以及新消费公司。</w:t>
      </w:r>
      <w:r>
        <w:rPr>
          <w:rFonts w:ascii="宋体" w:hAnsi="宋体" w:cs="宋体" w:hint="eastAsia"/>
          <w:color w:val="000000"/>
          <w:kern w:val="0"/>
        </w:rPr>
        <w:br/>
        <w:t xml:space="preserve">　　展望2026年二季度，我们保持谨慎乐观。外部来看，短期核心变量仍是中东冲突的走向。温和情形下，能源供给冲击或相对短暂，油价或也将有所回落，海外滞胀风险下降，中国外需仍有一定支撑，出口的供给端相对优势或也将进一步显现，支撑中国出口份额，使得中国整体出口仍然保持较高增速。内部来看，央行或将维持总量货币政策不变，更多采用结构性货币政策，加强与财政政策的协同，针对受能源供给冲击较大的部门提供更多定向支持。叠加中国相对较低的对外能源依存度以及近年来加速的能源结构转型，虽然内部消费、投资可能受到油价上涨的一定负面影响，但整体受损程度或相对可控。风险情形下，中东冲突加剧，油价继续冲高且在中期内</w:t>
      </w:r>
      <w:r>
        <w:rPr>
          <w:rFonts w:ascii="宋体" w:hAnsi="宋体" w:cs="宋体" w:hint="eastAsia"/>
          <w:color w:val="000000"/>
          <w:kern w:val="0"/>
        </w:rPr>
        <w:lastRenderedPageBreak/>
        <w:t>保持高位，海外短期滞胀风险上升，欧美央行或加息以抑制通胀，或将提升中期内海外经济衰退风险，加大中国出口下行压力。此外，国内货币政策被动收紧的可能性也将上升，加大内需下行压力。本基金作为消费行业基金，我们认为消费行业受益于政策托举或有阶段性机会。另外，新一代年轻人消费观的改善，带来了这个群体消费跨期主观偏好的显著提升，从而带动消费行业部分新消费公司的机会。该现象在美国、日本等国家历史上均有发生，伴随着经济高速发展成长起来的新一代年轻人往往具备更高的消费跨期主观偏好，而消费人群整体跨期主观偏好的提升将对消费社会产生深远影响。本基金将持有受益于以上方向的细分板块优质公司。未来我们亦将继续严格按照基金契约的要求重点投资消费相关行业中具有相对估值优势、增长前景确定的优质公司。我们将加强对上市公司基本面的研究力度，力争为持有人创造较好回报。</w:t>
      </w:r>
    </w:p>
    <w:p w14:paraId="4FCFEF7F" w14:textId="77777777" w:rsidR="00A21555" w:rsidRDefault="00A21555">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7723C874" w14:textId="77777777" w:rsidR="00A21555" w:rsidRDefault="00A21555">
      <w:pPr>
        <w:spacing w:line="360" w:lineRule="auto"/>
        <w:ind w:firstLineChars="200" w:firstLine="420"/>
      </w:pPr>
      <w:r>
        <w:rPr>
          <w:rFonts w:ascii="宋体" w:hAnsi="宋体" w:hint="eastAsia"/>
        </w:rPr>
        <w:t>本报告期摩根健康品质生活混合A份额净值增长率为：-7.53%，同期业绩比较基准收益率为：-5.52%；</w:t>
      </w:r>
      <w:r>
        <w:rPr>
          <w:rFonts w:ascii="宋体" w:hAnsi="宋体" w:hint="eastAsia"/>
        </w:rPr>
        <w:br/>
        <w:t xml:space="preserve">　　摩根健康品质生活混合C份额净值增长率为：-7.64%，同期业绩比较基准收益率为：-5.52%。</w:t>
      </w:r>
    </w:p>
    <w:p w14:paraId="32CE0ADE" w14:textId="77777777" w:rsidR="00A21555" w:rsidRDefault="00A21555">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2583C2E3" w14:textId="77777777" w:rsidR="00A21555" w:rsidRDefault="00A21555">
      <w:pPr>
        <w:spacing w:line="360" w:lineRule="auto"/>
        <w:ind w:firstLineChars="200" w:firstLine="420"/>
        <w:jc w:val="left"/>
      </w:pPr>
      <w:r>
        <w:rPr>
          <w:rFonts w:ascii="宋体" w:hAnsi="宋体" w:hint="eastAsia"/>
        </w:rPr>
        <w:t>无。</w:t>
      </w:r>
    </w:p>
    <w:p w14:paraId="4AD848F1" w14:textId="77777777" w:rsidR="00A21555" w:rsidRDefault="00A21555">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66733484" w14:textId="77777777" w:rsidR="00A21555" w:rsidRDefault="00A21555">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814921" w14:paraId="29E1923E" w14:textId="77777777">
        <w:trPr>
          <w:divId w:val="694815270"/>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B2AC87" w14:textId="77777777" w:rsidR="00A21555" w:rsidRDefault="00A21555">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1D91AB8F" w14:textId="77777777" w:rsidR="00A21555" w:rsidRDefault="00A21555">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786F51CE" w14:textId="77777777" w:rsidR="00A21555" w:rsidRDefault="00A21555">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61A24944" w14:textId="77777777" w:rsidR="00A21555" w:rsidRDefault="00A21555">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814921" w14:paraId="52735552" w14:textId="77777777">
        <w:trPr>
          <w:divId w:val="6948152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DB41483" w14:textId="77777777" w:rsidR="00A21555" w:rsidRDefault="00A21555">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1083C414" w14:textId="77777777" w:rsidR="00A21555" w:rsidRDefault="00A21555">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A05E89E" w14:textId="77777777" w:rsidR="00A21555" w:rsidRDefault="00A21555">
            <w:pPr>
              <w:jc w:val="right"/>
            </w:pPr>
            <w:r>
              <w:rPr>
                <w:rFonts w:ascii="宋体" w:hAnsi="宋体" w:hint="eastAsia"/>
                <w:szCs w:val="24"/>
                <w:lang w:eastAsia="zh-Hans"/>
              </w:rPr>
              <w:t>206,153,397.98</w:t>
            </w:r>
          </w:p>
        </w:tc>
        <w:tc>
          <w:tcPr>
            <w:tcW w:w="1333" w:type="pct"/>
            <w:tcBorders>
              <w:top w:val="single" w:sz="4" w:space="0" w:color="auto"/>
              <w:left w:val="nil"/>
              <w:bottom w:val="single" w:sz="4" w:space="0" w:color="auto"/>
              <w:right w:val="single" w:sz="4" w:space="0" w:color="auto"/>
            </w:tcBorders>
            <w:vAlign w:val="center"/>
            <w:hideMark/>
          </w:tcPr>
          <w:p w14:paraId="3FB9B576" w14:textId="77777777" w:rsidR="00A21555" w:rsidRDefault="00A21555">
            <w:pPr>
              <w:jc w:val="right"/>
            </w:pPr>
            <w:r>
              <w:rPr>
                <w:rFonts w:ascii="宋体" w:hAnsi="宋体" w:hint="eastAsia"/>
                <w:szCs w:val="24"/>
                <w:lang w:eastAsia="zh-Hans"/>
              </w:rPr>
              <w:t>85.06</w:t>
            </w:r>
          </w:p>
        </w:tc>
      </w:tr>
      <w:tr w:rsidR="00814921" w14:paraId="402B7FF1" w14:textId="77777777">
        <w:trPr>
          <w:divId w:val="6948152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D9D0262" w14:textId="77777777" w:rsidR="00A21555" w:rsidRDefault="00A2155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B712A09" w14:textId="77777777" w:rsidR="00A21555" w:rsidRDefault="00A21555">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F66A391" w14:textId="77777777" w:rsidR="00A21555" w:rsidRDefault="00A21555">
            <w:pPr>
              <w:jc w:val="right"/>
            </w:pPr>
            <w:r>
              <w:rPr>
                <w:rFonts w:ascii="宋体" w:hAnsi="宋体" w:hint="eastAsia"/>
                <w:szCs w:val="24"/>
                <w:lang w:eastAsia="zh-Hans"/>
              </w:rPr>
              <w:t>206,153,397.98</w:t>
            </w:r>
          </w:p>
        </w:tc>
        <w:tc>
          <w:tcPr>
            <w:tcW w:w="1333" w:type="pct"/>
            <w:tcBorders>
              <w:top w:val="single" w:sz="4" w:space="0" w:color="auto"/>
              <w:left w:val="nil"/>
              <w:bottom w:val="single" w:sz="4" w:space="0" w:color="auto"/>
              <w:right w:val="single" w:sz="4" w:space="0" w:color="auto"/>
            </w:tcBorders>
            <w:vAlign w:val="center"/>
            <w:hideMark/>
          </w:tcPr>
          <w:p w14:paraId="5F9DB4BC" w14:textId="77777777" w:rsidR="00A21555" w:rsidRDefault="00A21555">
            <w:pPr>
              <w:jc w:val="right"/>
            </w:pPr>
            <w:r>
              <w:rPr>
                <w:rFonts w:ascii="宋体" w:hAnsi="宋体" w:hint="eastAsia"/>
                <w:szCs w:val="24"/>
                <w:lang w:eastAsia="zh-Hans"/>
              </w:rPr>
              <w:t>85.06</w:t>
            </w:r>
          </w:p>
        </w:tc>
      </w:tr>
      <w:tr w:rsidR="00814921" w14:paraId="7A89D90C" w14:textId="77777777">
        <w:trPr>
          <w:divId w:val="6948152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FD80CC0" w14:textId="77777777" w:rsidR="00A21555" w:rsidRDefault="00A21555">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7E6E1789" w14:textId="77777777" w:rsidR="00A21555" w:rsidRDefault="00A21555">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089D149" w14:textId="77777777" w:rsidR="00A21555" w:rsidRDefault="00A2155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22EDABA" w14:textId="77777777" w:rsidR="00A21555" w:rsidRDefault="00A21555">
            <w:pPr>
              <w:jc w:val="right"/>
            </w:pPr>
            <w:r>
              <w:rPr>
                <w:rFonts w:ascii="宋体" w:hAnsi="宋体" w:hint="eastAsia"/>
                <w:szCs w:val="24"/>
                <w:lang w:eastAsia="zh-Hans"/>
              </w:rPr>
              <w:t>-</w:t>
            </w:r>
          </w:p>
        </w:tc>
      </w:tr>
      <w:tr w:rsidR="00814921" w14:paraId="7BB84955" w14:textId="77777777">
        <w:trPr>
          <w:divId w:val="6948152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558AC81" w14:textId="77777777" w:rsidR="00A21555" w:rsidRDefault="00A21555">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05DE902E" w14:textId="77777777" w:rsidR="00A21555" w:rsidRDefault="00A21555">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64DFAD8" w14:textId="77777777" w:rsidR="00A21555" w:rsidRDefault="00A2155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89D0AE8" w14:textId="77777777" w:rsidR="00A21555" w:rsidRDefault="00A21555">
            <w:pPr>
              <w:jc w:val="right"/>
            </w:pPr>
            <w:r>
              <w:rPr>
                <w:rFonts w:ascii="宋体" w:hAnsi="宋体" w:hint="eastAsia"/>
                <w:szCs w:val="24"/>
                <w:lang w:eastAsia="zh-Hans"/>
              </w:rPr>
              <w:t>-</w:t>
            </w:r>
          </w:p>
        </w:tc>
      </w:tr>
      <w:tr w:rsidR="00814921" w14:paraId="76868B65" w14:textId="77777777">
        <w:trPr>
          <w:divId w:val="6948152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7E24706" w14:textId="77777777" w:rsidR="00A21555" w:rsidRDefault="00A2155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ECBA8D6" w14:textId="77777777" w:rsidR="00A21555" w:rsidRDefault="00A21555">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6191D05" w14:textId="77777777" w:rsidR="00A21555" w:rsidRDefault="00A2155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C7B0548" w14:textId="77777777" w:rsidR="00A21555" w:rsidRDefault="00A21555">
            <w:pPr>
              <w:jc w:val="right"/>
            </w:pPr>
            <w:r>
              <w:rPr>
                <w:rFonts w:ascii="宋体" w:hAnsi="宋体" w:hint="eastAsia"/>
                <w:szCs w:val="24"/>
                <w:lang w:eastAsia="zh-Hans"/>
              </w:rPr>
              <w:t>-</w:t>
            </w:r>
          </w:p>
        </w:tc>
      </w:tr>
      <w:tr w:rsidR="00814921" w14:paraId="2CCFFE62" w14:textId="77777777">
        <w:trPr>
          <w:divId w:val="6948152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29EA5A4" w14:textId="77777777" w:rsidR="00A21555" w:rsidRDefault="00A2155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B455979" w14:textId="77777777" w:rsidR="00A21555" w:rsidRDefault="00A21555">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E864913" w14:textId="77777777" w:rsidR="00A21555" w:rsidRDefault="00A2155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0AE611A" w14:textId="77777777" w:rsidR="00A21555" w:rsidRDefault="00A21555">
            <w:pPr>
              <w:jc w:val="right"/>
            </w:pPr>
            <w:r>
              <w:rPr>
                <w:rFonts w:ascii="宋体" w:hAnsi="宋体" w:hint="eastAsia"/>
                <w:szCs w:val="24"/>
                <w:lang w:eastAsia="zh-Hans"/>
              </w:rPr>
              <w:t>-</w:t>
            </w:r>
          </w:p>
        </w:tc>
      </w:tr>
      <w:tr w:rsidR="00814921" w14:paraId="04FB720C" w14:textId="77777777">
        <w:trPr>
          <w:divId w:val="6948152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25ECA92" w14:textId="77777777" w:rsidR="00A21555" w:rsidRDefault="00A21555">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498E1C21" w14:textId="77777777" w:rsidR="00A21555" w:rsidRDefault="00A21555">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BD9F6B3" w14:textId="77777777" w:rsidR="00A21555" w:rsidRDefault="00A2155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3DA33A1" w14:textId="77777777" w:rsidR="00A21555" w:rsidRDefault="00A21555">
            <w:pPr>
              <w:jc w:val="right"/>
            </w:pPr>
            <w:r>
              <w:rPr>
                <w:rFonts w:ascii="宋体" w:hAnsi="宋体" w:hint="eastAsia"/>
                <w:szCs w:val="24"/>
                <w:lang w:eastAsia="zh-Hans"/>
              </w:rPr>
              <w:t>-</w:t>
            </w:r>
          </w:p>
        </w:tc>
      </w:tr>
      <w:tr w:rsidR="00814921" w14:paraId="36C70EDB" w14:textId="77777777">
        <w:trPr>
          <w:divId w:val="6948152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D52DF92" w14:textId="77777777" w:rsidR="00A21555" w:rsidRDefault="00A21555">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2F57BA22" w14:textId="77777777" w:rsidR="00A21555" w:rsidRDefault="00A21555">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38C78E0" w14:textId="77777777" w:rsidR="00A21555" w:rsidRDefault="00A2155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F061100" w14:textId="77777777" w:rsidR="00A21555" w:rsidRDefault="00A21555">
            <w:pPr>
              <w:jc w:val="right"/>
            </w:pPr>
            <w:r>
              <w:rPr>
                <w:rFonts w:ascii="宋体" w:hAnsi="宋体" w:hint="eastAsia"/>
                <w:szCs w:val="24"/>
                <w:lang w:eastAsia="zh-Hans"/>
              </w:rPr>
              <w:t>-</w:t>
            </w:r>
          </w:p>
        </w:tc>
      </w:tr>
      <w:tr w:rsidR="00814921" w14:paraId="3C832530" w14:textId="77777777">
        <w:trPr>
          <w:divId w:val="6948152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D91C9F1" w14:textId="77777777" w:rsidR="00A21555" w:rsidRDefault="00A21555">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2CFCE8FC" w14:textId="77777777" w:rsidR="00A21555" w:rsidRDefault="00A21555">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D82DB7E" w14:textId="77777777" w:rsidR="00A21555" w:rsidRDefault="00A2155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02B69B6" w14:textId="77777777" w:rsidR="00A21555" w:rsidRDefault="00A21555">
            <w:pPr>
              <w:jc w:val="right"/>
            </w:pPr>
            <w:r>
              <w:rPr>
                <w:rFonts w:ascii="宋体" w:hAnsi="宋体" w:hint="eastAsia"/>
                <w:szCs w:val="24"/>
                <w:lang w:eastAsia="zh-Hans"/>
              </w:rPr>
              <w:t>-</w:t>
            </w:r>
          </w:p>
        </w:tc>
      </w:tr>
      <w:tr w:rsidR="00814921" w14:paraId="73ADE790" w14:textId="77777777">
        <w:trPr>
          <w:divId w:val="6948152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E367383" w14:textId="77777777" w:rsidR="00A21555" w:rsidRDefault="00A2155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9FA3098" w14:textId="77777777" w:rsidR="00A21555" w:rsidRDefault="00A21555">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E272669" w14:textId="77777777" w:rsidR="00A21555" w:rsidRDefault="00A2155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EF97943" w14:textId="77777777" w:rsidR="00A21555" w:rsidRDefault="00A21555">
            <w:pPr>
              <w:jc w:val="right"/>
            </w:pPr>
            <w:r>
              <w:rPr>
                <w:rFonts w:ascii="宋体" w:hAnsi="宋体" w:hint="eastAsia"/>
                <w:szCs w:val="24"/>
                <w:lang w:eastAsia="zh-Hans"/>
              </w:rPr>
              <w:t>-</w:t>
            </w:r>
          </w:p>
        </w:tc>
      </w:tr>
      <w:tr w:rsidR="00814921" w14:paraId="30F58C3E" w14:textId="77777777">
        <w:trPr>
          <w:divId w:val="6948152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19972A0" w14:textId="77777777" w:rsidR="00A21555" w:rsidRDefault="00A21555">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26CF52F2" w14:textId="77777777" w:rsidR="00A21555" w:rsidRDefault="00A21555">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AADDA43" w14:textId="77777777" w:rsidR="00A21555" w:rsidRDefault="00A21555">
            <w:pPr>
              <w:jc w:val="right"/>
            </w:pPr>
            <w:r>
              <w:rPr>
                <w:rFonts w:ascii="宋体" w:hAnsi="宋体" w:hint="eastAsia"/>
                <w:szCs w:val="24"/>
                <w:lang w:eastAsia="zh-Hans"/>
              </w:rPr>
              <w:t>25,569,281.92</w:t>
            </w:r>
          </w:p>
        </w:tc>
        <w:tc>
          <w:tcPr>
            <w:tcW w:w="1333" w:type="pct"/>
            <w:tcBorders>
              <w:top w:val="single" w:sz="4" w:space="0" w:color="auto"/>
              <w:left w:val="nil"/>
              <w:bottom w:val="single" w:sz="4" w:space="0" w:color="auto"/>
              <w:right w:val="single" w:sz="4" w:space="0" w:color="auto"/>
            </w:tcBorders>
            <w:vAlign w:val="center"/>
            <w:hideMark/>
          </w:tcPr>
          <w:p w14:paraId="7A9B400F" w14:textId="77777777" w:rsidR="00A21555" w:rsidRDefault="00A21555">
            <w:pPr>
              <w:jc w:val="right"/>
            </w:pPr>
            <w:r>
              <w:rPr>
                <w:rFonts w:ascii="宋体" w:hAnsi="宋体" w:hint="eastAsia"/>
                <w:szCs w:val="24"/>
                <w:lang w:eastAsia="zh-Hans"/>
              </w:rPr>
              <w:t>10.55</w:t>
            </w:r>
          </w:p>
        </w:tc>
      </w:tr>
      <w:tr w:rsidR="00814921" w14:paraId="2EA08643" w14:textId="77777777">
        <w:trPr>
          <w:divId w:val="6948152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711E5B0" w14:textId="77777777" w:rsidR="00A21555" w:rsidRDefault="00A21555">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64A56F7F" w14:textId="77777777" w:rsidR="00A21555" w:rsidRDefault="00A21555">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9B33DD1" w14:textId="77777777" w:rsidR="00A21555" w:rsidRDefault="00A21555">
            <w:pPr>
              <w:jc w:val="right"/>
            </w:pPr>
            <w:r>
              <w:rPr>
                <w:rFonts w:ascii="宋体" w:hAnsi="宋体" w:hint="eastAsia"/>
                <w:szCs w:val="24"/>
                <w:lang w:eastAsia="zh-Hans"/>
              </w:rPr>
              <w:t>10,625,949.58</w:t>
            </w:r>
          </w:p>
        </w:tc>
        <w:tc>
          <w:tcPr>
            <w:tcW w:w="1333" w:type="pct"/>
            <w:tcBorders>
              <w:top w:val="single" w:sz="4" w:space="0" w:color="auto"/>
              <w:left w:val="nil"/>
              <w:bottom w:val="single" w:sz="4" w:space="0" w:color="auto"/>
              <w:right w:val="single" w:sz="4" w:space="0" w:color="auto"/>
            </w:tcBorders>
            <w:vAlign w:val="center"/>
            <w:hideMark/>
          </w:tcPr>
          <w:p w14:paraId="2C575D3C" w14:textId="77777777" w:rsidR="00A21555" w:rsidRDefault="00A21555">
            <w:pPr>
              <w:jc w:val="right"/>
            </w:pPr>
            <w:r>
              <w:rPr>
                <w:rFonts w:ascii="宋体" w:hAnsi="宋体" w:hint="eastAsia"/>
                <w:szCs w:val="24"/>
                <w:lang w:eastAsia="zh-Hans"/>
              </w:rPr>
              <w:t>4.38</w:t>
            </w:r>
          </w:p>
        </w:tc>
      </w:tr>
      <w:tr w:rsidR="00814921" w14:paraId="033660D8" w14:textId="77777777">
        <w:trPr>
          <w:divId w:val="6948152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F4B8C68" w14:textId="77777777" w:rsidR="00A21555" w:rsidRDefault="00A21555">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70566A57" w14:textId="77777777" w:rsidR="00A21555" w:rsidRDefault="00A21555">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E3A6F69" w14:textId="77777777" w:rsidR="00A21555" w:rsidRDefault="00A21555">
            <w:pPr>
              <w:jc w:val="right"/>
            </w:pPr>
            <w:r>
              <w:rPr>
                <w:rFonts w:ascii="宋体" w:hAnsi="宋体" w:hint="eastAsia"/>
                <w:szCs w:val="24"/>
                <w:lang w:eastAsia="zh-Hans"/>
              </w:rPr>
              <w:t>242,348,629.48</w:t>
            </w:r>
          </w:p>
        </w:tc>
        <w:tc>
          <w:tcPr>
            <w:tcW w:w="1333" w:type="pct"/>
            <w:tcBorders>
              <w:top w:val="single" w:sz="4" w:space="0" w:color="auto"/>
              <w:left w:val="nil"/>
              <w:bottom w:val="single" w:sz="4" w:space="0" w:color="auto"/>
              <w:right w:val="single" w:sz="4" w:space="0" w:color="auto"/>
            </w:tcBorders>
            <w:vAlign w:val="center"/>
            <w:hideMark/>
          </w:tcPr>
          <w:p w14:paraId="62D0E6E2" w14:textId="77777777" w:rsidR="00A21555" w:rsidRDefault="00A21555">
            <w:pPr>
              <w:jc w:val="right"/>
            </w:pPr>
            <w:r>
              <w:rPr>
                <w:rFonts w:ascii="宋体" w:hAnsi="宋体" w:hint="eastAsia"/>
                <w:szCs w:val="24"/>
                <w:lang w:eastAsia="zh-Hans"/>
              </w:rPr>
              <w:t>100.00</w:t>
            </w:r>
          </w:p>
        </w:tc>
      </w:tr>
    </w:tbl>
    <w:p w14:paraId="582DF1CB" w14:textId="77777777" w:rsidR="00A21555" w:rsidRDefault="00A21555">
      <w:pPr>
        <w:spacing w:line="360" w:lineRule="auto"/>
        <w:jc w:val="left"/>
        <w:divId w:val="1367020142"/>
      </w:pPr>
      <w:r>
        <w:rPr>
          <w:rFonts w:ascii="宋体" w:hAnsi="宋体" w:hint="eastAsia"/>
          <w:szCs w:val="21"/>
        </w:rPr>
        <w:lastRenderedPageBreak/>
        <w:t>注：</w:t>
      </w:r>
      <w:r>
        <w:rPr>
          <w:rFonts w:ascii="宋体" w:hAnsi="宋体" w:hint="eastAsia"/>
        </w:rPr>
        <w:t>本基金本报告期末通过港股通交易机制投资的港股公允价值为人民币53,676,698.15元,占期末净值比例为22.79%。</w:t>
      </w:r>
    </w:p>
    <w:p w14:paraId="75A1E2D8" w14:textId="77777777" w:rsidR="00A21555" w:rsidRDefault="00A21555">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5E88711A" w14:textId="77777777" w:rsidR="00A21555" w:rsidRDefault="00A21555">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814921" w14:paraId="4823456D" w14:textId="77777777">
        <w:trPr>
          <w:divId w:val="2011256536"/>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367DD5E" w14:textId="77777777" w:rsidR="00A21555" w:rsidRDefault="00A21555">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32A440B5" w14:textId="77777777" w:rsidR="00A21555" w:rsidRDefault="00A21555">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62532642" w14:textId="77777777" w:rsidR="00A21555" w:rsidRDefault="00A21555">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2AEFAF42" w14:textId="77777777" w:rsidR="00A21555" w:rsidRDefault="00A21555">
            <w:pPr>
              <w:jc w:val="center"/>
            </w:pPr>
            <w:r>
              <w:rPr>
                <w:rFonts w:ascii="宋体" w:hAnsi="宋体" w:hint="eastAsia"/>
                <w:color w:val="000000"/>
              </w:rPr>
              <w:t xml:space="preserve">占基金资产净值比例（%） </w:t>
            </w:r>
          </w:p>
        </w:tc>
      </w:tr>
      <w:tr w:rsidR="00814921" w14:paraId="17BD88B7" w14:textId="77777777">
        <w:trPr>
          <w:divId w:val="201125653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C2B4742" w14:textId="77777777" w:rsidR="00A21555" w:rsidRDefault="00A21555">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3596E96" w14:textId="77777777" w:rsidR="00A21555" w:rsidRDefault="00A21555">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8F478DD" w14:textId="77777777" w:rsidR="00A21555" w:rsidRDefault="00A21555">
            <w:pPr>
              <w:jc w:val="right"/>
            </w:pPr>
            <w:r>
              <w:rPr>
                <w:rFonts w:ascii="宋体" w:hAnsi="宋体" w:hint="eastAsia"/>
                <w:szCs w:val="24"/>
                <w:lang w:eastAsia="zh-Hans"/>
              </w:rPr>
              <w:t>11,232,503.00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5CD803D" w14:textId="77777777" w:rsidR="00A21555" w:rsidRDefault="00A21555">
            <w:pPr>
              <w:jc w:val="right"/>
            </w:pPr>
            <w:r>
              <w:rPr>
                <w:rFonts w:ascii="宋体" w:hAnsi="宋体" w:hint="eastAsia"/>
                <w:szCs w:val="24"/>
                <w:lang w:eastAsia="zh-Hans"/>
              </w:rPr>
              <w:t>4.77</w:t>
            </w:r>
          </w:p>
        </w:tc>
      </w:tr>
      <w:tr w:rsidR="00814921" w14:paraId="1573DA80" w14:textId="77777777">
        <w:trPr>
          <w:divId w:val="201125653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D32A52D" w14:textId="77777777" w:rsidR="00A21555" w:rsidRDefault="00A21555">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AF7A13C" w14:textId="77777777" w:rsidR="00A21555" w:rsidRDefault="00A21555">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8F17E99" w14:textId="77777777" w:rsidR="00A21555" w:rsidRDefault="00A2155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3927A8A" w14:textId="77777777" w:rsidR="00A21555" w:rsidRDefault="00A21555">
            <w:pPr>
              <w:jc w:val="right"/>
            </w:pPr>
            <w:r>
              <w:rPr>
                <w:rFonts w:ascii="宋体" w:hAnsi="宋体" w:hint="eastAsia"/>
                <w:szCs w:val="24"/>
                <w:lang w:eastAsia="zh-Hans"/>
              </w:rPr>
              <w:t>-</w:t>
            </w:r>
          </w:p>
        </w:tc>
      </w:tr>
      <w:tr w:rsidR="00814921" w14:paraId="28B970DF" w14:textId="77777777">
        <w:trPr>
          <w:divId w:val="201125653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892163A" w14:textId="77777777" w:rsidR="00A21555" w:rsidRDefault="00A21555">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76B6B9D" w14:textId="77777777" w:rsidR="00A21555" w:rsidRDefault="00A21555">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F0C36E2" w14:textId="77777777" w:rsidR="00A21555" w:rsidRDefault="00A21555">
            <w:pPr>
              <w:jc w:val="right"/>
            </w:pPr>
            <w:r>
              <w:rPr>
                <w:rFonts w:ascii="宋体" w:hAnsi="宋体" w:hint="eastAsia"/>
                <w:szCs w:val="24"/>
                <w:lang w:eastAsia="zh-Hans"/>
              </w:rPr>
              <w:t>132,447,690.83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2A25592" w14:textId="77777777" w:rsidR="00A21555" w:rsidRDefault="00A21555">
            <w:pPr>
              <w:jc w:val="right"/>
            </w:pPr>
            <w:r>
              <w:rPr>
                <w:rFonts w:ascii="宋体" w:hAnsi="宋体" w:hint="eastAsia"/>
                <w:szCs w:val="24"/>
                <w:lang w:eastAsia="zh-Hans"/>
              </w:rPr>
              <w:t>56.23</w:t>
            </w:r>
          </w:p>
        </w:tc>
      </w:tr>
      <w:tr w:rsidR="00814921" w14:paraId="6F5F7E09" w14:textId="77777777">
        <w:trPr>
          <w:divId w:val="201125653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D2BE2A5" w14:textId="77777777" w:rsidR="00A21555" w:rsidRDefault="00A21555">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7A2B74C" w14:textId="77777777" w:rsidR="00A21555" w:rsidRDefault="00A21555">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85EB30E" w14:textId="77777777" w:rsidR="00A21555" w:rsidRDefault="00A2155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407EEC2" w14:textId="77777777" w:rsidR="00A21555" w:rsidRDefault="00A21555">
            <w:pPr>
              <w:jc w:val="right"/>
            </w:pPr>
            <w:r>
              <w:rPr>
                <w:rFonts w:ascii="宋体" w:hAnsi="宋体" w:hint="eastAsia"/>
                <w:szCs w:val="24"/>
                <w:lang w:eastAsia="zh-Hans"/>
              </w:rPr>
              <w:t>-</w:t>
            </w:r>
          </w:p>
        </w:tc>
      </w:tr>
      <w:tr w:rsidR="00814921" w14:paraId="16A550F3" w14:textId="77777777">
        <w:trPr>
          <w:divId w:val="201125653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D731F53" w14:textId="77777777" w:rsidR="00A21555" w:rsidRDefault="00A21555">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48576F7" w14:textId="77777777" w:rsidR="00A21555" w:rsidRDefault="00A21555">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F31A3F8" w14:textId="77777777" w:rsidR="00A21555" w:rsidRDefault="00A2155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E6C2A72" w14:textId="77777777" w:rsidR="00A21555" w:rsidRDefault="00A21555">
            <w:pPr>
              <w:jc w:val="right"/>
            </w:pPr>
            <w:r>
              <w:rPr>
                <w:rFonts w:ascii="宋体" w:hAnsi="宋体" w:hint="eastAsia"/>
                <w:szCs w:val="24"/>
                <w:lang w:eastAsia="zh-Hans"/>
              </w:rPr>
              <w:t>-</w:t>
            </w:r>
          </w:p>
        </w:tc>
      </w:tr>
      <w:tr w:rsidR="00814921" w14:paraId="4DDE8658" w14:textId="77777777">
        <w:trPr>
          <w:divId w:val="201125653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F1F45BB" w14:textId="77777777" w:rsidR="00A21555" w:rsidRDefault="00A21555">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DC2ED66" w14:textId="77777777" w:rsidR="00A21555" w:rsidRDefault="00A21555">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A1A536C" w14:textId="77777777" w:rsidR="00A21555" w:rsidRDefault="00A2155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EFF2941" w14:textId="77777777" w:rsidR="00A21555" w:rsidRDefault="00A21555">
            <w:pPr>
              <w:jc w:val="right"/>
            </w:pPr>
            <w:r>
              <w:rPr>
                <w:rFonts w:ascii="宋体" w:hAnsi="宋体" w:hint="eastAsia"/>
                <w:szCs w:val="24"/>
                <w:lang w:eastAsia="zh-Hans"/>
              </w:rPr>
              <w:t>-</w:t>
            </w:r>
          </w:p>
        </w:tc>
      </w:tr>
      <w:tr w:rsidR="00814921" w14:paraId="1A7A8733" w14:textId="77777777">
        <w:trPr>
          <w:divId w:val="201125653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CD4AED0" w14:textId="77777777" w:rsidR="00A21555" w:rsidRDefault="00A21555">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6436164" w14:textId="77777777" w:rsidR="00A21555" w:rsidRDefault="00A21555">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1FC0EAC" w14:textId="77777777" w:rsidR="00A21555" w:rsidRDefault="00A2155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DCBB20D" w14:textId="77777777" w:rsidR="00A21555" w:rsidRDefault="00A21555">
            <w:pPr>
              <w:jc w:val="right"/>
            </w:pPr>
            <w:r>
              <w:rPr>
                <w:rFonts w:ascii="宋体" w:hAnsi="宋体" w:hint="eastAsia"/>
                <w:szCs w:val="24"/>
                <w:lang w:eastAsia="zh-Hans"/>
              </w:rPr>
              <w:t>-</w:t>
            </w:r>
          </w:p>
        </w:tc>
      </w:tr>
      <w:tr w:rsidR="00814921" w14:paraId="3E613D4A" w14:textId="77777777">
        <w:trPr>
          <w:divId w:val="201125653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9A16746" w14:textId="77777777" w:rsidR="00A21555" w:rsidRDefault="00A21555">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003C7A9" w14:textId="77777777" w:rsidR="00A21555" w:rsidRDefault="00A21555">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C0F996D" w14:textId="77777777" w:rsidR="00A21555" w:rsidRDefault="00A2155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D7DCE53" w14:textId="77777777" w:rsidR="00A21555" w:rsidRDefault="00A21555">
            <w:pPr>
              <w:jc w:val="right"/>
            </w:pPr>
            <w:r>
              <w:rPr>
                <w:rFonts w:ascii="宋体" w:hAnsi="宋体" w:hint="eastAsia"/>
                <w:szCs w:val="24"/>
                <w:lang w:eastAsia="zh-Hans"/>
              </w:rPr>
              <w:t>-</w:t>
            </w:r>
          </w:p>
        </w:tc>
      </w:tr>
      <w:tr w:rsidR="00814921" w14:paraId="41994B92" w14:textId="77777777">
        <w:trPr>
          <w:divId w:val="201125653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3791261" w14:textId="77777777" w:rsidR="00A21555" w:rsidRDefault="00A21555">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6C2EC8D" w14:textId="77777777" w:rsidR="00A21555" w:rsidRDefault="00A21555">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EF9CAD8" w14:textId="77777777" w:rsidR="00A21555" w:rsidRDefault="00A21555">
            <w:pPr>
              <w:jc w:val="right"/>
            </w:pPr>
            <w:r>
              <w:rPr>
                <w:rFonts w:ascii="宋体" w:hAnsi="宋体" w:hint="eastAsia"/>
                <w:szCs w:val="24"/>
                <w:lang w:eastAsia="zh-Hans"/>
              </w:rPr>
              <w:t>8,796,506.00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FE79058" w14:textId="77777777" w:rsidR="00A21555" w:rsidRDefault="00A21555">
            <w:pPr>
              <w:jc w:val="right"/>
            </w:pPr>
            <w:r>
              <w:rPr>
                <w:rFonts w:ascii="宋体" w:hAnsi="宋体" w:hint="eastAsia"/>
                <w:szCs w:val="24"/>
                <w:lang w:eastAsia="zh-Hans"/>
              </w:rPr>
              <w:t>3.73</w:t>
            </w:r>
          </w:p>
        </w:tc>
      </w:tr>
      <w:tr w:rsidR="00814921" w14:paraId="1414756C" w14:textId="77777777">
        <w:trPr>
          <w:divId w:val="201125653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0F50472" w14:textId="77777777" w:rsidR="00A21555" w:rsidRDefault="00A21555">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2B84C2D" w14:textId="77777777" w:rsidR="00A21555" w:rsidRDefault="00A21555">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34F2E1E" w14:textId="77777777" w:rsidR="00A21555" w:rsidRDefault="00A2155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FA91195" w14:textId="77777777" w:rsidR="00A21555" w:rsidRDefault="00A21555">
            <w:pPr>
              <w:jc w:val="right"/>
            </w:pPr>
            <w:r>
              <w:rPr>
                <w:rFonts w:ascii="宋体" w:hAnsi="宋体" w:hint="eastAsia"/>
                <w:szCs w:val="24"/>
                <w:lang w:eastAsia="zh-Hans"/>
              </w:rPr>
              <w:t>-</w:t>
            </w:r>
          </w:p>
        </w:tc>
      </w:tr>
      <w:tr w:rsidR="00814921" w14:paraId="6521625A" w14:textId="77777777">
        <w:trPr>
          <w:divId w:val="201125653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FE9601C" w14:textId="77777777" w:rsidR="00A21555" w:rsidRDefault="00A21555">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71914FF" w14:textId="77777777" w:rsidR="00A21555" w:rsidRDefault="00A21555">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8475A2C" w14:textId="77777777" w:rsidR="00A21555" w:rsidRDefault="00A2155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45B1429" w14:textId="77777777" w:rsidR="00A21555" w:rsidRDefault="00A21555">
            <w:pPr>
              <w:jc w:val="right"/>
            </w:pPr>
            <w:r>
              <w:rPr>
                <w:rFonts w:ascii="宋体" w:hAnsi="宋体" w:hint="eastAsia"/>
                <w:szCs w:val="24"/>
                <w:lang w:eastAsia="zh-Hans"/>
              </w:rPr>
              <w:t>-</w:t>
            </w:r>
          </w:p>
        </w:tc>
      </w:tr>
      <w:tr w:rsidR="00814921" w14:paraId="6123EF16" w14:textId="77777777">
        <w:trPr>
          <w:divId w:val="201125653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CC70178" w14:textId="77777777" w:rsidR="00A21555" w:rsidRDefault="00A21555">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9902C38" w14:textId="77777777" w:rsidR="00A21555" w:rsidRDefault="00A21555">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AFD08BA" w14:textId="77777777" w:rsidR="00A21555" w:rsidRDefault="00A2155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844C41A" w14:textId="77777777" w:rsidR="00A21555" w:rsidRDefault="00A21555">
            <w:pPr>
              <w:jc w:val="right"/>
            </w:pPr>
            <w:r>
              <w:rPr>
                <w:rFonts w:ascii="宋体" w:hAnsi="宋体" w:hint="eastAsia"/>
                <w:szCs w:val="24"/>
                <w:lang w:eastAsia="zh-Hans"/>
              </w:rPr>
              <w:t>-</w:t>
            </w:r>
          </w:p>
        </w:tc>
      </w:tr>
      <w:tr w:rsidR="00814921" w14:paraId="408D28D4" w14:textId="77777777">
        <w:trPr>
          <w:divId w:val="201125653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A98106F" w14:textId="77777777" w:rsidR="00A21555" w:rsidRDefault="00A21555">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6BB4C4F" w14:textId="77777777" w:rsidR="00A21555" w:rsidRDefault="00A21555">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A6B78AD" w14:textId="77777777" w:rsidR="00A21555" w:rsidRDefault="00A2155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8012FA1" w14:textId="77777777" w:rsidR="00A21555" w:rsidRDefault="00A21555">
            <w:pPr>
              <w:jc w:val="right"/>
            </w:pPr>
            <w:r>
              <w:rPr>
                <w:rFonts w:ascii="宋体" w:hAnsi="宋体" w:hint="eastAsia"/>
                <w:szCs w:val="24"/>
                <w:lang w:eastAsia="zh-Hans"/>
              </w:rPr>
              <w:t>-</w:t>
            </w:r>
          </w:p>
        </w:tc>
      </w:tr>
      <w:tr w:rsidR="00814921" w14:paraId="66DF5ECE" w14:textId="77777777">
        <w:trPr>
          <w:divId w:val="201125653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26411BB" w14:textId="77777777" w:rsidR="00A21555" w:rsidRDefault="00A21555">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408D5B3" w14:textId="77777777" w:rsidR="00A21555" w:rsidRDefault="00A21555">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1FB18A8" w14:textId="77777777" w:rsidR="00A21555" w:rsidRDefault="00A2155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8EDD3B3" w14:textId="77777777" w:rsidR="00A21555" w:rsidRDefault="00A21555">
            <w:pPr>
              <w:jc w:val="right"/>
            </w:pPr>
            <w:r>
              <w:rPr>
                <w:rFonts w:ascii="宋体" w:hAnsi="宋体" w:hint="eastAsia"/>
                <w:szCs w:val="24"/>
                <w:lang w:eastAsia="zh-Hans"/>
              </w:rPr>
              <w:t>-</w:t>
            </w:r>
          </w:p>
        </w:tc>
      </w:tr>
      <w:tr w:rsidR="00814921" w14:paraId="44E9C9DE" w14:textId="77777777">
        <w:trPr>
          <w:divId w:val="201125653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244EA71" w14:textId="77777777" w:rsidR="00A21555" w:rsidRDefault="00A21555">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8E2B037" w14:textId="77777777" w:rsidR="00A21555" w:rsidRDefault="00A21555">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B8F0C8A" w14:textId="77777777" w:rsidR="00A21555" w:rsidRDefault="00A2155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9E0ECCF" w14:textId="77777777" w:rsidR="00A21555" w:rsidRDefault="00A21555">
            <w:pPr>
              <w:jc w:val="right"/>
            </w:pPr>
            <w:r>
              <w:rPr>
                <w:rFonts w:ascii="宋体" w:hAnsi="宋体" w:hint="eastAsia"/>
                <w:szCs w:val="24"/>
                <w:lang w:eastAsia="zh-Hans"/>
              </w:rPr>
              <w:t>-</w:t>
            </w:r>
          </w:p>
        </w:tc>
      </w:tr>
      <w:tr w:rsidR="00814921" w14:paraId="63F13953" w14:textId="77777777">
        <w:trPr>
          <w:divId w:val="201125653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7F22F7A" w14:textId="77777777" w:rsidR="00A21555" w:rsidRDefault="00A21555">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1142F65" w14:textId="77777777" w:rsidR="00A21555" w:rsidRDefault="00A21555">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E6AE185" w14:textId="77777777" w:rsidR="00A21555" w:rsidRDefault="00A2155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55AB57C" w14:textId="77777777" w:rsidR="00A21555" w:rsidRDefault="00A21555">
            <w:pPr>
              <w:jc w:val="right"/>
            </w:pPr>
            <w:r>
              <w:rPr>
                <w:rFonts w:ascii="宋体" w:hAnsi="宋体" w:hint="eastAsia"/>
                <w:szCs w:val="24"/>
                <w:lang w:eastAsia="zh-Hans"/>
              </w:rPr>
              <w:t>-</w:t>
            </w:r>
          </w:p>
        </w:tc>
      </w:tr>
      <w:tr w:rsidR="00814921" w14:paraId="546EEC71" w14:textId="77777777">
        <w:trPr>
          <w:divId w:val="201125653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83118D8" w14:textId="77777777" w:rsidR="00A21555" w:rsidRDefault="00A21555">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E92DB54" w14:textId="77777777" w:rsidR="00A21555" w:rsidRDefault="00A21555">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2F4FC94" w14:textId="77777777" w:rsidR="00A21555" w:rsidRDefault="00A2155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B8ABC84" w14:textId="77777777" w:rsidR="00A21555" w:rsidRDefault="00A21555">
            <w:pPr>
              <w:jc w:val="right"/>
            </w:pPr>
            <w:r>
              <w:rPr>
                <w:rFonts w:ascii="宋体" w:hAnsi="宋体" w:hint="eastAsia"/>
                <w:szCs w:val="24"/>
                <w:lang w:eastAsia="zh-Hans"/>
              </w:rPr>
              <w:t>-</w:t>
            </w:r>
          </w:p>
        </w:tc>
      </w:tr>
      <w:tr w:rsidR="00814921" w14:paraId="127879B3" w14:textId="77777777">
        <w:trPr>
          <w:divId w:val="201125653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E7198BF" w14:textId="77777777" w:rsidR="00A21555" w:rsidRDefault="00A21555">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6FDAE3B" w14:textId="77777777" w:rsidR="00A21555" w:rsidRDefault="00A21555">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D11D4EA" w14:textId="77777777" w:rsidR="00A21555" w:rsidRDefault="00A2155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021F9C9" w14:textId="77777777" w:rsidR="00A21555" w:rsidRDefault="00A21555">
            <w:pPr>
              <w:jc w:val="right"/>
            </w:pPr>
            <w:r>
              <w:rPr>
                <w:rFonts w:ascii="宋体" w:hAnsi="宋体" w:hint="eastAsia"/>
                <w:szCs w:val="24"/>
                <w:lang w:eastAsia="zh-Hans"/>
              </w:rPr>
              <w:t>-</w:t>
            </w:r>
          </w:p>
        </w:tc>
      </w:tr>
      <w:tr w:rsidR="00814921" w14:paraId="1E2C84E6" w14:textId="77777777">
        <w:trPr>
          <w:divId w:val="201125653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2E18E29" w14:textId="77777777" w:rsidR="00A21555" w:rsidRDefault="00A21555">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2179556" w14:textId="77777777" w:rsidR="00A21555" w:rsidRDefault="00A21555">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DC8C0EF" w14:textId="77777777" w:rsidR="00A21555" w:rsidRDefault="00A2155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99E6F9D" w14:textId="77777777" w:rsidR="00A21555" w:rsidRDefault="00A21555">
            <w:pPr>
              <w:jc w:val="right"/>
            </w:pPr>
            <w:r>
              <w:rPr>
                <w:rFonts w:ascii="宋体" w:hAnsi="宋体" w:hint="eastAsia"/>
                <w:szCs w:val="24"/>
                <w:lang w:eastAsia="zh-Hans"/>
              </w:rPr>
              <w:t>-</w:t>
            </w:r>
          </w:p>
        </w:tc>
      </w:tr>
      <w:tr w:rsidR="00814921" w14:paraId="70A11D0A" w14:textId="77777777">
        <w:trPr>
          <w:divId w:val="201125653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CF31B23" w14:textId="77777777" w:rsidR="00A21555" w:rsidRDefault="00A21555">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564CE4F" w14:textId="77777777" w:rsidR="00A21555" w:rsidRDefault="00A21555">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74B4FD8" w14:textId="77777777" w:rsidR="00A21555" w:rsidRDefault="00A21555">
            <w:pPr>
              <w:jc w:val="right"/>
            </w:pPr>
            <w:r>
              <w:rPr>
                <w:rFonts w:ascii="宋体" w:hAnsi="宋体" w:hint="eastAsia"/>
                <w:szCs w:val="24"/>
                <w:lang w:eastAsia="zh-Hans"/>
              </w:rPr>
              <w:t>152,476,699.83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F42CC36" w14:textId="77777777" w:rsidR="00A21555" w:rsidRDefault="00A21555">
            <w:pPr>
              <w:jc w:val="right"/>
            </w:pPr>
            <w:r>
              <w:rPr>
                <w:rFonts w:ascii="宋体" w:hAnsi="宋体" w:hint="eastAsia"/>
                <w:szCs w:val="24"/>
                <w:lang w:eastAsia="zh-Hans"/>
              </w:rPr>
              <w:t>64.73</w:t>
            </w:r>
          </w:p>
        </w:tc>
      </w:tr>
    </w:tbl>
    <w:p w14:paraId="6FE3F859" w14:textId="77777777" w:rsidR="00A21555" w:rsidRDefault="00A21555">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814921" w14:paraId="0E274454" w14:textId="77777777">
        <w:trPr>
          <w:divId w:val="2069525182"/>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7BB67F2" w14:textId="77777777" w:rsidR="00A21555" w:rsidRDefault="00A21555">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B8F5AE7" w14:textId="77777777" w:rsidR="00A21555" w:rsidRDefault="00A21555">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59EF4EF" w14:textId="77777777" w:rsidR="00A21555" w:rsidRDefault="00A21555">
            <w:pPr>
              <w:jc w:val="center"/>
            </w:pPr>
            <w:r>
              <w:rPr>
                <w:rFonts w:ascii="宋体" w:hAnsi="宋体" w:hint="eastAsia"/>
                <w:color w:val="000000"/>
              </w:rPr>
              <w:t xml:space="preserve">占基金资产净值比例（%） </w:t>
            </w:r>
          </w:p>
        </w:tc>
      </w:tr>
      <w:tr w:rsidR="00814921" w14:paraId="069DD492" w14:textId="77777777">
        <w:trPr>
          <w:divId w:val="206952518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374F348" w14:textId="77777777" w:rsidR="00A21555" w:rsidRDefault="00A21555">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8A5BD71" w14:textId="77777777" w:rsidR="00A21555" w:rsidRDefault="00A21555">
            <w:pPr>
              <w:jc w:val="right"/>
            </w:pPr>
            <w:r>
              <w:rPr>
                <w:rFonts w:ascii="宋体" w:hAnsi="宋体" w:hint="eastAsia"/>
                <w:szCs w:val="24"/>
                <w:lang w:eastAsia="zh-Hans"/>
              </w:rPr>
              <w:t>3,115,171.21</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96158F0" w14:textId="77777777" w:rsidR="00A21555" w:rsidRDefault="00A21555">
            <w:pPr>
              <w:jc w:val="right"/>
            </w:pPr>
            <w:r>
              <w:rPr>
                <w:rFonts w:ascii="宋体" w:hAnsi="宋体" w:hint="eastAsia"/>
                <w:szCs w:val="24"/>
                <w:lang w:eastAsia="zh-Hans"/>
              </w:rPr>
              <w:t>1.32</w:t>
            </w:r>
          </w:p>
        </w:tc>
      </w:tr>
      <w:tr w:rsidR="00814921" w14:paraId="4C2BAD2F" w14:textId="77777777">
        <w:trPr>
          <w:divId w:val="206952518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FF08F4C" w14:textId="77777777" w:rsidR="00A21555" w:rsidRDefault="00A21555">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AB64187" w14:textId="77777777" w:rsidR="00A21555" w:rsidRDefault="00A21555">
            <w:pPr>
              <w:jc w:val="right"/>
            </w:pPr>
            <w:r>
              <w:rPr>
                <w:rFonts w:ascii="宋体" w:hAnsi="宋体" w:hint="eastAsia"/>
                <w:szCs w:val="24"/>
                <w:lang w:eastAsia="zh-Hans"/>
              </w:rPr>
              <w:t>25,908,962.53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CFCE00A" w14:textId="77777777" w:rsidR="00A21555" w:rsidRDefault="00A21555">
            <w:pPr>
              <w:jc w:val="right"/>
            </w:pPr>
            <w:r>
              <w:rPr>
                <w:rFonts w:ascii="宋体" w:hAnsi="宋体" w:hint="eastAsia"/>
                <w:szCs w:val="24"/>
                <w:lang w:eastAsia="zh-Hans"/>
              </w:rPr>
              <w:t>11.00</w:t>
            </w:r>
          </w:p>
        </w:tc>
      </w:tr>
      <w:tr w:rsidR="00814921" w14:paraId="6C3C70F7" w14:textId="77777777">
        <w:trPr>
          <w:divId w:val="206952518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29FBDD7" w14:textId="77777777" w:rsidR="00A21555" w:rsidRDefault="00A21555">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542ABD0" w14:textId="77777777" w:rsidR="00A21555" w:rsidRDefault="00A21555">
            <w:pPr>
              <w:jc w:val="right"/>
            </w:pPr>
            <w:r>
              <w:rPr>
                <w:rFonts w:ascii="宋体" w:hAnsi="宋体" w:hint="eastAsia"/>
                <w:szCs w:val="24"/>
                <w:lang w:eastAsia="zh-Hans"/>
              </w:rPr>
              <w:t>3,327,909.19</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9C601B5" w14:textId="77777777" w:rsidR="00A21555" w:rsidRDefault="00A21555">
            <w:pPr>
              <w:jc w:val="right"/>
            </w:pPr>
            <w:r>
              <w:rPr>
                <w:rFonts w:ascii="宋体" w:hAnsi="宋体" w:hint="eastAsia"/>
                <w:szCs w:val="24"/>
                <w:lang w:eastAsia="zh-Hans"/>
              </w:rPr>
              <w:t>1.41</w:t>
            </w:r>
          </w:p>
        </w:tc>
      </w:tr>
      <w:tr w:rsidR="00814921" w14:paraId="1D231E76" w14:textId="77777777">
        <w:trPr>
          <w:divId w:val="206952518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5C6A95E" w14:textId="77777777" w:rsidR="00A21555" w:rsidRDefault="00A21555">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15C5BE2" w14:textId="77777777" w:rsidR="00A21555" w:rsidRDefault="00A21555">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F3DB3B0" w14:textId="77777777" w:rsidR="00A21555" w:rsidRDefault="00A21555">
            <w:pPr>
              <w:jc w:val="right"/>
            </w:pPr>
            <w:r>
              <w:rPr>
                <w:rFonts w:ascii="宋体" w:hAnsi="宋体" w:hint="eastAsia"/>
                <w:szCs w:val="24"/>
                <w:lang w:eastAsia="zh-Hans"/>
              </w:rPr>
              <w:t>-</w:t>
            </w:r>
          </w:p>
        </w:tc>
      </w:tr>
      <w:tr w:rsidR="00814921" w14:paraId="61CAF329" w14:textId="77777777">
        <w:trPr>
          <w:divId w:val="206952518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7545F32" w14:textId="77777777" w:rsidR="00A21555" w:rsidRDefault="00A21555">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AD4E233" w14:textId="77777777" w:rsidR="00A21555" w:rsidRDefault="00A21555">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3F67A9F" w14:textId="77777777" w:rsidR="00A21555" w:rsidRDefault="00A21555">
            <w:pPr>
              <w:jc w:val="right"/>
            </w:pPr>
            <w:r>
              <w:rPr>
                <w:rFonts w:ascii="宋体" w:hAnsi="宋体" w:hint="eastAsia"/>
                <w:szCs w:val="24"/>
                <w:lang w:eastAsia="zh-Hans"/>
              </w:rPr>
              <w:t>-</w:t>
            </w:r>
          </w:p>
        </w:tc>
      </w:tr>
      <w:tr w:rsidR="00814921" w14:paraId="07DA4A2D" w14:textId="77777777">
        <w:trPr>
          <w:divId w:val="206952518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1DF5E16" w14:textId="77777777" w:rsidR="00A21555" w:rsidRDefault="00A21555">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12944F0" w14:textId="77777777" w:rsidR="00A21555" w:rsidRDefault="00A21555">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74687F4" w14:textId="77777777" w:rsidR="00A21555" w:rsidRDefault="00A21555">
            <w:pPr>
              <w:jc w:val="right"/>
            </w:pPr>
            <w:r>
              <w:rPr>
                <w:rFonts w:ascii="宋体" w:hAnsi="宋体" w:hint="eastAsia"/>
                <w:szCs w:val="24"/>
                <w:lang w:eastAsia="zh-Hans"/>
              </w:rPr>
              <w:t>-</w:t>
            </w:r>
          </w:p>
        </w:tc>
      </w:tr>
      <w:tr w:rsidR="00814921" w14:paraId="6CAC71D5" w14:textId="77777777">
        <w:trPr>
          <w:divId w:val="206952518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C5C4C1B" w14:textId="77777777" w:rsidR="00A21555" w:rsidRDefault="00A21555">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BE084A5" w14:textId="77777777" w:rsidR="00A21555" w:rsidRDefault="00A21555">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F4D89CE" w14:textId="77777777" w:rsidR="00A21555" w:rsidRDefault="00A21555">
            <w:pPr>
              <w:jc w:val="right"/>
            </w:pPr>
            <w:r>
              <w:rPr>
                <w:rFonts w:ascii="宋体" w:hAnsi="宋体" w:hint="eastAsia"/>
                <w:szCs w:val="24"/>
                <w:lang w:eastAsia="zh-Hans"/>
              </w:rPr>
              <w:t>-</w:t>
            </w:r>
          </w:p>
        </w:tc>
      </w:tr>
      <w:tr w:rsidR="00814921" w14:paraId="6C9297A2" w14:textId="77777777">
        <w:trPr>
          <w:divId w:val="206952518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E97FBF4" w14:textId="77777777" w:rsidR="00A21555" w:rsidRDefault="00A21555">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7A997FC" w14:textId="77777777" w:rsidR="00A21555" w:rsidRDefault="00A21555">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03857F1" w14:textId="77777777" w:rsidR="00A21555" w:rsidRDefault="00A21555">
            <w:pPr>
              <w:jc w:val="right"/>
            </w:pPr>
            <w:r>
              <w:rPr>
                <w:rFonts w:ascii="宋体" w:hAnsi="宋体" w:hint="eastAsia"/>
                <w:szCs w:val="24"/>
                <w:lang w:eastAsia="zh-Hans"/>
              </w:rPr>
              <w:t>-</w:t>
            </w:r>
          </w:p>
        </w:tc>
      </w:tr>
      <w:tr w:rsidR="00814921" w14:paraId="6B5EF22A" w14:textId="77777777">
        <w:trPr>
          <w:divId w:val="206952518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ED00EF2" w14:textId="77777777" w:rsidR="00A21555" w:rsidRDefault="00A21555">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EDA45BD" w14:textId="77777777" w:rsidR="00A21555" w:rsidRDefault="00A21555">
            <w:pPr>
              <w:jc w:val="right"/>
            </w:pPr>
            <w:r>
              <w:rPr>
                <w:rFonts w:ascii="宋体" w:hAnsi="宋体" w:hint="eastAsia"/>
                <w:szCs w:val="24"/>
                <w:lang w:eastAsia="zh-Hans"/>
              </w:rPr>
              <w:t>21,324,655.22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6B225BF" w14:textId="77777777" w:rsidR="00A21555" w:rsidRDefault="00A21555">
            <w:pPr>
              <w:jc w:val="right"/>
            </w:pPr>
            <w:r>
              <w:rPr>
                <w:rFonts w:ascii="宋体" w:hAnsi="宋体" w:hint="eastAsia"/>
                <w:szCs w:val="24"/>
                <w:lang w:eastAsia="zh-Hans"/>
              </w:rPr>
              <w:t>9.05</w:t>
            </w:r>
          </w:p>
        </w:tc>
      </w:tr>
      <w:tr w:rsidR="00814921" w14:paraId="0BE80B2B" w14:textId="77777777">
        <w:trPr>
          <w:divId w:val="206952518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47D3709" w14:textId="77777777" w:rsidR="00A21555" w:rsidRDefault="00A21555">
            <w:pPr>
              <w:jc w:val="left"/>
            </w:pPr>
            <w:r>
              <w:rPr>
                <w:rFonts w:ascii="宋体" w:hAnsi="宋体" w:hint="eastAsia"/>
                <w:szCs w:val="24"/>
                <w:lang w:eastAsia="zh-Hans"/>
              </w:rPr>
              <w:lastRenderedPageBreak/>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2B51ED3" w14:textId="77777777" w:rsidR="00A21555" w:rsidRDefault="00A21555">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96C543A" w14:textId="77777777" w:rsidR="00A21555" w:rsidRDefault="00A21555">
            <w:pPr>
              <w:jc w:val="right"/>
            </w:pPr>
            <w:r>
              <w:rPr>
                <w:rFonts w:ascii="宋体" w:hAnsi="宋体" w:hint="eastAsia"/>
                <w:szCs w:val="24"/>
                <w:lang w:eastAsia="zh-Hans"/>
              </w:rPr>
              <w:t>-</w:t>
            </w:r>
          </w:p>
        </w:tc>
      </w:tr>
      <w:tr w:rsidR="00814921" w14:paraId="14FE2979" w14:textId="77777777">
        <w:trPr>
          <w:divId w:val="206952518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00118C8" w14:textId="77777777" w:rsidR="00A21555" w:rsidRDefault="00A21555">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5209849" w14:textId="77777777" w:rsidR="00A21555" w:rsidRDefault="00A21555">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E7EE403" w14:textId="77777777" w:rsidR="00A21555" w:rsidRDefault="00A21555">
            <w:pPr>
              <w:jc w:val="right"/>
            </w:pPr>
            <w:r>
              <w:rPr>
                <w:rFonts w:ascii="宋体" w:hAnsi="宋体" w:hint="eastAsia"/>
                <w:szCs w:val="24"/>
                <w:lang w:eastAsia="zh-Hans"/>
              </w:rPr>
              <w:t>-</w:t>
            </w:r>
          </w:p>
        </w:tc>
      </w:tr>
      <w:tr w:rsidR="00814921" w14:paraId="5EB92B45" w14:textId="77777777">
        <w:trPr>
          <w:divId w:val="206952518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589CD76" w14:textId="77777777" w:rsidR="00A21555" w:rsidRDefault="00A21555">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29C2526" w14:textId="77777777" w:rsidR="00A21555" w:rsidRDefault="00A21555">
            <w:pPr>
              <w:jc w:val="right"/>
            </w:pPr>
            <w:r>
              <w:rPr>
                <w:rFonts w:ascii="宋体" w:hAnsi="宋体" w:hint="eastAsia"/>
                <w:szCs w:val="24"/>
                <w:lang w:eastAsia="zh-Hans"/>
              </w:rPr>
              <w:t>53,676,698.15</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B49F140" w14:textId="77777777" w:rsidR="00A21555" w:rsidRDefault="00A21555">
            <w:pPr>
              <w:jc w:val="right"/>
            </w:pPr>
            <w:r>
              <w:rPr>
                <w:rFonts w:ascii="宋体" w:hAnsi="宋体" w:hint="eastAsia"/>
                <w:szCs w:val="24"/>
                <w:lang w:eastAsia="zh-Hans"/>
              </w:rPr>
              <w:t>22.79</w:t>
            </w:r>
          </w:p>
        </w:tc>
      </w:tr>
    </w:tbl>
    <w:p w14:paraId="00BDDC33" w14:textId="77777777" w:rsidR="00A21555" w:rsidRDefault="00A21555">
      <w:pPr>
        <w:spacing w:line="360" w:lineRule="auto"/>
        <w:divId w:val="431247160"/>
      </w:pPr>
      <w:r>
        <w:rPr>
          <w:rFonts w:ascii="宋体" w:hAnsi="宋体" w:hint="eastAsia"/>
          <w:szCs w:val="21"/>
        </w:rPr>
        <w:t>注：</w:t>
      </w:r>
      <w:r>
        <w:rPr>
          <w:rFonts w:ascii="宋体" w:hAnsi="宋体" w:hint="eastAsia"/>
          <w:szCs w:val="21"/>
          <w:lang w:eastAsia="zh-Hans"/>
        </w:rPr>
        <w:t>以上分类采用全球行业分类标准（GICS）。</w:t>
      </w:r>
    </w:p>
    <w:p w14:paraId="0EB533BF" w14:textId="77777777" w:rsidR="00A21555" w:rsidRDefault="00A21555">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588EE819" w14:textId="77777777" w:rsidR="00A21555" w:rsidRDefault="00A21555">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814921" w14:paraId="72055BEA" w14:textId="77777777">
        <w:trPr>
          <w:divId w:val="599677011"/>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D6AF7E2" w14:textId="77777777" w:rsidR="00A21555" w:rsidRDefault="00A21555">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B497BC" w14:textId="77777777" w:rsidR="00A21555" w:rsidRDefault="00A21555">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A2DB9E0" w14:textId="77777777" w:rsidR="00A21555" w:rsidRDefault="00A21555">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7409127" w14:textId="77777777" w:rsidR="00A21555" w:rsidRDefault="00A21555">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30D69A6" w14:textId="77777777" w:rsidR="00A21555" w:rsidRDefault="00A21555">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9ACF08" w14:textId="77777777" w:rsidR="00A21555" w:rsidRDefault="00A21555">
            <w:pPr>
              <w:jc w:val="center"/>
            </w:pPr>
            <w:r>
              <w:rPr>
                <w:rFonts w:ascii="宋体" w:hAnsi="宋体" w:hint="eastAsia"/>
                <w:color w:val="000000"/>
              </w:rPr>
              <w:t xml:space="preserve">占基金资产净值比例（%） </w:t>
            </w:r>
          </w:p>
        </w:tc>
      </w:tr>
      <w:tr w:rsidR="00814921" w14:paraId="40EA61AB" w14:textId="77777777">
        <w:trPr>
          <w:divId w:val="59967701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A42382" w14:textId="77777777" w:rsidR="00A21555" w:rsidRDefault="00A21555">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F303AC" w14:textId="77777777" w:rsidR="00A21555" w:rsidRDefault="00A21555">
            <w:pPr>
              <w:jc w:val="center"/>
            </w:pPr>
            <w:r>
              <w:rPr>
                <w:rFonts w:ascii="宋体" w:hAnsi="宋体" w:hint="eastAsia"/>
                <w:szCs w:val="24"/>
                <w:lang w:eastAsia="zh-Hans"/>
              </w:rPr>
              <w:t>09988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E0C854" w14:textId="77777777" w:rsidR="00A21555" w:rsidRDefault="00A21555">
            <w:pPr>
              <w:jc w:val="center"/>
            </w:pPr>
            <w:r>
              <w:rPr>
                <w:rFonts w:ascii="宋体" w:hAnsi="宋体" w:hint="eastAsia"/>
                <w:szCs w:val="24"/>
                <w:lang w:eastAsia="zh-Hans"/>
              </w:rPr>
              <w:t>阿里巴巴-W</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723F9E" w14:textId="77777777" w:rsidR="00A21555" w:rsidRDefault="00A21555">
            <w:pPr>
              <w:jc w:val="right"/>
            </w:pPr>
            <w:r>
              <w:rPr>
                <w:rFonts w:ascii="宋体" w:hAnsi="宋体" w:hint="eastAsia"/>
                <w:szCs w:val="24"/>
                <w:lang w:eastAsia="zh-Hans"/>
              </w:rPr>
              <w:t>204,015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FF6909" w14:textId="77777777" w:rsidR="00A21555" w:rsidRDefault="00A21555">
            <w:pPr>
              <w:jc w:val="right"/>
            </w:pPr>
            <w:r>
              <w:rPr>
                <w:rFonts w:ascii="宋体" w:hAnsi="宋体" w:hint="eastAsia"/>
                <w:szCs w:val="24"/>
                <w:lang w:eastAsia="zh-Hans"/>
              </w:rPr>
              <w:t>21,436,070.27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6D79E6" w14:textId="77777777" w:rsidR="00A21555" w:rsidRDefault="00A21555">
            <w:pPr>
              <w:jc w:val="right"/>
            </w:pPr>
            <w:r>
              <w:rPr>
                <w:rFonts w:ascii="宋体" w:hAnsi="宋体" w:hint="eastAsia"/>
                <w:szCs w:val="24"/>
                <w:lang w:eastAsia="zh-Hans"/>
              </w:rPr>
              <w:t>9.10</w:t>
            </w:r>
          </w:p>
        </w:tc>
      </w:tr>
      <w:tr w:rsidR="00814921" w14:paraId="194BD613" w14:textId="77777777">
        <w:trPr>
          <w:divId w:val="59967701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B1B349" w14:textId="77777777" w:rsidR="00A21555" w:rsidRDefault="00A21555">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37F361" w14:textId="77777777" w:rsidR="00A21555" w:rsidRDefault="00A21555">
            <w:pPr>
              <w:jc w:val="center"/>
            </w:pPr>
            <w:r>
              <w:rPr>
                <w:rFonts w:ascii="宋体" w:hAnsi="宋体" w:hint="eastAsia"/>
                <w:szCs w:val="24"/>
                <w:lang w:eastAsia="zh-Hans"/>
              </w:rPr>
              <w:t>00700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808D75" w14:textId="77777777" w:rsidR="00A21555" w:rsidRDefault="00A21555">
            <w:pPr>
              <w:jc w:val="center"/>
            </w:pPr>
            <w:r>
              <w:rPr>
                <w:rFonts w:ascii="宋体" w:hAnsi="宋体" w:hint="eastAsia"/>
                <w:szCs w:val="24"/>
                <w:lang w:eastAsia="zh-Hans"/>
              </w:rPr>
              <w:t>腾讯控股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BF8457" w14:textId="77777777" w:rsidR="00A21555" w:rsidRDefault="00A21555">
            <w:pPr>
              <w:jc w:val="right"/>
            </w:pPr>
            <w:r>
              <w:rPr>
                <w:rFonts w:ascii="宋体" w:hAnsi="宋体" w:hint="eastAsia"/>
                <w:szCs w:val="24"/>
                <w:lang w:eastAsia="zh-Hans"/>
              </w:rPr>
              <w:t>49,900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44D858" w14:textId="77777777" w:rsidR="00A21555" w:rsidRDefault="00A21555">
            <w:pPr>
              <w:jc w:val="right"/>
            </w:pPr>
            <w:r>
              <w:rPr>
                <w:rFonts w:ascii="宋体" w:hAnsi="宋体" w:hint="eastAsia"/>
                <w:szCs w:val="24"/>
                <w:lang w:eastAsia="zh-Hans"/>
              </w:rPr>
              <w:t>21,324,655.22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2C8088" w14:textId="77777777" w:rsidR="00A21555" w:rsidRDefault="00A21555">
            <w:pPr>
              <w:jc w:val="right"/>
            </w:pPr>
            <w:r>
              <w:rPr>
                <w:rFonts w:ascii="宋体" w:hAnsi="宋体" w:hint="eastAsia"/>
                <w:szCs w:val="24"/>
                <w:lang w:eastAsia="zh-Hans"/>
              </w:rPr>
              <w:t>9.05</w:t>
            </w:r>
          </w:p>
        </w:tc>
      </w:tr>
      <w:tr w:rsidR="00814921" w14:paraId="75726D24" w14:textId="77777777">
        <w:trPr>
          <w:divId w:val="59967701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604357" w14:textId="77777777" w:rsidR="00A21555" w:rsidRDefault="00A21555">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040911" w14:textId="77777777" w:rsidR="00A21555" w:rsidRDefault="00A21555">
            <w:pPr>
              <w:jc w:val="center"/>
            </w:pPr>
            <w:r>
              <w:rPr>
                <w:rFonts w:ascii="宋体" w:hAnsi="宋体" w:hint="eastAsia"/>
                <w:szCs w:val="24"/>
                <w:lang w:eastAsia="zh-Hans"/>
              </w:rPr>
              <w:t>002568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DCAE50" w14:textId="77777777" w:rsidR="00A21555" w:rsidRDefault="00A21555">
            <w:pPr>
              <w:jc w:val="center"/>
            </w:pPr>
            <w:r>
              <w:rPr>
                <w:rFonts w:ascii="宋体" w:hAnsi="宋体" w:hint="eastAsia"/>
                <w:szCs w:val="24"/>
                <w:lang w:eastAsia="zh-Hans"/>
              </w:rPr>
              <w:t>百润股份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18046E" w14:textId="77777777" w:rsidR="00A21555" w:rsidRDefault="00A21555">
            <w:pPr>
              <w:jc w:val="right"/>
            </w:pPr>
            <w:r>
              <w:rPr>
                <w:rFonts w:ascii="宋体" w:hAnsi="宋体" w:hint="eastAsia"/>
                <w:szCs w:val="24"/>
                <w:lang w:eastAsia="zh-Hans"/>
              </w:rPr>
              <w:t>1,221,665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6EFA33" w14:textId="77777777" w:rsidR="00A21555" w:rsidRDefault="00A21555">
            <w:pPr>
              <w:jc w:val="right"/>
            </w:pPr>
            <w:r>
              <w:rPr>
                <w:rFonts w:ascii="宋体" w:hAnsi="宋体" w:hint="eastAsia"/>
                <w:szCs w:val="24"/>
                <w:lang w:eastAsia="zh-Hans"/>
              </w:rPr>
              <w:t>20,707,221.75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817BAE" w14:textId="77777777" w:rsidR="00A21555" w:rsidRDefault="00A21555">
            <w:pPr>
              <w:jc w:val="right"/>
            </w:pPr>
            <w:r>
              <w:rPr>
                <w:rFonts w:ascii="宋体" w:hAnsi="宋体" w:hint="eastAsia"/>
                <w:szCs w:val="24"/>
                <w:lang w:eastAsia="zh-Hans"/>
              </w:rPr>
              <w:t>8.79</w:t>
            </w:r>
          </w:p>
        </w:tc>
      </w:tr>
      <w:tr w:rsidR="00814921" w14:paraId="69AA239B" w14:textId="77777777">
        <w:trPr>
          <w:divId w:val="59967701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D2015A" w14:textId="77777777" w:rsidR="00A21555" w:rsidRDefault="00A21555">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8ABC87" w14:textId="77777777" w:rsidR="00A21555" w:rsidRDefault="00A21555">
            <w:pPr>
              <w:jc w:val="center"/>
            </w:pPr>
            <w:r>
              <w:rPr>
                <w:rFonts w:ascii="宋体" w:hAnsi="宋体" w:hint="eastAsia"/>
                <w:szCs w:val="24"/>
                <w:lang w:eastAsia="zh-Hans"/>
              </w:rPr>
              <w:t>600519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6F50EC" w14:textId="77777777" w:rsidR="00A21555" w:rsidRDefault="00A21555">
            <w:pPr>
              <w:jc w:val="center"/>
            </w:pPr>
            <w:r>
              <w:rPr>
                <w:rFonts w:ascii="宋体" w:hAnsi="宋体" w:hint="eastAsia"/>
                <w:szCs w:val="24"/>
                <w:lang w:eastAsia="zh-Hans"/>
              </w:rPr>
              <w:t>贵州茅台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804B52" w14:textId="77777777" w:rsidR="00A21555" w:rsidRDefault="00A21555">
            <w:pPr>
              <w:jc w:val="right"/>
            </w:pPr>
            <w:r>
              <w:rPr>
                <w:rFonts w:ascii="宋体" w:hAnsi="宋体" w:hint="eastAsia"/>
                <w:szCs w:val="24"/>
                <w:lang w:eastAsia="zh-Hans"/>
              </w:rPr>
              <w:t>14,072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D65D9C" w14:textId="77777777" w:rsidR="00A21555" w:rsidRDefault="00A21555">
            <w:pPr>
              <w:jc w:val="right"/>
            </w:pPr>
            <w:r>
              <w:rPr>
                <w:rFonts w:ascii="宋体" w:hAnsi="宋体" w:hint="eastAsia"/>
                <w:szCs w:val="24"/>
                <w:lang w:eastAsia="zh-Hans"/>
              </w:rPr>
              <w:t>20,404,400.00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D1F4D3" w14:textId="77777777" w:rsidR="00A21555" w:rsidRDefault="00A21555">
            <w:pPr>
              <w:jc w:val="right"/>
            </w:pPr>
            <w:r>
              <w:rPr>
                <w:rFonts w:ascii="宋体" w:hAnsi="宋体" w:hint="eastAsia"/>
                <w:szCs w:val="24"/>
                <w:lang w:eastAsia="zh-Hans"/>
              </w:rPr>
              <w:t>8.66</w:t>
            </w:r>
          </w:p>
        </w:tc>
      </w:tr>
      <w:tr w:rsidR="00814921" w14:paraId="4B809170" w14:textId="77777777">
        <w:trPr>
          <w:divId w:val="59967701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24F329" w14:textId="77777777" w:rsidR="00A21555" w:rsidRDefault="00A21555">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913D6C" w14:textId="77777777" w:rsidR="00A21555" w:rsidRDefault="00A21555">
            <w:pPr>
              <w:jc w:val="center"/>
            </w:pPr>
            <w:r>
              <w:rPr>
                <w:rFonts w:ascii="宋体" w:hAnsi="宋体" w:hint="eastAsia"/>
                <w:szCs w:val="24"/>
                <w:lang w:eastAsia="zh-Hans"/>
              </w:rPr>
              <w:t>000568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EDFD52" w14:textId="77777777" w:rsidR="00A21555" w:rsidRDefault="00A21555">
            <w:pPr>
              <w:jc w:val="center"/>
            </w:pPr>
            <w:r>
              <w:rPr>
                <w:rFonts w:ascii="宋体" w:hAnsi="宋体" w:hint="eastAsia"/>
                <w:szCs w:val="24"/>
                <w:lang w:eastAsia="zh-Hans"/>
              </w:rPr>
              <w:t>泸州老窖</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1C2F9E" w14:textId="77777777" w:rsidR="00A21555" w:rsidRDefault="00A21555">
            <w:pPr>
              <w:jc w:val="right"/>
            </w:pPr>
            <w:r>
              <w:rPr>
                <w:rFonts w:ascii="宋体" w:hAnsi="宋体" w:hint="eastAsia"/>
                <w:szCs w:val="24"/>
                <w:lang w:eastAsia="zh-Hans"/>
              </w:rPr>
              <w:t>189,950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5BB1C4" w14:textId="77777777" w:rsidR="00A21555" w:rsidRDefault="00A21555">
            <w:pPr>
              <w:jc w:val="right"/>
            </w:pPr>
            <w:r>
              <w:rPr>
                <w:rFonts w:ascii="宋体" w:hAnsi="宋体" w:hint="eastAsia"/>
                <w:szCs w:val="24"/>
                <w:lang w:eastAsia="zh-Hans"/>
              </w:rPr>
              <w:t>19,883,966.00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BF7F3A" w14:textId="77777777" w:rsidR="00A21555" w:rsidRDefault="00A21555">
            <w:pPr>
              <w:jc w:val="right"/>
            </w:pPr>
            <w:r>
              <w:rPr>
                <w:rFonts w:ascii="宋体" w:hAnsi="宋体" w:hint="eastAsia"/>
                <w:szCs w:val="24"/>
                <w:lang w:eastAsia="zh-Hans"/>
              </w:rPr>
              <w:t>8.44</w:t>
            </w:r>
          </w:p>
        </w:tc>
      </w:tr>
      <w:tr w:rsidR="00814921" w14:paraId="1B64A9BE" w14:textId="77777777">
        <w:trPr>
          <w:divId w:val="59967701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584676" w14:textId="77777777" w:rsidR="00A21555" w:rsidRDefault="00A21555">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93EF5D" w14:textId="77777777" w:rsidR="00A21555" w:rsidRDefault="00A21555">
            <w:pPr>
              <w:jc w:val="center"/>
            </w:pPr>
            <w:r>
              <w:rPr>
                <w:rFonts w:ascii="宋体" w:hAnsi="宋体" w:hint="eastAsia"/>
                <w:szCs w:val="24"/>
                <w:lang w:eastAsia="zh-Hans"/>
              </w:rPr>
              <w:t>002714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529C1A" w14:textId="77777777" w:rsidR="00A21555" w:rsidRDefault="00A21555">
            <w:pPr>
              <w:jc w:val="center"/>
            </w:pPr>
            <w:r>
              <w:rPr>
                <w:rFonts w:ascii="宋体" w:hAnsi="宋体" w:hint="eastAsia"/>
                <w:szCs w:val="24"/>
                <w:lang w:eastAsia="zh-Hans"/>
              </w:rPr>
              <w:t>牧原股份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3B58B4" w14:textId="77777777" w:rsidR="00A21555" w:rsidRDefault="00A21555">
            <w:pPr>
              <w:jc w:val="right"/>
            </w:pPr>
            <w:r>
              <w:rPr>
                <w:rFonts w:ascii="宋体" w:hAnsi="宋体" w:hint="eastAsia"/>
                <w:szCs w:val="24"/>
                <w:lang w:eastAsia="zh-Hans"/>
              </w:rPr>
              <w:t>269,300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C6C144" w14:textId="77777777" w:rsidR="00A21555" w:rsidRDefault="00A21555">
            <w:pPr>
              <w:jc w:val="right"/>
            </w:pPr>
            <w:r>
              <w:rPr>
                <w:rFonts w:ascii="宋体" w:hAnsi="宋体" w:hint="eastAsia"/>
                <w:szCs w:val="24"/>
                <w:lang w:eastAsia="zh-Hans"/>
              </w:rPr>
              <w:t>11,232,503.00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F1194E" w14:textId="77777777" w:rsidR="00A21555" w:rsidRDefault="00A21555">
            <w:pPr>
              <w:jc w:val="right"/>
            </w:pPr>
            <w:r>
              <w:rPr>
                <w:rFonts w:ascii="宋体" w:hAnsi="宋体" w:hint="eastAsia"/>
                <w:szCs w:val="24"/>
                <w:lang w:eastAsia="zh-Hans"/>
              </w:rPr>
              <w:t>4.77</w:t>
            </w:r>
          </w:p>
        </w:tc>
      </w:tr>
      <w:tr w:rsidR="00814921" w14:paraId="15250881" w14:textId="77777777">
        <w:trPr>
          <w:divId w:val="59967701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D0A0C8" w14:textId="77777777" w:rsidR="00A21555" w:rsidRDefault="00A21555">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B512CB" w14:textId="77777777" w:rsidR="00A21555" w:rsidRDefault="00A21555">
            <w:pPr>
              <w:jc w:val="center"/>
            </w:pPr>
            <w:r>
              <w:rPr>
                <w:rFonts w:ascii="宋体" w:hAnsi="宋体" w:hint="eastAsia"/>
                <w:szCs w:val="24"/>
                <w:lang w:eastAsia="zh-Hans"/>
              </w:rPr>
              <w:t>603288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9EAC39" w14:textId="77777777" w:rsidR="00A21555" w:rsidRDefault="00A21555">
            <w:pPr>
              <w:jc w:val="center"/>
            </w:pPr>
            <w:r>
              <w:rPr>
                <w:rFonts w:ascii="宋体" w:hAnsi="宋体" w:hint="eastAsia"/>
                <w:szCs w:val="24"/>
                <w:lang w:eastAsia="zh-Hans"/>
              </w:rPr>
              <w:t>海天味业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41BC35" w14:textId="77777777" w:rsidR="00A21555" w:rsidRDefault="00A21555">
            <w:pPr>
              <w:jc w:val="right"/>
            </w:pPr>
            <w:r>
              <w:rPr>
                <w:rFonts w:ascii="宋体" w:hAnsi="宋体" w:hint="eastAsia"/>
                <w:szCs w:val="24"/>
                <w:lang w:eastAsia="zh-Hans"/>
              </w:rPr>
              <w:t>222,740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DE2241" w14:textId="77777777" w:rsidR="00A21555" w:rsidRDefault="00A21555">
            <w:pPr>
              <w:jc w:val="right"/>
            </w:pPr>
            <w:r>
              <w:rPr>
                <w:rFonts w:ascii="宋体" w:hAnsi="宋体" w:hint="eastAsia"/>
                <w:szCs w:val="24"/>
                <w:lang w:eastAsia="zh-Hans"/>
              </w:rPr>
              <w:t>9,132,340.00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D5121E" w14:textId="77777777" w:rsidR="00A21555" w:rsidRDefault="00A21555">
            <w:pPr>
              <w:jc w:val="right"/>
            </w:pPr>
            <w:r>
              <w:rPr>
                <w:rFonts w:ascii="宋体" w:hAnsi="宋体" w:hint="eastAsia"/>
                <w:szCs w:val="24"/>
                <w:lang w:eastAsia="zh-Hans"/>
              </w:rPr>
              <w:t>3.88</w:t>
            </w:r>
          </w:p>
        </w:tc>
      </w:tr>
      <w:tr w:rsidR="00814921" w14:paraId="5D604B4F" w14:textId="77777777">
        <w:trPr>
          <w:divId w:val="59967701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C3FD3A" w14:textId="77777777" w:rsidR="00A21555" w:rsidRDefault="00A21555">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D67509" w14:textId="77777777" w:rsidR="00A21555" w:rsidRDefault="00A21555">
            <w:pPr>
              <w:jc w:val="center"/>
            </w:pPr>
            <w:r>
              <w:rPr>
                <w:rFonts w:ascii="宋体" w:hAnsi="宋体" w:hint="eastAsia"/>
                <w:szCs w:val="24"/>
                <w:lang w:eastAsia="zh-Hans"/>
              </w:rPr>
              <w:t>002558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54A161" w14:textId="77777777" w:rsidR="00A21555" w:rsidRDefault="00A21555">
            <w:pPr>
              <w:jc w:val="center"/>
            </w:pPr>
            <w:r>
              <w:rPr>
                <w:rFonts w:ascii="宋体" w:hAnsi="宋体" w:hint="eastAsia"/>
                <w:szCs w:val="24"/>
                <w:lang w:eastAsia="zh-Hans"/>
              </w:rPr>
              <w:t>巨人网络</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BFC82D" w14:textId="77777777" w:rsidR="00A21555" w:rsidRDefault="00A21555">
            <w:pPr>
              <w:jc w:val="right"/>
            </w:pPr>
            <w:r>
              <w:rPr>
                <w:rFonts w:ascii="宋体" w:hAnsi="宋体" w:hint="eastAsia"/>
                <w:szCs w:val="24"/>
                <w:lang w:eastAsia="zh-Hans"/>
              </w:rPr>
              <w:t>278,900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6F3A32" w14:textId="77777777" w:rsidR="00A21555" w:rsidRDefault="00A21555">
            <w:pPr>
              <w:jc w:val="right"/>
            </w:pPr>
            <w:r>
              <w:rPr>
                <w:rFonts w:ascii="宋体" w:hAnsi="宋体" w:hint="eastAsia"/>
                <w:szCs w:val="24"/>
                <w:lang w:eastAsia="zh-Hans"/>
              </w:rPr>
              <w:t>8,796,506.00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184D75" w14:textId="77777777" w:rsidR="00A21555" w:rsidRDefault="00A21555">
            <w:pPr>
              <w:jc w:val="right"/>
            </w:pPr>
            <w:r>
              <w:rPr>
                <w:rFonts w:ascii="宋体" w:hAnsi="宋体" w:hint="eastAsia"/>
                <w:szCs w:val="24"/>
                <w:lang w:eastAsia="zh-Hans"/>
              </w:rPr>
              <w:t>3.73</w:t>
            </w:r>
          </w:p>
        </w:tc>
      </w:tr>
      <w:tr w:rsidR="00814921" w14:paraId="4A8BA64D" w14:textId="77777777">
        <w:trPr>
          <w:divId w:val="59967701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35EC51" w14:textId="77777777" w:rsidR="00A21555" w:rsidRDefault="00A21555">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B7B85D" w14:textId="77777777" w:rsidR="00A21555" w:rsidRDefault="00A21555">
            <w:pPr>
              <w:jc w:val="center"/>
            </w:pPr>
            <w:r>
              <w:rPr>
                <w:rFonts w:ascii="宋体" w:hAnsi="宋体" w:hint="eastAsia"/>
                <w:szCs w:val="24"/>
                <w:lang w:eastAsia="zh-Hans"/>
              </w:rPr>
              <w:t>603345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28B8EE" w14:textId="77777777" w:rsidR="00A21555" w:rsidRDefault="00A21555">
            <w:pPr>
              <w:jc w:val="center"/>
            </w:pPr>
            <w:r>
              <w:rPr>
                <w:rFonts w:ascii="宋体" w:hAnsi="宋体" w:hint="eastAsia"/>
                <w:szCs w:val="24"/>
                <w:lang w:eastAsia="zh-Hans"/>
              </w:rPr>
              <w:t>安井食品</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4B40B9" w14:textId="77777777" w:rsidR="00A21555" w:rsidRDefault="00A21555">
            <w:pPr>
              <w:jc w:val="right"/>
            </w:pPr>
            <w:r>
              <w:rPr>
                <w:rFonts w:ascii="宋体" w:hAnsi="宋体" w:hint="eastAsia"/>
                <w:szCs w:val="24"/>
                <w:lang w:eastAsia="zh-Hans"/>
              </w:rPr>
              <w:t>78,900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FEF73C" w14:textId="77777777" w:rsidR="00A21555" w:rsidRDefault="00A21555">
            <w:pPr>
              <w:jc w:val="right"/>
            </w:pPr>
            <w:r>
              <w:rPr>
                <w:rFonts w:ascii="宋体" w:hAnsi="宋体" w:hint="eastAsia"/>
                <w:szCs w:val="24"/>
                <w:lang w:eastAsia="zh-Hans"/>
              </w:rPr>
              <w:t>7,358,214.00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5FA6B8" w14:textId="77777777" w:rsidR="00A21555" w:rsidRDefault="00A21555">
            <w:pPr>
              <w:jc w:val="right"/>
            </w:pPr>
            <w:r>
              <w:rPr>
                <w:rFonts w:ascii="宋体" w:hAnsi="宋体" w:hint="eastAsia"/>
                <w:szCs w:val="24"/>
                <w:lang w:eastAsia="zh-Hans"/>
              </w:rPr>
              <w:t>3.12</w:t>
            </w:r>
          </w:p>
        </w:tc>
      </w:tr>
      <w:tr w:rsidR="00814921" w14:paraId="33DAC3AE" w14:textId="77777777">
        <w:trPr>
          <w:divId w:val="59967701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77C06C" w14:textId="77777777" w:rsidR="00A21555" w:rsidRDefault="00A21555">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1DD105" w14:textId="77777777" w:rsidR="00A21555" w:rsidRDefault="00A21555">
            <w:pPr>
              <w:jc w:val="center"/>
            </w:pPr>
            <w:r>
              <w:rPr>
                <w:rFonts w:ascii="宋体" w:hAnsi="宋体" w:hint="eastAsia"/>
                <w:szCs w:val="24"/>
                <w:lang w:eastAsia="zh-Hans"/>
              </w:rPr>
              <w:t>002100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E861DF" w14:textId="77777777" w:rsidR="00A21555" w:rsidRDefault="00A21555">
            <w:pPr>
              <w:jc w:val="center"/>
            </w:pPr>
            <w:r>
              <w:rPr>
                <w:rFonts w:ascii="宋体" w:hAnsi="宋体" w:hint="eastAsia"/>
                <w:szCs w:val="24"/>
                <w:lang w:eastAsia="zh-Hans"/>
              </w:rPr>
              <w:t>天康生物</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FF4C34" w14:textId="77777777" w:rsidR="00A21555" w:rsidRDefault="00A21555">
            <w:pPr>
              <w:jc w:val="right"/>
            </w:pPr>
            <w:r>
              <w:rPr>
                <w:rFonts w:ascii="宋体" w:hAnsi="宋体" w:hint="eastAsia"/>
                <w:szCs w:val="24"/>
                <w:lang w:eastAsia="zh-Hans"/>
              </w:rPr>
              <w:t>957,700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1B3676" w14:textId="77777777" w:rsidR="00A21555" w:rsidRDefault="00A21555">
            <w:pPr>
              <w:jc w:val="right"/>
            </w:pPr>
            <w:r>
              <w:rPr>
                <w:rFonts w:ascii="宋体" w:hAnsi="宋体" w:hint="eastAsia"/>
                <w:szCs w:val="24"/>
                <w:lang w:eastAsia="zh-Hans"/>
              </w:rPr>
              <w:t>6,972,056.00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054953" w14:textId="77777777" w:rsidR="00A21555" w:rsidRDefault="00A21555">
            <w:pPr>
              <w:jc w:val="right"/>
            </w:pPr>
            <w:r>
              <w:rPr>
                <w:rFonts w:ascii="宋体" w:hAnsi="宋体" w:hint="eastAsia"/>
                <w:szCs w:val="24"/>
                <w:lang w:eastAsia="zh-Hans"/>
              </w:rPr>
              <w:t>2.96</w:t>
            </w:r>
          </w:p>
        </w:tc>
      </w:tr>
    </w:tbl>
    <w:p w14:paraId="6A91AB79" w14:textId="77777777" w:rsidR="00A21555" w:rsidRDefault="00A21555">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716C22D0" w14:textId="77777777" w:rsidR="00A21555" w:rsidRDefault="00A21555">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5C8067F1" w14:textId="77777777" w:rsidR="00A21555" w:rsidRDefault="00A21555">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4520756C" w14:textId="77777777" w:rsidR="00A21555" w:rsidRDefault="00A21555">
      <w:pPr>
        <w:spacing w:line="360" w:lineRule="auto"/>
        <w:ind w:firstLineChars="200" w:firstLine="420"/>
        <w:jc w:val="left"/>
      </w:pPr>
      <w:r>
        <w:rPr>
          <w:rFonts w:ascii="宋体" w:hAnsi="宋体" w:hint="eastAsia"/>
          <w:color w:val="000000"/>
          <w:szCs w:val="21"/>
          <w:lang w:eastAsia="zh-Hans"/>
        </w:rPr>
        <w:t>本基金本报告期末未持有债券。</w:t>
      </w:r>
    </w:p>
    <w:p w14:paraId="09458728" w14:textId="77777777" w:rsidR="00A21555" w:rsidRDefault="00A21555">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4B5EB19E" w14:textId="77777777" w:rsidR="00A21555" w:rsidRDefault="00A21555">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0AD0DB0F" w14:textId="77777777" w:rsidR="00A21555" w:rsidRDefault="00A21555">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09708E11" w14:textId="77777777" w:rsidR="00A21555" w:rsidRDefault="00A21555">
      <w:pPr>
        <w:spacing w:line="360" w:lineRule="auto"/>
        <w:ind w:firstLineChars="200" w:firstLine="420"/>
        <w:divId w:val="331418765"/>
      </w:pPr>
      <w:r>
        <w:rPr>
          <w:rFonts w:ascii="宋体" w:hAnsi="宋体" w:hint="eastAsia"/>
          <w:szCs w:val="21"/>
          <w:lang w:eastAsia="zh-Hans"/>
        </w:rPr>
        <w:t>本基金本报告期末未持有贵金属。</w:t>
      </w:r>
    </w:p>
    <w:p w14:paraId="3E06DDD2" w14:textId="77777777" w:rsidR="00A21555" w:rsidRDefault="00A21555">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28788B3F" w14:textId="77777777" w:rsidR="00A21555" w:rsidRDefault="00A21555">
      <w:pPr>
        <w:spacing w:line="360" w:lineRule="auto"/>
        <w:ind w:firstLineChars="200" w:firstLine="420"/>
        <w:divId w:val="2122605235"/>
      </w:pPr>
      <w:r>
        <w:rPr>
          <w:rFonts w:ascii="宋体" w:hAnsi="宋体" w:hint="eastAsia"/>
          <w:szCs w:val="21"/>
          <w:lang w:eastAsia="zh-Hans"/>
        </w:rPr>
        <w:t>本基金本报告期末未持有权证。</w:t>
      </w:r>
    </w:p>
    <w:p w14:paraId="3382AE14" w14:textId="77777777" w:rsidR="00A21555" w:rsidRDefault="00A21555">
      <w:pPr>
        <w:pStyle w:val="XBRLTitle2"/>
        <w:spacing w:before="156"/>
        <w:ind w:left="454"/>
      </w:pPr>
      <w:bookmarkStart w:id="242" w:name="_Toc17898206"/>
      <w:proofErr w:type="spellStart"/>
      <w:r>
        <w:rPr>
          <w:rFonts w:hint="eastAsia"/>
        </w:rPr>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2"/>
      <w:proofErr w:type="spellEnd"/>
    </w:p>
    <w:p w14:paraId="375D05F7" w14:textId="77777777" w:rsidR="00A21555" w:rsidRDefault="00A21555">
      <w:pPr>
        <w:spacing w:line="360" w:lineRule="auto"/>
        <w:ind w:firstLineChars="200" w:firstLine="420"/>
        <w:divId w:val="203252231"/>
      </w:pPr>
      <w:r>
        <w:rPr>
          <w:rFonts w:ascii="宋体" w:hAnsi="宋体" w:hint="eastAsia"/>
          <w:szCs w:val="21"/>
          <w:lang w:eastAsia="zh-Hans"/>
        </w:rPr>
        <w:t>本基金本报告期末未持有股指期货。</w:t>
      </w:r>
    </w:p>
    <w:p w14:paraId="06BAA043" w14:textId="77777777" w:rsidR="00A21555" w:rsidRDefault="00A21555">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40A2E16A" w14:textId="77777777" w:rsidR="00A21555" w:rsidRDefault="00A21555">
      <w:pPr>
        <w:spacing w:line="360" w:lineRule="auto"/>
        <w:ind w:firstLineChars="200" w:firstLine="420"/>
        <w:divId w:val="1312826589"/>
      </w:pPr>
      <w:bookmarkStart w:id="251" w:name="m510_01_1597"/>
      <w:bookmarkStart w:id="252" w:name="m510_01_1598"/>
      <w:bookmarkEnd w:id="251"/>
      <w:r>
        <w:rPr>
          <w:rFonts w:ascii="宋体" w:hAnsi="宋体" w:hint="eastAsia"/>
          <w:szCs w:val="21"/>
          <w:lang w:eastAsia="zh-Hans"/>
        </w:rPr>
        <w:t>本基金本报告期末未持有国债期货。</w:t>
      </w:r>
    </w:p>
    <w:p w14:paraId="43AE6664" w14:textId="77777777" w:rsidR="00A21555" w:rsidRDefault="00A21555">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lastRenderedPageBreak/>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149ADDBA" w14:textId="77777777" w:rsidR="00A21555" w:rsidRDefault="00A21555">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rPr>
        <w:t> </w:t>
      </w:r>
      <w:r>
        <w:rPr>
          <w:rFonts w:hint="eastAsia"/>
          <w:lang w:eastAsia="zh-CN"/>
        </w:rPr>
        <w:t xml:space="preserve"> </w:t>
      </w:r>
      <w:bookmarkEnd w:id="264"/>
    </w:p>
    <w:p w14:paraId="1438E26B" w14:textId="77777777" w:rsidR="00A21555" w:rsidRDefault="00A21555">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6552DF09" w14:textId="77777777" w:rsidR="00A21555" w:rsidRDefault="00A21555">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r>
        <w:rPr>
          <w:rFonts w:hint="eastAsia"/>
        </w:rPr>
        <w:t> </w:t>
      </w:r>
      <w:bookmarkEnd w:id="268"/>
      <w:r>
        <w:rPr>
          <w:rFonts w:hint="eastAsia"/>
          <w:lang w:eastAsia="zh-CN"/>
        </w:rPr>
        <w:t xml:space="preserve"> </w:t>
      </w:r>
      <w:bookmarkEnd w:id="269"/>
    </w:p>
    <w:p w14:paraId="37435701" w14:textId="77777777" w:rsidR="00A21555" w:rsidRDefault="00A21555">
      <w:pPr>
        <w:spacing w:line="360" w:lineRule="auto"/>
        <w:ind w:firstLineChars="200" w:firstLine="420"/>
      </w:pPr>
      <w:r>
        <w:rPr>
          <w:rFonts w:ascii="宋体" w:hAnsi="宋体" w:hint="eastAsia"/>
        </w:rPr>
        <w:t>报告期内本基金投资的前十名股票中没有在基金合同规定备选股票库之外的股票。</w:t>
      </w:r>
    </w:p>
    <w:p w14:paraId="2D6D8912" w14:textId="77777777" w:rsidR="00A21555" w:rsidRDefault="00A21555">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814921" w14:paraId="6CB65900" w14:textId="77777777">
        <w:trPr>
          <w:divId w:val="746924977"/>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304ADC" w14:textId="77777777" w:rsidR="00A21555" w:rsidRDefault="00A21555">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B4B328" w14:textId="77777777" w:rsidR="00A21555" w:rsidRDefault="00A21555">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4A128D" w14:textId="77777777" w:rsidR="00A21555" w:rsidRDefault="00A21555">
            <w:pPr>
              <w:jc w:val="center"/>
            </w:pPr>
            <w:r>
              <w:rPr>
                <w:rFonts w:ascii="宋体" w:hAnsi="宋体" w:hint="eastAsia"/>
              </w:rPr>
              <w:t>金额（元）</w:t>
            </w:r>
            <w:r>
              <w:t xml:space="preserve"> </w:t>
            </w:r>
          </w:p>
        </w:tc>
      </w:tr>
      <w:tr w:rsidR="00814921" w14:paraId="1DFE8793" w14:textId="77777777">
        <w:trPr>
          <w:divId w:val="7469249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815488" w14:textId="77777777" w:rsidR="00A21555" w:rsidRDefault="00A21555">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949EE0" w14:textId="77777777" w:rsidR="00A21555" w:rsidRDefault="00A21555">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9FDD6D" w14:textId="77777777" w:rsidR="00A21555" w:rsidRDefault="00A21555">
            <w:pPr>
              <w:jc w:val="right"/>
            </w:pPr>
            <w:r>
              <w:rPr>
                <w:rFonts w:ascii="宋体" w:hAnsi="宋体" w:hint="eastAsia"/>
              </w:rPr>
              <w:t>365,592.95</w:t>
            </w:r>
          </w:p>
        </w:tc>
      </w:tr>
      <w:tr w:rsidR="00814921" w14:paraId="0073A2AD" w14:textId="77777777">
        <w:trPr>
          <w:divId w:val="7469249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A3D83C" w14:textId="77777777" w:rsidR="00A21555" w:rsidRDefault="00A21555">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AB5AB9" w14:textId="77777777" w:rsidR="00A21555" w:rsidRDefault="00A21555">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C45EBF" w14:textId="77777777" w:rsidR="00A21555" w:rsidRDefault="00A21555">
            <w:pPr>
              <w:jc w:val="right"/>
            </w:pPr>
            <w:r>
              <w:rPr>
                <w:rFonts w:ascii="宋体" w:hAnsi="宋体" w:hint="eastAsia"/>
              </w:rPr>
              <w:t>10,238,094.63</w:t>
            </w:r>
          </w:p>
        </w:tc>
      </w:tr>
      <w:tr w:rsidR="00814921" w14:paraId="2AADE1FB" w14:textId="77777777">
        <w:trPr>
          <w:divId w:val="7469249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347FCA" w14:textId="77777777" w:rsidR="00A21555" w:rsidRDefault="00A21555">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176A62" w14:textId="77777777" w:rsidR="00A21555" w:rsidRDefault="00A21555">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591CAD" w14:textId="77777777" w:rsidR="00A21555" w:rsidRDefault="00A21555">
            <w:pPr>
              <w:jc w:val="right"/>
            </w:pPr>
            <w:r>
              <w:rPr>
                <w:rFonts w:ascii="宋体" w:hAnsi="宋体" w:hint="eastAsia"/>
              </w:rPr>
              <w:t>-</w:t>
            </w:r>
          </w:p>
        </w:tc>
      </w:tr>
      <w:tr w:rsidR="00814921" w14:paraId="5CE664D7" w14:textId="77777777">
        <w:trPr>
          <w:divId w:val="7469249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C31872" w14:textId="77777777" w:rsidR="00A21555" w:rsidRDefault="00A21555">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8DCB72" w14:textId="77777777" w:rsidR="00A21555" w:rsidRDefault="00A21555">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C29BF8" w14:textId="77777777" w:rsidR="00A21555" w:rsidRDefault="00A21555">
            <w:pPr>
              <w:jc w:val="right"/>
            </w:pPr>
            <w:r>
              <w:rPr>
                <w:rFonts w:ascii="宋体" w:hAnsi="宋体" w:hint="eastAsia"/>
              </w:rPr>
              <w:t>-</w:t>
            </w:r>
          </w:p>
        </w:tc>
      </w:tr>
      <w:tr w:rsidR="00814921" w14:paraId="17DDDE6B" w14:textId="77777777">
        <w:trPr>
          <w:divId w:val="7469249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B76DBE" w14:textId="77777777" w:rsidR="00A21555" w:rsidRDefault="00A21555">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F9B923" w14:textId="77777777" w:rsidR="00A21555" w:rsidRDefault="00A21555">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404683" w14:textId="77777777" w:rsidR="00A21555" w:rsidRDefault="00A21555">
            <w:pPr>
              <w:jc w:val="right"/>
            </w:pPr>
            <w:r>
              <w:rPr>
                <w:rFonts w:ascii="宋体" w:hAnsi="宋体" w:hint="eastAsia"/>
              </w:rPr>
              <w:t>22,262.00</w:t>
            </w:r>
          </w:p>
        </w:tc>
      </w:tr>
      <w:tr w:rsidR="00814921" w14:paraId="4BCF7842" w14:textId="77777777">
        <w:trPr>
          <w:divId w:val="7469249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AA65A5" w14:textId="77777777" w:rsidR="00A21555" w:rsidRDefault="00A21555">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0A3C50" w14:textId="77777777" w:rsidR="00A21555" w:rsidRDefault="00A21555">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B8ACF1" w14:textId="77777777" w:rsidR="00A21555" w:rsidRDefault="00A21555">
            <w:pPr>
              <w:jc w:val="right"/>
            </w:pPr>
            <w:r>
              <w:rPr>
                <w:rFonts w:ascii="宋体" w:hAnsi="宋体" w:hint="eastAsia"/>
              </w:rPr>
              <w:t>-</w:t>
            </w:r>
          </w:p>
        </w:tc>
      </w:tr>
      <w:tr w:rsidR="00814921" w14:paraId="297B2E11" w14:textId="77777777">
        <w:trPr>
          <w:divId w:val="7469249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456C97" w14:textId="77777777" w:rsidR="00A21555" w:rsidRDefault="00A21555">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63DD49" w14:textId="77777777" w:rsidR="00A21555" w:rsidRDefault="00A21555">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2CF9E3" w14:textId="77777777" w:rsidR="00A21555" w:rsidRDefault="00A21555">
            <w:pPr>
              <w:jc w:val="right"/>
            </w:pPr>
            <w:r>
              <w:rPr>
                <w:rFonts w:ascii="宋体" w:hAnsi="宋体" w:hint="eastAsia"/>
              </w:rPr>
              <w:t>-</w:t>
            </w:r>
          </w:p>
        </w:tc>
      </w:tr>
      <w:tr w:rsidR="00814921" w14:paraId="1F0594FD" w14:textId="77777777">
        <w:trPr>
          <w:divId w:val="7469249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A30948" w14:textId="77777777" w:rsidR="00A21555" w:rsidRDefault="00A21555">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A7F776" w14:textId="77777777" w:rsidR="00A21555" w:rsidRDefault="00A21555">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CD1759" w14:textId="77777777" w:rsidR="00A21555" w:rsidRDefault="00A21555">
            <w:pPr>
              <w:jc w:val="right"/>
            </w:pPr>
            <w:r>
              <w:rPr>
                <w:rFonts w:ascii="宋体" w:hAnsi="宋体" w:hint="eastAsia"/>
              </w:rPr>
              <w:t>10,625,949.58</w:t>
            </w:r>
          </w:p>
        </w:tc>
      </w:tr>
    </w:tbl>
    <w:p w14:paraId="343177B7" w14:textId="77777777" w:rsidR="00A21555" w:rsidRDefault="00A21555">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68CA7E18" w14:textId="77777777" w:rsidR="00A21555" w:rsidRDefault="00A21555">
      <w:pPr>
        <w:spacing w:line="360" w:lineRule="auto"/>
        <w:ind w:firstLineChars="200" w:firstLine="420"/>
        <w:jc w:val="left"/>
      </w:pPr>
      <w:r>
        <w:rPr>
          <w:rFonts w:ascii="宋体" w:hAnsi="宋体" w:hint="eastAsia"/>
        </w:rPr>
        <w:t xml:space="preserve">本基金本报告期末未持有处于转股期的可转换债券。 </w:t>
      </w:r>
    </w:p>
    <w:p w14:paraId="3B545E06" w14:textId="77777777" w:rsidR="00A21555" w:rsidRDefault="00A21555">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2EA7D6F6" w14:textId="77777777" w:rsidR="00A21555" w:rsidRDefault="00A21555">
      <w:pPr>
        <w:spacing w:line="360" w:lineRule="auto"/>
        <w:ind w:firstLineChars="200" w:firstLine="420"/>
        <w:jc w:val="left"/>
        <w:divId w:val="802500112"/>
      </w:pPr>
      <w:r>
        <w:rPr>
          <w:rFonts w:ascii="宋体" w:hAnsi="宋体" w:hint="eastAsia"/>
        </w:rPr>
        <w:t>本基金本报告期末前十名股票中不存在流通受限情况。</w:t>
      </w:r>
      <w:bookmarkEnd w:id="17"/>
      <w:bookmarkEnd w:id="18"/>
      <w:bookmarkEnd w:id="19"/>
      <w:bookmarkEnd w:id="20"/>
      <w:bookmarkEnd w:id="21"/>
    </w:p>
    <w:p w14:paraId="77EE597B" w14:textId="77777777" w:rsidR="00A21555" w:rsidRDefault="00A21555">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0DEBB3C8" w14:textId="77777777" w:rsidR="00A21555" w:rsidRDefault="00A21555">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265CA8F2" w14:textId="77777777" w:rsidR="00A21555" w:rsidRDefault="00A21555">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4BCA029C" w14:textId="77777777" w:rsidR="00A21555" w:rsidRDefault="00A21555">
      <w:pPr>
        <w:wordWrap w:val="0"/>
        <w:spacing w:line="360" w:lineRule="auto"/>
        <w:jc w:val="right"/>
        <w:divId w:val="649407042"/>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814921" w14:paraId="61833847" w14:textId="77777777">
        <w:trPr>
          <w:divId w:val="649407042"/>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FD30B71" w14:textId="77777777" w:rsidR="00A21555" w:rsidRDefault="00A21555">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6AAFAF" w14:textId="77777777" w:rsidR="00A21555" w:rsidRDefault="00A21555">
            <w:pPr>
              <w:ind w:right="3"/>
              <w:jc w:val="center"/>
            </w:pPr>
            <w:r>
              <w:rPr>
                <w:rFonts w:ascii="宋体" w:hAnsi="宋体" w:hint="eastAsia"/>
                <w:lang w:eastAsia="zh-Hans"/>
              </w:rPr>
              <w:t>摩根健康品质生活混合A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E2D145" w14:textId="77777777" w:rsidR="00A21555" w:rsidRDefault="00A21555">
            <w:pPr>
              <w:ind w:right="3"/>
              <w:jc w:val="center"/>
            </w:pPr>
            <w:r>
              <w:rPr>
                <w:rFonts w:ascii="宋体" w:hAnsi="宋体" w:hint="eastAsia"/>
                <w:lang w:eastAsia="zh-Hans"/>
              </w:rPr>
              <w:t>摩根健康品质生活混合C</w:t>
            </w:r>
            <w:r>
              <w:rPr>
                <w:rFonts w:ascii="宋体" w:hAnsi="宋体" w:hint="eastAsia"/>
                <w:kern w:val="0"/>
                <w:szCs w:val="24"/>
                <w:lang w:eastAsia="zh-Hans"/>
              </w:rPr>
              <w:t xml:space="preserve"> </w:t>
            </w:r>
          </w:p>
        </w:tc>
      </w:tr>
      <w:tr w:rsidR="00814921" w14:paraId="0B9049FF" w14:textId="77777777">
        <w:trPr>
          <w:divId w:val="64940704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12F16F" w14:textId="77777777" w:rsidR="00A21555" w:rsidRDefault="00A2155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C4E98C" w14:textId="77777777" w:rsidR="00A21555" w:rsidRDefault="00A21555">
            <w:pPr>
              <w:jc w:val="right"/>
            </w:pPr>
            <w:r>
              <w:rPr>
                <w:rFonts w:ascii="宋体" w:hAnsi="宋体" w:hint="eastAsia"/>
              </w:rPr>
              <w:t>62,547,219.16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405882" w14:textId="77777777" w:rsidR="00A21555" w:rsidRDefault="00A21555">
            <w:pPr>
              <w:jc w:val="right"/>
            </w:pPr>
            <w:r>
              <w:rPr>
                <w:rFonts w:ascii="宋体" w:hAnsi="宋体" w:hint="eastAsia"/>
              </w:rPr>
              <w:t>49,895,898.12</w:t>
            </w:r>
          </w:p>
        </w:tc>
      </w:tr>
      <w:tr w:rsidR="00814921" w14:paraId="53029272" w14:textId="77777777">
        <w:trPr>
          <w:divId w:val="64940704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737C27" w14:textId="77777777" w:rsidR="00A21555" w:rsidRDefault="00A2155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6EA6B5" w14:textId="77777777" w:rsidR="00A21555" w:rsidRDefault="00A21555">
            <w:pPr>
              <w:jc w:val="right"/>
            </w:pPr>
            <w:r>
              <w:rPr>
                <w:rFonts w:ascii="宋体" w:hAnsi="宋体" w:hint="eastAsia"/>
              </w:rPr>
              <w:t>389,309.11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FE2C9F" w14:textId="77777777" w:rsidR="00A21555" w:rsidRDefault="00A21555">
            <w:pPr>
              <w:jc w:val="right"/>
            </w:pPr>
            <w:r>
              <w:rPr>
                <w:rFonts w:ascii="宋体" w:hAnsi="宋体" w:hint="eastAsia"/>
              </w:rPr>
              <w:t>19,193,486.47</w:t>
            </w:r>
          </w:p>
        </w:tc>
      </w:tr>
      <w:tr w:rsidR="00814921" w14:paraId="67D9C67A" w14:textId="77777777">
        <w:trPr>
          <w:divId w:val="64940704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B91295" w14:textId="77777777" w:rsidR="00A21555" w:rsidRDefault="00A2155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0A9892" w14:textId="77777777" w:rsidR="00A21555" w:rsidRDefault="00A21555">
            <w:pPr>
              <w:jc w:val="right"/>
            </w:pPr>
            <w:r>
              <w:rPr>
                <w:rFonts w:ascii="宋体" w:hAnsi="宋体" w:hint="eastAsia"/>
              </w:rPr>
              <w:t>21,300,008.00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8C0CF5" w14:textId="77777777" w:rsidR="00A21555" w:rsidRDefault="00A21555">
            <w:pPr>
              <w:jc w:val="right"/>
            </w:pPr>
            <w:r>
              <w:rPr>
                <w:rFonts w:ascii="宋体" w:hAnsi="宋体" w:hint="eastAsia"/>
              </w:rPr>
              <w:t>32,007,878.73</w:t>
            </w:r>
          </w:p>
        </w:tc>
      </w:tr>
      <w:tr w:rsidR="00814921" w14:paraId="1CDAD61E" w14:textId="77777777">
        <w:trPr>
          <w:divId w:val="64940704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A02E5B" w14:textId="77777777" w:rsidR="00A21555" w:rsidRDefault="00A2155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1F3273" w14:textId="77777777" w:rsidR="00A21555" w:rsidRDefault="00A21555">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DF3400" w14:textId="77777777" w:rsidR="00A21555" w:rsidRDefault="00A21555">
            <w:pPr>
              <w:jc w:val="right"/>
            </w:pPr>
            <w:r>
              <w:rPr>
                <w:rFonts w:ascii="宋体" w:hAnsi="宋体" w:hint="eastAsia"/>
              </w:rPr>
              <w:t>-</w:t>
            </w:r>
          </w:p>
        </w:tc>
      </w:tr>
      <w:tr w:rsidR="00814921" w14:paraId="633B5FC7" w14:textId="77777777">
        <w:trPr>
          <w:divId w:val="64940704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5508E1" w14:textId="77777777" w:rsidR="00A21555" w:rsidRDefault="00A2155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425A41" w14:textId="77777777" w:rsidR="00A21555" w:rsidRDefault="00A21555">
            <w:pPr>
              <w:jc w:val="right"/>
            </w:pPr>
            <w:r>
              <w:rPr>
                <w:rFonts w:ascii="宋体" w:hAnsi="宋体" w:hint="eastAsia"/>
              </w:rPr>
              <w:t>41,636,520.27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8D6A80" w14:textId="77777777" w:rsidR="00A21555" w:rsidRDefault="00A21555">
            <w:pPr>
              <w:jc w:val="right"/>
            </w:pPr>
            <w:r>
              <w:rPr>
                <w:rFonts w:ascii="宋体" w:hAnsi="宋体" w:hint="eastAsia"/>
              </w:rPr>
              <w:t>37,081,505.86</w:t>
            </w:r>
          </w:p>
        </w:tc>
      </w:tr>
    </w:tbl>
    <w:p w14:paraId="77D646BB" w14:textId="77777777" w:rsidR="00A21555" w:rsidRDefault="00A21555">
      <w:pPr>
        <w:spacing w:line="360" w:lineRule="auto"/>
        <w:jc w:val="left"/>
        <w:divId w:val="649407042"/>
      </w:pPr>
      <w:r>
        <w:rPr>
          <w:rFonts w:ascii="宋体" w:hAnsi="宋体" w:hint="eastAsia"/>
          <w:szCs w:val="24"/>
        </w:rPr>
        <w:lastRenderedPageBreak/>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72647448" w14:textId="77777777" w:rsidR="00A21555" w:rsidRDefault="00A21555">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12CDF435" w14:textId="77777777" w:rsidR="00A21555" w:rsidRDefault="00A21555">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021E4716" w14:textId="77777777" w:rsidR="00A21555" w:rsidRDefault="00A21555">
      <w:pPr>
        <w:wordWrap w:val="0"/>
        <w:spacing w:line="360" w:lineRule="auto"/>
        <w:jc w:val="right"/>
        <w:divId w:val="678393099"/>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814921" w14:paraId="78D0E28B" w14:textId="77777777">
        <w:trPr>
          <w:divId w:val="678393099"/>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E99C273" w14:textId="77777777" w:rsidR="00A21555" w:rsidRDefault="00A21555">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BC59D1B" w14:textId="77777777" w:rsidR="00A21555" w:rsidRDefault="00A21555">
            <w:pPr>
              <w:jc w:val="center"/>
            </w:pPr>
            <w:r>
              <w:rPr>
                <w:rFonts w:ascii="宋体" w:hAnsi="宋体" w:hint="eastAsia"/>
                <w:lang w:eastAsia="zh-Hans"/>
              </w:rPr>
              <w:t>摩根健康品质生活混合A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728F1CB" w14:textId="77777777" w:rsidR="00A21555" w:rsidRDefault="00A21555">
            <w:pPr>
              <w:jc w:val="center"/>
            </w:pPr>
            <w:r>
              <w:rPr>
                <w:rFonts w:ascii="宋体" w:hAnsi="宋体" w:hint="eastAsia"/>
                <w:lang w:eastAsia="zh-Hans"/>
              </w:rPr>
              <w:t>摩根健康品质生活混合C</w:t>
            </w:r>
            <w:r>
              <w:rPr>
                <w:rFonts w:ascii="宋体" w:hAnsi="宋体" w:hint="eastAsia"/>
                <w:color w:val="000000"/>
              </w:rPr>
              <w:t xml:space="preserve"> </w:t>
            </w:r>
          </w:p>
        </w:tc>
      </w:tr>
      <w:tr w:rsidR="00814921" w14:paraId="67643C25" w14:textId="77777777">
        <w:trPr>
          <w:divId w:val="67839309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8FDA9F" w14:textId="77777777" w:rsidR="00A21555" w:rsidRDefault="00A21555">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C2BD6F" w14:textId="77777777" w:rsidR="00A21555" w:rsidRDefault="00A21555">
            <w:pPr>
              <w:jc w:val="right"/>
            </w:pPr>
            <w:r>
              <w:rPr>
                <w:rFonts w:ascii="宋体" w:hAnsi="宋体" w:hint="eastAsia"/>
                <w:kern w:val="0"/>
                <w:szCs w:val="24"/>
                <w:lang w:eastAsia="zh-Hans"/>
              </w:rPr>
              <w:t>146,773.79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EA2398" w14:textId="77777777" w:rsidR="00A21555" w:rsidRDefault="00A21555">
            <w:pPr>
              <w:jc w:val="right"/>
            </w:pPr>
            <w:r>
              <w:rPr>
                <w:rFonts w:ascii="宋体" w:hAnsi="宋体" w:hint="eastAsia"/>
                <w:kern w:val="0"/>
                <w:szCs w:val="24"/>
                <w:lang w:eastAsia="zh-Hans"/>
              </w:rPr>
              <w:t>-</w:t>
            </w:r>
          </w:p>
        </w:tc>
      </w:tr>
      <w:tr w:rsidR="00814921" w14:paraId="7DE1A60B" w14:textId="77777777">
        <w:trPr>
          <w:divId w:val="67839309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64494C" w14:textId="77777777" w:rsidR="00A21555" w:rsidRDefault="00A21555">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5CAF58" w14:textId="77777777" w:rsidR="00A21555" w:rsidRDefault="00A21555">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BF886D" w14:textId="77777777" w:rsidR="00A21555" w:rsidRDefault="00A21555">
            <w:pPr>
              <w:jc w:val="right"/>
            </w:pPr>
            <w:r>
              <w:rPr>
                <w:rFonts w:ascii="宋体" w:hAnsi="宋体" w:hint="eastAsia"/>
                <w:szCs w:val="24"/>
                <w:lang w:eastAsia="zh-Hans"/>
              </w:rPr>
              <w:t>-</w:t>
            </w:r>
          </w:p>
        </w:tc>
      </w:tr>
      <w:tr w:rsidR="00814921" w14:paraId="50D21863" w14:textId="77777777">
        <w:trPr>
          <w:divId w:val="67839309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ABFC4A" w14:textId="77777777" w:rsidR="00A21555" w:rsidRDefault="00A21555">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FA8C4E" w14:textId="77777777" w:rsidR="00A21555" w:rsidRDefault="00A21555">
            <w:pPr>
              <w:jc w:val="right"/>
            </w:pPr>
            <w:r>
              <w:rPr>
                <w:rFonts w:ascii="宋体" w:hAnsi="宋体" w:hint="eastAsia"/>
                <w:lang w:eastAsia="zh-Hans"/>
              </w:rPr>
              <w:t>39,405.00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E57BFA" w14:textId="77777777" w:rsidR="00A21555" w:rsidRDefault="00A21555">
            <w:pPr>
              <w:jc w:val="right"/>
            </w:pPr>
            <w:r>
              <w:rPr>
                <w:rFonts w:ascii="宋体" w:hAnsi="宋体" w:hint="eastAsia"/>
                <w:lang w:eastAsia="zh-Hans"/>
              </w:rPr>
              <w:t>-</w:t>
            </w:r>
          </w:p>
        </w:tc>
      </w:tr>
      <w:tr w:rsidR="00814921" w14:paraId="49E4F6A4" w14:textId="77777777">
        <w:trPr>
          <w:divId w:val="67839309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FE5D77" w14:textId="77777777" w:rsidR="00A21555" w:rsidRDefault="00A21555">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546D5C" w14:textId="77777777" w:rsidR="00A21555" w:rsidRDefault="00A21555">
            <w:pPr>
              <w:jc w:val="right"/>
            </w:pPr>
            <w:r>
              <w:rPr>
                <w:rFonts w:ascii="宋体" w:hAnsi="宋体" w:hint="eastAsia"/>
                <w:lang w:eastAsia="zh-Hans"/>
              </w:rPr>
              <w:t>107,368.79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F40EB4" w14:textId="77777777" w:rsidR="00A21555" w:rsidRDefault="00A21555">
            <w:pPr>
              <w:jc w:val="right"/>
            </w:pPr>
            <w:r>
              <w:rPr>
                <w:rFonts w:ascii="宋体" w:hAnsi="宋体" w:hint="eastAsia"/>
                <w:lang w:eastAsia="zh-Hans"/>
              </w:rPr>
              <w:t>-</w:t>
            </w:r>
          </w:p>
        </w:tc>
      </w:tr>
      <w:tr w:rsidR="00814921" w14:paraId="7D640BEA" w14:textId="77777777">
        <w:trPr>
          <w:divId w:val="67839309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D6D6F4" w14:textId="77777777" w:rsidR="00A21555" w:rsidRDefault="00A21555">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0145A1" w14:textId="77777777" w:rsidR="00A21555" w:rsidRDefault="00A21555">
            <w:pPr>
              <w:jc w:val="right"/>
            </w:pPr>
            <w:r>
              <w:rPr>
                <w:rFonts w:ascii="宋体" w:hAnsi="宋体" w:hint="eastAsia"/>
                <w:lang w:eastAsia="zh-Hans"/>
              </w:rPr>
              <w:t>0.14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D8F60C" w14:textId="77777777" w:rsidR="00A21555" w:rsidRDefault="00A21555">
            <w:pPr>
              <w:jc w:val="right"/>
            </w:pPr>
            <w:r>
              <w:rPr>
                <w:rFonts w:ascii="宋体" w:hAnsi="宋体" w:hint="eastAsia"/>
                <w:lang w:eastAsia="zh-Hans"/>
              </w:rPr>
              <w:t>-</w:t>
            </w:r>
          </w:p>
        </w:tc>
      </w:tr>
    </w:tbl>
    <w:p w14:paraId="0229FD08" w14:textId="77777777" w:rsidR="00A21555" w:rsidRDefault="00A21555">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814921" w14:paraId="21AE45F6" w14:textId="77777777">
        <w:trPr>
          <w:divId w:val="560989002"/>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FDCDA79" w14:textId="77777777" w:rsidR="00A21555" w:rsidRDefault="00A21555">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6B62122" w14:textId="77777777" w:rsidR="00A21555" w:rsidRDefault="00A21555">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42209A4" w14:textId="77777777" w:rsidR="00A21555" w:rsidRDefault="00A21555">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8D8AED2" w14:textId="77777777" w:rsidR="00A21555" w:rsidRDefault="00A21555">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BB78AC0" w14:textId="77777777" w:rsidR="00A21555" w:rsidRDefault="00A21555">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B52C723" w14:textId="77777777" w:rsidR="00A21555" w:rsidRDefault="00A21555">
            <w:pPr>
              <w:spacing w:line="360" w:lineRule="auto"/>
              <w:jc w:val="center"/>
            </w:pPr>
            <w:r>
              <w:rPr>
                <w:rFonts w:ascii="宋体" w:hAnsi="宋体" w:hint="eastAsia"/>
              </w:rPr>
              <w:t xml:space="preserve">适用费率 </w:t>
            </w:r>
          </w:p>
        </w:tc>
      </w:tr>
      <w:tr w:rsidR="00814921" w14:paraId="2513A9A2" w14:textId="77777777">
        <w:trPr>
          <w:divId w:val="560989002"/>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BEA358" w14:textId="77777777" w:rsidR="00A21555" w:rsidRDefault="00A21555">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8D2A8D" w14:textId="77777777" w:rsidR="00A21555" w:rsidRDefault="00A21555">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A65D48" w14:textId="77777777" w:rsidR="00A21555" w:rsidRDefault="00A21555">
            <w:pPr>
              <w:spacing w:line="360" w:lineRule="auto"/>
              <w:jc w:val="center"/>
            </w:pPr>
            <w:r>
              <w:rPr>
                <w:rFonts w:ascii="宋体" w:hAnsi="宋体" w:hint="eastAsia"/>
              </w:rPr>
              <w:t>2026-02-05</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5568F4" w14:textId="77777777" w:rsidR="00A21555" w:rsidRDefault="00A21555">
            <w:pPr>
              <w:spacing w:line="360" w:lineRule="auto"/>
              <w:jc w:val="right"/>
            </w:pPr>
            <w:r>
              <w:rPr>
                <w:rFonts w:ascii="宋体" w:hAnsi="宋体" w:hint="eastAsia"/>
              </w:rPr>
              <w:t>39,405.00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A80B4B" w14:textId="77777777" w:rsidR="00A21555" w:rsidRDefault="00A21555">
            <w:pPr>
              <w:spacing w:line="360" w:lineRule="auto"/>
              <w:jc w:val="right"/>
            </w:pPr>
            <w:r>
              <w:rPr>
                <w:rFonts w:ascii="宋体" w:hAnsi="宋体" w:hint="eastAsia"/>
              </w:rPr>
              <w:t>-130,505.42</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C60DFF" w14:textId="77777777" w:rsidR="00A21555" w:rsidRDefault="00A21555">
            <w:pPr>
              <w:spacing w:line="360" w:lineRule="auto"/>
              <w:jc w:val="right"/>
            </w:pPr>
            <w:r>
              <w:rPr>
                <w:rFonts w:ascii="宋体" w:hAnsi="宋体" w:hint="eastAsia"/>
              </w:rPr>
              <w:t>-</w:t>
            </w:r>
            <w:r>
              <w:t xml:space="preserve"> </w:t>
            </w:r>
          </w:p>
        </w:tc>
      </w:tr>
      <w:tr w:rsidR="00814921" w14:paraId="29B64619" w14:textId="77777777">
        <w:trPr>
          <w:divId w:val="560989002"/>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5F75F4" w14:textId="77777777" w:rsidR="00A21555" w:rsidRDefault="00A21555">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3D0422" w14:textId="77777777" w:rsidR="00A21555" w:rsidRDefault="00A21555"/>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D454CE" w14:textId="77777777" w:rsidR="00A21555" w:rsidRDefault="00A21555">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C6557A" w14:textId="77777777" w:rsidR="00A21555" w:rsidRDefault="00A21555">
            <w:pPr>
              <w:spacing w:line="360" w:lineRule="auto"/>
              <w:jc w:val="right"/>
            </w:pPr>
            <w:r>
              <w:rPr>
                <w:rFonts w:ascii="宋体" w:hAnsi="宋体" w:hint="eastAsia"/>
              </w:rPr>
              <w:t>39,405.00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C9FFB6" w14:textId="77777777" w:rsidR="00A21555" w:rsidRDefault="00A21555">
            <w:pPr>
              <w:spacing w:line="360" w:lineRule="auto"/>
              <w:jc w:val="right"/>
            </w:pPr>
            <w:r>
              <w:rPr>
                <w:rFonts w:ascii="宋体" w:hAnsi="宋体" w:hint="eastAsia"/>
              </w:rPr>
              <w:t>-130,505.42</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63D383" w14:textId="77777777" w:rsidR="00A21555" w:rsidRDefault="00A21555"/>
        </w:tc>
      </w:tr>
    </w:tbl>
    <w:p w14:paraId="50ABEA26" w14:textId="77777777" w:rsidR="00A21555" w:rsidRDefault="00A21555">
      <w:pPr>
        <w:spacing w:line="360" w:lineRule="auto"/>
        <w:jc w:val="left"/>
        <w:divId w:val="1148131375"/>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6E428F11" w14:textId="77777777" w:rsidR="00A21555" w:rsidRDefault="00A21555">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0A776229" w14:textId="77777777" w:rsidR="00A21555" w:rsidRDefault="00A21555">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951"/>
        <w:gridCol w:w="1005"/>
        <w:gridCol w:w="1395"/>
        <w:gridCol w:w="1136"/>
        <w:gridCol w:w="1395"/>
        <w:gridCol w:w="1395"/>
        <w:gridCol w:w="1318"/>
      </w:tblGrid>
      <w:tr w:rsidR="00814921" w14:paraId="5F078A2F" w14:textId="77777777">
        <w:trPr>
          <w:divId w:val="812479078"/>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FD706D" w14:textId="77777777" w:rsidR="00A21555" w:rsidRDefault="00A21555">
            <w:pPr>
              <w:jc w:val="center"/>
            </w:pPr>
            <w:bookmarkStart w:id="347" w:name="OLE_LINK42"/>
            <w:bookmarkStart w:id="348" w:name="OLE_LINK41"/>
            <w:bookmarkStart w:id="349" w:name="m13_01"/>
            <w:bookmarkStart w:id="350" w:name="m13_01_01"/>
            <w:bookmarkStart w:id="351" w:name="_Toc433036733"/>
            <w:bookmarkStart w:id="352" w:name="m12_01"/>
            <w:bookmarkEnd w:id="22"/>
            <w:bookmarkEnd w:id="42"/>
            <w:bookmarkEnd w:id="43"/>
            <w:bookmarkEnd w:id="347"/>
            <w:bookmarkEnd w:id="348"/>
            <w:bookmarkEnd w:id="349"/>
            <w:bookmarkEnd w:id="350"/>
            <w:bookmarkEnd w:id="351"/>
            <w:bookmarkEnd w:id="35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CEBB8C" w14:textId="77777777" w:rsidR="00A21555" w:rsidRDefault="00A21555">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FDBB4E" w14:textId="77777777" w:rsidR="00A21555" w:rsidRDefault="00A21555">
            <w:pPr>
              <w:widowControl/>
              <w:jc w:val="center"/>
            </w:pPr>
            <w:r>
              <w:rPr>
                <w:rFonts w:ascii="宋体" w:hAnsi="宋体" w:hint="eastAsia"/>
                <w:color w:val="000000"/>
                <w:kern w:val="0"/>
              </w:rPr>
              <w:t xml:space="preserve">报告期末持有基金情况 </w:t>
            </w:r>
          </w:p>
        </w:tc>
      </w:tr>
      <w:tr w:rsidR="00814921" w14:paraId="54D04F6E" w14:textId="77777777">
        <w:trPr>
          <w:divId w:val="812479078"/>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4D07AA" w14:textId="77777777" w:rsidR="00A21555" w:rsidRDefault="00A21555">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2BCF64" w14:textId="77777777" w:rsidR="00A21555" w:rsidRDefault="00A21555">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BFDF81" w14:textId="77777777" w:rsidR="00A21555" w:rsidRDefault="00A21555">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EE5034" w14:textId="77777777" w:rsidR="00A21555" w:rsidRDefault="00A21555">
            <w:pPr>
              <w:widowControl/>
              <w:jc w:val="center"/>
            </w:pPr>
            <w:r>
              <w:rPr>
                <w:rFonts w:ascii="宋体" w:hAnsi="宋体" w:hint="eastAsia"/>
                <w:color w:val="000000"/>
                <w:kern w:val="0"/>
              </w:rPr>
              <w:t xml:space="preserve">期初 </w:t>
            </w:r>
          </w:p>
          <w:p w14:paraId="50878393" w14:textId="77777777" w:rsidR="00A21555" w:rsidRDefault="00A21555">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CF9071" w14:textId="77777777" w:rsidR="00A21555" w:rsidRDefault="00A21555">
            <w:pPr>
              <w:widowControl/>
              <w:jc w:val="center"/>
            </w:pPr>
            <w:r>
              <w:rPr>
                <w:rFonts w:ascii="宋体" w:hAnsi="宋体" w:hint="eastAsia"/>
                <w:color w:val="000000"/>
                <w:kern w:val="0"/>
              </w:rPr>
              <w:t xml:space="preserve">申购 </w:t>
            </w:r>
          </w:p>
          <w:p w14:paraId="2AE52A6D" w14:textId="77777777" w:rsidR="00A21555" w:rsidRDefault="00A21555">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995650" w14:textId="77777777" w:rsidR="00A21555" w:rsidRDefault="00A21555">
            <w:pPr>
              <w:widowControl/>
              <w:jc w:val="center"/>
            </w:pPr>
            <w:r>
              <w:rPr>
                <w:rFonts w:ascii="宋体" w:hAnsi="宋体" w:hint="eastAsia"/>
                <w:color w:val="000000"/>
                <w:kern w:val="0"/>
              </w:rPr>
              <w:t xml:space="preserve">赎回 </w:t>
            </w:r>
          </w:p>
          <w:p w14:paraId="7991162C" w14:textId="77777777" w:rsidR="00A21555" w:rsidRDefault="00A21555">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0C9164" w14:textId="77777777" w:rsidR="00A21555" w:rsidRDefault="00A21555">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328976" w14:textId="77777777" w:rsidR="00A21555" w:rsidRDefault="00A21555">
            <w:pPr>
              <w:widowControl/>
              <w:jc w:val="center"/>
            </w:pPr>
            <w:r>
              <w:rPr>
                <w:rFonts w:ascii="宋体" w:hAnsi="宋体" w:hint="eastAsia"/>
                <w:color w:val="000000"/>
                <w:kern w:val="0"/>
              </w:rPr>
              <w:t xml:space="preserve">份额占比 </w:t>
            </w:r>
          </w:p>
        </w:tc>
      </w:tr>
      <w:tr w:rsidR="00814921" w14:paraId="6A3E1CFD" w14:textId="77777777">
        <w:trPr>
          <w:divId w:val="812479078"/>
          <w:trHeight w:val="285"/>
        </w:trPr>
        <w:tc>
          <w:tcPr>
            <w:tcW w:w="12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840773" w14:textId="77777777" w:rsidR="00A21555" w:rsidRDefault="00A21555">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1EB479" w14:textId="77777777" w:rsidR="00A21555" w:rsidRDefault="00A21555">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FE5CCD" w14:textId="77777777" w:rsidR="00A21555" w:rsidRDefault="00A21555">
            <w:pPr>
              <w:widowControl/>
              <w:jc w:val="center"/>
            </w:pPr>
            <w:r>
              <w:rPr>
                <w:rFonts w:ascii="宋体" w:hAnsi="宋体" w:hint="eastAsia"/>
                <w:color w:val="000000"/>
                <w:szCs w:val="21"/>
              </w:rPr>
              <w:t>20260101-20260331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3AEBF4" w14:textId="77777777" w:rsidR="00A21555" w:rsidRDefault="00A21555">
            <w:pPr>
              <w:widowControl/>
              <w:jc w:val="right"/>
            </w:pPr>
            <w:r>
              <w:rPr>
                <w:rFonts w:ascii="宋体" w:hAnsi="宋体" w:hint="eastAsia"/>
                <w:color w:val="000000"/>
                <w:szCs w:val="21"/>
              </w:rPr>
              <w:t>44,000,000.00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7AD46C" w14:textId="77777777" w:rsidR="00A21555" w:rsidRDefault="00A21555">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33F279" w14:textId="77777777" w:rsidR="00A21555" w:rsidRDefault="00A21555">
            <w:pPr>
              <w:widowControl/>
              <w:jc w:val="right"/>
            </w:pPr>
            <w:r>
              <w:rPr>
                <w:rFonts w:ascii="宋体" w:hAnsi="宋体" w:hint="eastAsia"/>
                <w:color w:val="000000"/>
                <w:szCs w:val="21"/>
              </w:rPr>
              <w:t>16,000,000.00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E9F17D" w14:textId="77777777" w:rsidR="00A21555" w:rsidRDefault="00A21555">
            <w:pPr>
              <w:widowControl/>
              <w:jc w:val="right"/>
            </w:pPr>
            <w:r>
              <w:rPr>
                <w:rFonts w:ascii="宋体" w:hAnsi="宋体" w:hint="eastAsia"/>
                <w:color w:val="000000"/>
                <w:szCs w:val="21"/>
              </w:rPr>
              <w:t>28,000,000.00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E2009C" w14:textId="77777777" w:rsidR="00A21555" w:rsidRDefault="00A21555">
            <w:pPr>
              <w:widowControl/>
              <w:jc w:val="right"/>
            </w:pPr>
            <w:r>
              <w:rPr>
                <w:rFonts w:ascii="宋体" w:hAnsi="宋体" w:hint="eastAsia"/>
                <w:color w:val="000000"/>
                <w:szCs w:val="21"/>
              </w:rPr>
              <w:t>35.57</w:t>
            </w:r>
            <w:r>
              <w:rPr>
                <w:szCs w:val="21"/>
              </w:rPr>
              <w:t>%</w:t>
            </w:r>
            <w:r>
              <w:t xml:space="preserve"> </w:t>
            </w:r>
          </w:p>
        </w:tc>
      </w:tr>
      <w:tr w:rsidR="00814921" w14:paraId="5CEE9B5B" w14:textId="77777777">
        <w:trPr>
          <w:divId w:val="812479078"/>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EAF837" w14:textId="77777777" w:rsidR="00A21555" w:rsidRDefault="00A21555">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413BCF" w14:textId="77777777" w:rsidR="00A21555" w:rsidRDefault="00A21555">
            <w:pPr>
              <w:widowControl/>
              <w:jc w:val="center"/>
            </w:pPr>
            <w:r>
              <w:rPr>
                <w:rFonts w:ascii="宋体" w:hAnsi="宋体" w:hint="eastAsia"/>
                <w:color w:val="000000"/>
                <w:szCs w:val="21"/>
              </w:rPr>
              <w:t>2</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A04858" w14:textId="77777777" w:rsidR="00A21555" w:rsidRDefault="00A21555">
            <w:pPr>
              <w:widowControl/>
              <w:jc w:val="center"/>
            </w:pPr>
            <w:r>
              <w:rPr>
                <w:rFonts w:ascii="宋体" w:hAnsi="宋体" w:hint="eastAsia"/>
                <w:color w:val="000000"/>
                <w:szCs w:val="21"/>
              </w:rPr>
              <w:t>20260101-20260331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043123" w14:textId="77777777" w:rsidR="00A21555" w:rsidRDefault="00A21555">
            <w:pPr>
              <w:widowControl/>
              <w:jc w:val="right"/>
            </w:pPr>
            <w:r>
              <w:rPr>
                <w:rFonts w:ascii="宋体" w:hAnsi="宋体" w:hint="eastAsia"/>
                <w:color w:val="000000"/>
                <w:szCs w:val="21"/>
              </w:rPr>
              <w:t>33,471,348.24</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DDC508" w14:textId="77777777" w:rsidR="00A21555" w:rsidRDefault="00A21555">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DCC262" w14:textId="77777777" w:rsidR="00A21555" w:rsidRDefault="00A21555">
            <w:pPr>
              <w:widowControl/>
              <w:jc w:val="right"/>
            </w:pPr>
            <w:r>
              <w:rPr>
                <w:rFonts w:ascii="宋体" w:hAnsi="宋体" w:hint="eastAsia"/>
                <w:color w:val="000000"/>
                <w:szCs w:val="21"/>
              </w:rPr>
              <w:t>9,471,348.24</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1A1AD3" w14:textId="77777777" w:rsidR="00A21555" w:rsidRDefault="00A21555">
            <w:pPr>
              <w:widowControl/>
              <w:jc w:val="right"/>
            </w:pPr>
            <w:r>
              <w:rPr>
                <w:rFonts w:ascii="宋体" w:hAnsi="宋体" w:hint="eastAsia"/>
                <w:color w:val="000000"/>
                <w:szCs w:val="21"/>
              </w:rPr>
              <w:t>24,000,000.00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83AF73" w14:textId="77777777" w:rsidR="00A21555" w:rsidRDefault="00A21555">
            <w:pPr>
              <w:widowControl/>
              <w:jc w:val="right"/>
            </w:pPr>
            <w:r>
              <w:rPr>
                <w:rFonts w:ascii="宋体" w:hAnsi="宋体" w:hint="eastAsia"/>
                <w:color w:val="000000"/>
                <w:szCs w:val="21"/>
              </w:rPr>
              <w:t>30.49</w:t>
            </w:r>
            <w:r>
              <w:rPr>
                <w:szCs w:val="21"/>
              </w:rPr>
              <w:t>%</w:t>
            </w:r>
            <w:r>
              <w:t xml:space="preserve"> </w:t>
            </w:r>
          </w:p>
        </w:tc>
      </w:tr>
      <w:tr w:rsidR="00814921" w14:paraId="2858D894" w14:textId="77777777">
        <w:trPr>
          <w:divId w:val="812479078"/>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CAD4F7" w14:textId="77777777" w:rsidR="00A21555" w:rsidRDefault="00A21555">
            <w:pPr>
              <w:widowControl/>
              <w:jc w:val="center"/>
            </w:pPr>
            <w:r>
              <w:rPr>
                <w:rFonts w:ascii="宋体" w:hAnsi="宋体" w:hint="eastAsia"/>
                <w:color w:val="000000"/>
                <w:kern w:val="0"/>
              </w:rPr>
              <w:t xml:space="preserve">产品特有风险 </w:t>
            </w:r>
          </w:p>
        </w:tc>
      </w:tr>
      <w:tr w:rsidR="00814921" w14:paraId="1712CFA1" w14:textId="77777777">
        <w:trPr>
          <w:divId w:val="812479078"/>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797F3A" w14:textId="77777777" w:rsidR="00A21555" w:rsidRDefault="00A21555">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47B41B32" w14:textId="77777777" w:rsidR="00A21555" w:rsidRDefault="00A21555">
      <w:pPr>
        <w:pStyle w:val="XBRLTitle1"/>
        <w:spacing w:before="156" w:line="360" w:lineRule="auto"/>
        <w:ind w:left="425"/>
      </w:pPr>
      <w:bookmarkStart w:id="353" w:name="_Toc17898228"/>
      <w:bookmarkStart w:id="354" w:name="_Toc17897969"/>
      <w:bookmarkStart w:id="355" w:name="_Toc512519529"/>
      <w:bookmarkStart w:id="356" w:name="_Toc490050049"/>
      <w:bookmarkStart w:id="357" w:name="_Toc481075097"/>
      <w:bookmarkStart w:id="358" w:name="_Toc438646481"/>
      <w:bookmarkStart w:id="359" w:name="_Toc513295878"/>
      <w:bookmarkStart w:id="360" w:name="_Toc513295941"/>
      <w:bookmarkEnd w:id="339"/>
      <w:proofErr w:type="spellStart"/>
      <w:r>
        <w:rPr>
          <w:rFonts w:hAnsi="宋体" w:hint="eastAsia"/>
        </w:rPr>
        <w:t>备查文件目录</w:t>
      </w:r>
      <w:bookmarkEnd w:id="353"/>
      <w:bookmarkEnd w:id="354"/>
      <w:bookmarkEnd w:id="355"/>
      <w:bookmarkEnd w:id="356"/>
      <w:bookmarkEnd w:id="357"/>
      <w:bookmarkEnd w:id="358"/>
      <w:bookmarkEnd w:id="359"/>
      <w:bookmarkEnd w:id="360"/>
      <w:proofErr w:type="spellEnd"/>
      <w:r>
        <w:rPr>
          <w:rFonts w:hAnsi="宋体" w:hint="eastAsia"/>
        </w:rPr>
        <w:t xml:space="preserve"> </w:t>
      </w:r>
    </w:p>
    <w:p w14:paraId="6384207C" w14:textId="77777777" w:rsidR="00A21555" w:rsidRDefault="00A21555">
      <w:pPr>
        <w:pStyle w:val="XBRLTitle2"/>
        <w:spacing w:before="156" w:line="360" w:lineRule="auto"/>
        <w:ind w:left="454"/>
      </w:pPr>
      <w:bookmarkStart w:id="361" w:name="_Toc438646482"/>
      <w:bookmarkStart w:id="362" w:name="_Toc17898229"/>
      <w:bookmarkStart w:id="363" w:name="_Toc17897970"/>
      <w:bookmarkStart w:id="364" w:name="_Toc512519530"/>
      <w:bookmarkStart w:id="365" w:name="_Toc481075098"/>
      <w:bookmarkStart w:id="366" w:name="_Toc490050050"/>
      <w:bookmarkStart w:id="367" w:name="_Toc513295879"/>
      <w:bookmarkStart w:id="368" w:name="_Toc513295942"/>
      <w:bookmarkStart w:id="369" w:name="m801_01_1733"/>
      <w:proofErr w:type="spellStart"/>
      <w:r>
        <w:rPr>
          <w:rFonts w:hAnsi="宋体" w:hint="eastAsia"/>
        </w:rPr>
        <w:lastRenderedPageBreak/>
        <w:t>备查文件目录</w:t>
      </w:r>
      <w:bookmarkEnd w:id="361"/>
      <w:bookmarkEnd w:id="362"/>
      <w:bookmarkEnd w:id="363"/>
      <w:bookmarkEnd w:id="364"/>
      <w:bookmarkEnd w:id="365"/>
      <w:bookmarkEnd w:id="366"/>
      <w:bookmarkEnd w:id="367"/>
      <w:bookmarkEnd w:id="368"/>
      <w:proofErr w:type="spellEnd"/>
      <w:r>
        <w:rPr>
          <w:rFonts w:hAnsi="宋体" w:hint="eastAsia"/>
        </w:rPr>
        <w:t xml:space="preserve"> </w:t>
      </w:r>
    </w:p>
    <w:p w14:paraId="5EDF0E49" w14:textId="77777777" w:rsidR="00A21555" w:rsidRDefault="00A21555">
      <w:pPr>
        <w:spacing w:line="360" w:lineRule="auto"/>
        <w:ind w:firstLineChars="200" w:firstLine="420"/>
        <w:jc w:val="left"/>
      </w:pPr>
      <w:r>
        <w:rPr>
          <w:rFonts w:ascii="宋体" w:hAnsi="宋体" w:cs="宋体" w:hint="eastAsia"/>
          <w:color w:val="000000"/>
          <w:kern w:val="0"/>
        </w:rPr>
        <w:t>(一)中国证监会批准本基金募集的文件</w:t>
      </w:r>
      <w:r>
        <w:rPr>
          <w:rFonts w:ascii="宋体" w:hAnsi="宋体" w:cs="宋体" w:hint="eastAsia"/>
          <w:color w:val="000000"/>
          <w:kern w:val="0"/>
        </w:rPr>
        <w:br/>
        <w:t xml:space="preserve">　　(二)摩根健康品质生活混合型证券投资基金基金合同</w:t>
      </w:r>
      <w:r>
        <w:rPr>
          <w:rFonts w:ascii="宋体" w:hAnsi="宋体" w:cs="宋体" w:hint="eastAsia"/>
          <w:color w:val="000000"/>
          <w:kern w:val="0"/>
        </w:rPr>
        <w:br/>
        <w:t xml:space="preserve">　　(三)摩根健康品质生活混合型证券投资基金托管协议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2E33ED2C" w14:textId="77777777" w:rsidR="00A21555" w:rsidRDefault="00A21555">
      <w:pPr>
        <w:pStyle w:val="XBRLTitle2"/>
        <w:spacing w:before="156" w:line="360" w:lineRule="auto"/>
        <w:ind w:left="454"/>
      </w:pPr>
      <w:bookmarkStart w:id="370" w:name="_Toc438646483"/>
      <w:bookmarkStart w:id="371" w:name="_Toc17898230"/>
      <w:bookmarkStart w:id="372" w:name="_Toc17897971"/>
      <w:bookmarkStart w:id="373" w:name="_Toc512519531"/>
      <w:bookmarkStart w:id="374" w:name="_Toc481075099"/>
      <w:bookmarkStart w:id="375" w:name="_Toc490050051"/>
      <w:bookmarkStart w:id="376" w:name="_Toc513295880"/>
      <w:bookmarkStart w:id="377" w:name="_Toc513295943"/>
      <w:bookmarkStart w:id="378" w:name="m801_01_1734"/>
      <w:bookmarkEnd w:id="369"/>
      <w:proofErr w:type="spellStart"/>
      <w:r>
        <w:rPr>
          <w:rFonts w:hAnsi="宋体" w:hint="eastAsia"/>
        </w:rPr>
        <w:t>存放地点</w:t>
      </w:r>
      <w:bookmarkEnd w:id="370"/>
      <w:bookmarkEnd w:id="371"/>
      <w:bookmarkEnd w:id="372"/>
      <w:bookmarkEnd w:id="373"/>
      <w:bookmarkEnd w:id="374"/>
      <w:bookmarkEnd w:id="375"/>
      <w:bookmarkEnd w:id="376"/>
      <w:bookmarkEnd w:id="377"/>
      <w:proofErr w:type="spellEnd"/>
      <w:r>
        <w:rPr>
          <w:rFonts w:hAnsi="宋体" w:hint="eastAsia"/>
        </w:rPr>
        <w:t xml:space="preserve"> </w:t>
      </w:r>
    </w:p>
    <w:p w14:paraId="191E84FB" w14:textId="77777777" w:rsidR="00A21555" w:rsidRDefault="00A21555">
      <w:pPr>
        <w:spacing w:line="360" w:lineRule="auto"/>
        <w:ind w:firstLineChars="200" w:firstLine="420"/>
        <w:jc w:val="left"/>
      </w:pPr>
      <w:r>
        <w:rPr>
          <w:rFonts w:ascii="宋体" w:hAnsi="宋体" w:cs="宋体" w:hint="eastAsia"/>
          <w:color w:val="000000"/>
          <w:kern w:val="0"/>
        </w:rPr>
        <w:t>基金管理人或基金托管人住所。</w:t>
      </w:r>
    </w:p>
    <w:p w14:paraId="42E05C69" w14:textId="77777777" w:rsidR="00A21555" w:rsidRDefault="00A21555">
      <w:pPr>
        <w:pStyle w:val="XBRLTitle2"/>
        <w:spacing w:before="156" w:line="360" w:lineRule="auto"/>
        <w:ind w:left="454"/>
      </w:pPr>
      <w:bookmarkStart w:id="379" w:name="_Toc438646484"/>
      <w:bookmarkStart w:id="380" w:name="_Toc17898231"/>
      <w:bookmarkStart w:id="381" w:name="_Toc17897972"/>
      <w:bookmarkStart w:id="382" w:name="_Toc512519532"/>
      <w:bookmarkStart w:id="383" w:name="_Toc481075100"/>
      <w:bookmarkStart w:id="384" w:name="_Toc490050052"/>
      <w:bookmarkStart w:id="385" w:name="_Toc513295881"/>
      <w:bookmarkStart w:id="386" w:name="_Toc513295944"/>
      <w:bookmarkStart w:id="387" w:name="m801_01_1735"/>
      <w:bookmarkEnd w:id="378"/>
      <w:proofErr w:type="spellStart"/>
      <w:r>
        <w:rPr>
          <w:rFonts w:hAnsi="宋体" w:hint="eastAsia"/>
        </w:rPr>
        <w:t>查阅方式</w:t>
      </w:r>
      <w:bookmarkEnd w:id="379"/>
      <w:bookmarkEnd w:id="380"/>
      <w:bookmarkEnd w:id="381"/>
      <w:bookmarkEnd w:id="382"/>
      <w:bookmarkEnd w:id="383"/>
      <w:bookmarkEnd w:id="384"/>
      <w:bookmarkEnd w:id="385"/>
      <w:bookmarkEnd w:id="386"/>
      <w:proofErr w:type="spellEnd"/>
      <w:r>
        <w:rPr>
          <w:rFonts w:hAnsi="宋体" w:hint="eastAsia"/>
        </w:rPr>
        <w:t xml:space="preserve"> </w:t>
      </w:r>
    </w:p>
    <w:p w14:paraId="34461012" w14:textId="77777777" w:rsidR="00A21555" w:rsidRDefault="00A21555">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7"/>
    <w:p w14:paraId="7EE359E7" w14:textId="77777777" w:rsidR="00A21555" w:rsidRDefault="00A21555">
      <w:pPr>
        <w:spacing w:line="360" w:lineRule="auto"/>
        <w:ind w:firstLineChars="600" w:firstLine="1687"/>
        <w:jc w:val="left"/>
      </w:pPr>
      <w:r>
        <w:rPr>
          <w:rFonts w:ascii="宋体" w:hAnsi="宋体" w:hint="eastAsia"/>
          <w:b/>
          <w:bCs/>
          <w:sz w:val="28"/>
          <w:szCs w:val="30"/>
        </w:rPr>
        <w:t xml:space="preserve">　 </w:t>
      </w:r>
    </w:p>
    <w:p w14:paraId="72FCEB2D" w14:textId="77777777" w:rsidR="00A21555" w:rsidRDefault="00A21555">
      <w:pPr>
        <w:spacing w:line="360" w:lineRule="auto"/>
        <w:ind w:firstLineChars="600" w:firstLine="1687"/>
        <w:jc w:val="left"/>
      </w:pPr>
      <w:r>
        <w:rPr>
          <w:rFonts w:ascii="宋体" w:hAnsi="宋体" w:hint="eastAsia"/>
          <w:b/>
          <w:bCs/>
          <w:sz w:val="28"/>
          <w:szCs w:val="30"/>
        </w:rPr>
        <w:t xml:space="preserve">　 </w:t>
      </w:r>
    </w:p>
    <w:p w14:paraId="6BD70BB7" w14:textId="77777777" w:rsidR="00A21555" w:rsidRDefault="00A21555">
      <w:pPr>
        <w:spacing w:line="360" w:lineRule="auto"/>
        <w:ind w:firstLineChars="600" w:firstLine="1446"/>
        <w:jc w:val="right"/>
      </w:pPr>
      <w:r>
        <w:rPr>
          <w:rFonts w:ascii="宋体" w:hAnsi="宋体" w:hint="eastAsia"/>
          <w:b/>
          <w:bCs/>
          <w:sz w:val="24"/>
          <w:szCs w:val="24"/>
        </w:rPr>
        <w:t>摩根基金管理（中国）有限公司</w:t>
      </w:r>
    </w:p>
    <w:p w14:paraId="33E95AC0" w14:textId="77777777" w:rsidR="00A21555" w:rsidRDefault="00A21555">
      <w:pPr>
        <w:spacing w:line="360" w:lineRule="auto"/>
        <w:ind w:firstLineChars="600" w:firstLine="1446"/>
        <w:jc w:val="right"/>
      </w:pPr>
      <w:r>
        <w:rPr>
          <w:rFonts w:ascii="宋体" w:hAnsi="宋体" w:hint="eastAsia"/>
          <w:b/>
          <w:bCs/>
          <w:sz w:val="24"/>
          <w:szCs w:val="24"/>
        </w:rPr>
        <w:t>2026年4月22日</w:t>
      </w:r>
      <w:bookmarkEnd w:id="23"/>
    </w:p>
    <w:sectPr w:rsidR="00A21555">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3297F" w14:textId="77777777" w:rsidR="00AC0D55" w:rsidRDefault="00AC0D55">
      <w:pPr>
        <w:rPr>
          <w:szCs w:val="21"/>
        </w:rPr>
      </w:pPr>
      <w:r>
        <w:rPr>
          <w:szCs w:val="21"/>
        </w:rPr>
        <w:separator/>
      </w:r>
      <w:r>
        <w:rPr>
          <w:szCs w:val="21"/>
        </w:rPr>
        <w:t xml:space="preserve"> </w:t>
      </w:r>
    </w:p>
  </w:endnote>
  <w:endnote w:type="continuationSeparator" w:id="0">
    <w:p w14:paraId="14A1F313" w14:textId="77777777" w:rsidR="00AC0D55" w:rsidRDefault="00AC0D55">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540A5" w14:textId="77777777" w:rsidR="00A21555" w:rsidRDefault="00A21555">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61075" w14:textId="77777777" w:rsidR="00AC0D55" w:rsidRDefault="00AC0D55">
      <w:pPr>
        <w:rPr>
          <w:szCs w:val="21"/>
        </w:rPr>
      </w:pPr>
      <w:r>
        <w:rPr>
          <w:szCs w:val="21"/>
        </w:rPr>
        <w:separator/>
      </w:r>
      <w:r>
        <w:rPr>
          <w:szCs w:val="21"/>
        </w:rPr>
        <w:t xml:space="preserve"> </w:t>
      </w:r>
    </w:p>
  </w:footnote>
  <w:footnote w:type="continuationSeparator" w:id="0">
    <w:p w14:paraId="7CEC31BB" w14:textId="77777777" w:rsidR="00AC0D55" w:rsidRDefault="00AC0D55">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5A91" w14:textId="77777777" w:rsidR="00A21555" w:rsidRDefault="00A21555">
    <w:pPr>
      <w:pStyle w:val="a8"/>
      <w:jc w:val="right"/>
    </w:pPr>
    <w:r>
      <w:rPr>
        <w:rFonts w:ascii="宋体" w:hAnsi="宋体" w:hint="eastAsia"/>
      </w:rPr>
      <w:t>摩根健康品质生活混合型证券投资基金2026年第1季度报告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947080075">
    <w:abstractNumId w:val="0"/>
  </w:num>
  <w:num w:numId="2" w16cid:durableId="17571657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4F6"/>
    <w:rsid w:val="003A0F39"/>
    <w:rsid w:val="007542F2"/>
    <w:rsid w:val="00814921"/>
    <w:rsid w:val="00826E73"/>
    <w:rsid w:val="00873892"/>
    <w:rsid w:val="008D4350"/>
    <w:rsid w:val="00A21555"/>
    <w:rsid w:val="00AC0D55"/>
    <w:rsid w:val="00C024F6"/>
    <w:rsid w:val="00C11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36532C15"/>
  <w15:chartTrackingRefBased/>
  <w15:docId w15:val="{D30AE453-8B6E-4708-8A03-4CB097F7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 w:type="paragraph" w:styleId="af9">
    <w:name w:val="Revision"/>
    <w:hidden/>
    <w:uiPriority w:val="99"/>
    <w:semiHidden/>
    <w:rsid w:val="007542F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52231">
      <w:marLeft w:val="0"/>
      <w:marRight w:val="0"/>
      <w:marTop w:val="0"/>
      <w:marBottom w:val="0"/>
      <w:divBdr>
        <w:top w:val="none" w:sz="0" w:space="0" w:color="auto"/>
        <w:left w:val="none" w:sz="0" w:space="0" w:color="auto"/>
        <w:bottom w:val="none" w:sz="0" w:space="0" w:color="auto"/>
        <w:right w:val="none" w:sz="0" w:space="0" w:color="auto"/>
      </w:divBdr>
    </w:div>
    <w:div w:id="219096796">
      <w:marLeft w:val="0"/>
      <w:marRight w:val="0"/>
      <w:marTop w:val="0"/>
      <w:marBottom w:val="0"/>
      <w:divBdr>
        <w:top w:val="none" w:sz="0" w:space="0" w:color="auto"/>
        <w:left w:val="none" w:sz="0" w:space="0" w:color="auto"/>
        <w:bottom w:val="none" w:sz="0" w:space="0" w:color="auto"/>
        <w:right w:val="none" w:sz="0" w:space="0" w:color="auto"/>
      </w:divBdr>
    </w:div>
    <w:div w:id="331418765">
      <w:marLeft w:val="0"/>
      <w:marRight w:val="0"/>
      <w:marTop w:val="0"/>
      <w:marBottom w:val="0"/>
      <w:divBdr>
        <w:top w:val="none" w:sz="0" w:space="0" w:color="auto"/>
        <w:left w:val="none" w:sz="0" w:space="0" w:color="auto"/>
        <w:bottom w:val="none" w:sz="0" w:space="0" w:color="auto"/>
        <w:right w:val="none" w:sz="0" w:space="0" w:color="auto"/>
      </w:divBdr>
    </w:div>
    <w:div w:id="431247160">
      <w:marLeft w:val="0"/>
      <w:marRight w:val="0"/>
      <w:marTop w:val="0"/>
      <w:marBottom w:val="0"/>
      <w:divBdr>
        <w:top w:val="none" w:sz="0" w:space="0" w:color="auto"/>
        <w:left w:val="none" w:sz="0" w:space="0" w:color="auto"/>
        <w:bottom w:val="none" w:sz="0" w:space="0" w:color="auto"/>
        <w:right w:val="none" w:sz="0" w:space="0" w:color="auto"/>
      </w:divBdr>
      <w:divsChild>
        <w:div w:id="2069525182">
          <w:marLeft w:val="0"/>
          <w:marRight w:val="0"/>
          <w:marTop w:val="0"/>
          <w:marBottom w:val="0"/>
          <w:divBdr>
            <w:top w:val="none" w:sz="0" w:space="0" w:color="auto"/>
            <w:left w:val="none" w:sz="0" w:space="0" w:color="auto"/>
            <w:bottom w:val="none" w:sz="0" w:space="0" w:color="auto"/>
            <w:right w:val="none" w:sz="0" w:space="0" w:color="auto"/>
          </w:divBdr>
        </w:div>
      </w:divsChild>
    </w:div>
    <w:div w:id="599677011">
      <w:marLeft w:val="0"/>
      <w:marRight w:val="0"/>
      <w:marTop w:val="0"/>
      <w:marBottom w:val="0"/>
      <w:divBdr>
        <w:top w:val="none" w:sz="0" w:space="0" w:color="auto"/>
        <w:left w:val="none" w:sz="0" w:space="0" w:color="auto"/>
        <w:bottom w:val="none" w:sz="0" w:space="0" w:color="auto"/>
        <w:right w:val="none" w:sz="0" w:space="0" w:color="auto"/>
      </w:divBdr>
    </w:div>
    <w:div w:id="649407042">
      <w:marLeft w:val="0"/>
      <w:marRight w:val="0"/>
      <w:marTop w:val="0"/>
      <w:marBottom w:val="0"/>
      <w:divBdr>
        <w:top w:val="none" w:sz="0" w:space="0" w:color="auto"/>
        <w:left w:val="none" w:sz="0" w:space="0" w:color="auto"/>
        <w:bottom w:val="none" w:sz="0" w:space="0" w:color="auto"/>
        <w:right w:val="none" w:sz="0" w:space="0" w:color="auto"/>
      </w:divBdr>
    </w:div>
    <w:div w:id="779835826">
      <w:marLeft w:val="0"/>
      <w:marRight w:val="0"/>
      <w:marTop w:val="0"/>
      <w:marBottom w:val="0"/>
      <w:divBdr>
        <w:top w:val="none" w:sz="0" w:space="0" w:color="auto"/>
        <w:left w:val="none" w:sz="0" w:space="0" w:color="auto"/>
        <w:bottom w:val="none" w:sz="0" w:space="0" w:color="auto"/>
        <w:right w:val="none" w:sz="0" w:space="0" w:color="auto"/>
      </w:divBdr>
      <w:divsChild>
        <w:div w:id="746924977">
          <w:marLeft w:val="0"/>
          <w:marRight w:val="0"/>
          <w:marTop w:val="0"/>
          <w:marBottom w:val="0"/>
          <w:divBdr>
            <w:top w:val="none" w:sz="0" w:space="0" w:color="auto"/>
            <w:left w:val="none" w:sz="0" w:space="0" w:color="auto"/>
            <w:bottom w:val="none" w:sz="0" w:space="0" w:color="auto"/>
            <w:right w:val="none" w:sz="0" w:space="0" w:color="auto"/>
          </w:divBdr>
        </w:div>
      </w:divsChild>
    </w:div>
    <w:div w:id="802500112">
      <w:marLeft w:val="0"/>
      <w:marRight w:val="0"/>
      <w:marTop w:val="0"/>
      <w:marBottom w:val="0"/>
      <w:divBdr>
        <w:top w:val="none" w:sz="0" w:space="0" w:color="auto"/>
        <w:left w:val="none" w:sz="0" w:space="0" w:color="auto"/>
        <w:bottom w:val="none" w:sz="0" w:space="0" w:color="auto"/>
        <w:right w:val="none" w:sz="0" w:space="0" w:color="auto"/>
      </w:divBdr>
    </w:div>
    <w:div w:id="983851707">
      <w:marLeft w:val="0"/>
      <w:marRight w:val="0"/>
      <w:marTop w:val="0"/>
      <w:marBottom w:val="0"/>
      <w:divBdr>
        <w:top w:val="none" w:sz="0" w:space="0" w:color="auto"/>
        <w:left w:val="none" w:sz="0" w:space="0" w:color="auto"/>
        <w:bottom w:val="none" w:sz="0" w:space="0" w:color="auto"/>
        <w:right w:val="none" w:sz="0" w:space="0" w:color="auto"/>
      </w:divBdr>
      <w:divsChild>
        <w:div w:id="515265747">
          <w:marLeft w:val="0"/>
          <w:marRight w:val="0"/>
          <w:marTop w:val="0"/>
          <w:marBottom w:val="0"/>
          <w:divBdr>
            <w:top w:val="none" w:sz="0" w:space="0" w:color="auto"/>
            <w:left w:val="none" w:sz="0" w:space="0" w:color="auto"/>
            <w:bottom w:val="none" w:sz="0" w:space="0" w:color="auto"/>
            <w:right w:val="none" w:sz="0" w:space="0" w:color="auto"/>
          </w:divBdr>
        </w:div>
        <w:div w:id="1033001214">
          <w:marLeft w:val="0"/>
          <w:marRight w:val="0"/>
          <w:marTop w:val="0"/>
          <w:marBottom w:val="0"/>
          <w:divBdr>
            <w:top w:val="none" w:sz="0" w:space="0" w:color="auto"/>
            <w:left w:val="none" w:sz="0" w:space="0" w:color="auto"/>
            <w:bottom w:val="none" w:sz="0" w:space="0" w:color="auto"/>
            <w:right w:val="none" w:sz="0" w:space="0" w:color="auto"/>
          </w:divBdr>
        </w:div>
      </w:divsChild>
    </w:div>
    <w:div w:id="1049691691">
      <w:marLeft w:val="0"/>
      <w:marRight w:val="0"/>
      <w:marTop w:val="0"/>
      <w:marBottom w:val="0"/>
      <w:divBdr>
        <w:top w:val="none" w:sz="0" w:space="0" w:color="auto"/>
        <w:left w:val="none" w:sz="0" w:space="0" w:color="auto"/>
        <w:bottom w:val="none" w:sz="0" w:space="0" w:color="auto"/>
        <w:right w:val="none" w:sz="0" w:space="0" w:color="auto"/>
      </w:divBdr>
      <w:divsChild>
        <w:div w:id="2011256536">
          <w:marLeft w:val="0"/>
          <w:marRight w:val="0"/>
          <w:marTop w:val="0"/>
          <w:marBottom w:val="0"/>
          <w:divBdr>
            <w:top w:val="none" w:sz="0" w:space="0" w:color="auto"/>
            <w:left w:val="none" w:sz="0" w:space="0" w:color="auto"/>
            <w:bottom w:val="none" w:sz="0" w:space="0" w:color="auto"/>
            <w:right w:val="none" w:sz="0" w:space="0" w:color="auto"/>
          </w:divBdr>
        </w:div>
      </w:divsChild>
    </w:div>
    <w:div w:id="1148131375">
      <w:marLeft w:val="0"/>
      <w:marRight w:val="0"/>
      <w:marTop w:val="0"/>
      <w:marBottom w:val="0"/>
      <w:divBdr>
        <w:top w:val="none" w:sz="0" w:space="0" w:color="auto"/>
        <w:left w:val="none" w:sz="0" w:space="0" w:color="auto"/>
        <w:bottom w:val="none" w:sz="0" w:space="0" w:color="auto"/>
        <w:right w:val="none" w:sz="0" w:space="0" w:color="auto"/>
      </w:divBdr>
      <w:divsChild>
        <w:div w:id="560989002">
          <w:marLeft w:val="0"/>
          <w:marRight w:val="0"/>
          <w:marTop w:val="0"/>
          <w:marBottom w:val="0"/>
          <w:divBdr>
            <w:top w:val="none" w:sz="0" w:space="0" w:color="auto"/>
            <w:left w:val="none" w:sz="0" w:space="0" w:color="auto"/>
            <w:bottom w:val="none" w:sz="0" w:space="0" w:color="auto"/>
            <w:right w:val="none" w:sz="0" w:space="0" w:color="auto"/>
          </w:divBdr>
        </w:div>
      </w:divsChild>
    </w:div>
    <w:div w:id="1222868507">
      <w:marLeft w:val="0"/>
      <w:marRight w:val="0"/>
      <w:marTop w:val="0"/>
      <w:marBottom w:val="0"/>
      <w:divBdr>
        <w:top w:val="none" w:sz="0" w:space="0" w:color="auto"/>
        <w:left w:val="none" w:sz="0" w:space="0" w:color="auto"/>
        <w:bottom w:val="none" w:sz="0" w:space="0" w:color="auto"/>
        <w:right w:val="none" w:sz="0" w:space="0" w:color="auto"/>
      </w:divBdr>
    </w:div>
    <w:div w:id="1311062006">
      <w:marLeft w:val="0"/>
      <w:marRight w:val="0"/>
      <w:marTop w:val="0"/>
      <w:marBottom w:val="0"/>
      <w:divBdr>
        <w:top w:val="none" w:sz="0" w:space="0" w:color="auto"/>
        <w:left w:val="none" w:sz="0" w:space="0" w:color="auto"/>
        <w:bottom w:val="none" w:sz="0" w:space="0" w:color="auto"/>
        <w:right w:val="none" w:sz="0" w:space="0" w:color="auto"/>
      </w:divBdr>
    </w:div>
    <w:div w:id="1312826589">
      <w:marLeft w:val="0"/>
      <w:marRight w:val="0"/>
      <w:marTop w:val="0"/>
      <w:marBottom w:val="0"/>
      <w:divBdr>
        <w:top w:val="none" w:sz="0" w:space="0" w:color="auto"/>
        <w:left w:val="none" w:sz="0" w:space="0" w:color="auto"/>
        <w:bottom w:val="none" w:sz="0" w:space="0" w:color="auto"/>
        <w:right w:val="none" w:sz="0" w:space="0" w:color="auto"/>
      </w:divBdr>
    </w:div>
    <w:div w:id="1344169162">
      <w:marLeft w:val="0"/>
      <w:marRight w:val="0"/>
      <w:marTop w:val="0"/>
      <w:marBottom w:val="0"/>
      <w:divBdr>
        <w:top w:val="none" w:sz="0" w:space="0" w:color="auto"/>
        <w:left w:val="none" w:sz="0" w:space="0" w:color="auto"/>
        <w:bottom w:val="none" w:sz="0" w:space="0" w:color="auto"/>
        <w:right w:val="none" w:sz="0" w:space="0" w:color="auto"/>
      </w:divBdr>
      <w:divsChild>
        <w:div w:id="678393099">
          <w:marLeft w:val="0"/>
          <w:marRight w:val="0"/>
          <w:marTop w:val="0"/>
          <w:marBottom w:val="0"/>
          <w:divBdr>
            <w:top w:val="none" w:sz="0" w:space="0" w:color="auto"/>
            <w:left w:val="none" w:sz="0" w:space="0" w:color="auto"/>
            <w:bottom w:val="none" w:sz="0" w:space="0" w:color="auto"/>
            <w:right w:val="none" w:sz="0" w:space="0" w:color="auto"/>
          </w:divBdr>
        </w:div>
      </w:divsChild>
    </w:div>
    <w:div w:id="1367020142">
      <w:marLeft w:val="0"/>
      <w:marRight w:val="0"/>
      <w:marTop w:val="0"/>
      <w:marBottom w:val="0"/>
      <w:divBdr>
        <w:top w:val="none" w:sz="0" w:space="0" w:color="auto"/>
        <w:left w:val="none" w:sz="0" w:space="0" w:color="auto"/>
        <w:bottom w:val="none" w:sz="0" w:space="0" w:color="auto"/>
        <w:right w:val="none" w:sz="0" w:space="0" w:color="auto"/>
      </w:divBdr>
      <w:divsChild>
        <w:div w:id="694815270">
          <w:marLeft w:val="0"/>
          <w:marRight w:val="0"/>
          <w:marTop w:val="0"/>
          <w:marBottom w:val="0"/>
          <w:divBdr>
            <w:top w:val="none" w:sz="0" w:space="0" w:color="auto"/>
            <w:left w:val="none" w:sz="0" w:space="0" w:color="auto"/>
            <w:bottom w:val="none" w:sz="0" w:space="0" w:color="auto"/>
            <w:right w:val="none" w:sz="0" w:space="0" w:color="auto"/>
          </w:divBdr>
        </w:div>
      </w:divsChild>
    </w:div>
    <w:div w:id="1405488077">
      <w:marLeft w:val="0"/>
      <w:marRight w:val="0"/>
      <w:marTop w:val="0"/>
      <w:marBottom w:val="0"/>
      <w:divBdr>
        <w:top w:val="none" w:sz="0" w:space="0" w:color="auto"/>
        <w:left w:val="none" w:sz="0" w:space="0" w:color="auto"/>
        <w:bottom w:val="none" w:sz="0" w:space="0" w:color="auto"/>
        <w:right w:val="none" w:sz="0" w:space="0" w:color="auto"/>
      </w:divBdr>
      <w:divsChild>
        <w:div w:id="958486436">
          <w:marLeft w:val="0"/>
          <w:marRight w:val="0"/>
          <w:marTop w:val="0"/>
          <w:marBottom w:val="0"/>
          <w:divBdr>
            <w:top w:val="none" w:sz="0" w:space="0" w:color="auto"/>
            <w:left w:val="none" w:sz="0" w:space="0" w:color="auto"/>
            <w:bottom w:val="none" w:sz="0" w:space="0" w:color="auto"/>
            <w:right w:val="none" w:sz="0" w:space="0" w:color="auto"/>
          </w:divBdr>
        </w:div>
      </w:divsChild>
    </w:div>
    <w:div w:id="1647054029">
      <w:marLeft w:val="0"/>
      <w:marRight w:val="0"/>
      <w:marTop w:val="0"/>
      <w:marBottom w:val="0"/>
      <w:divBdr>
        <w:top w:val="none" w:sz="0" w:space="0" w:color="auto"/>
        <w:left w:val="none" w:sz="0" w:space="0" w:color="auto"/>
        <w:bottom w:val="none" w:sz="0" w:space="0" w:color="auto"/>
        <w:right w:val="none" w:sz="0" w:space="0" w:color="auto"/>
      </w:divBdr>
      <w:divsChild>
        <w:div w:id="812479078">
          <w:marLeft w:val="0"/>
          <w:marRight w:val="0"/>
          <w:marTop w:val="0"/>
          <w:marBottom w:val="0"/>
          <w:divBdr>
            <w:top w:val="none" w:sz="0" w:space="0" w:color="auto"/>
            <w:left w:val="none" w:sz="0" w:space="0" w:color="auto"/>
            <w:bottom w:val="none" w:sz="0" w:space="0" w:color="auto"/>
            <w:right w:val="none" w:sz="0" w:space="0" w:color="auto"/>
          </w:divBdr>
        </w:div>
      </w:divsChild>
    </w:div>
    <w:div w:id="1905067764">
      <w:marLeft w:val="0"/>
      <w:marRight w:val="0"/>
      <w:marTop w:val="0"/>
      <w:marBottom w:val="0"/>
      <w:divBdr>
        <w:top w:val="none" w:sz="0" w:space="0" w:color="auto"/>
        <w:left w:val="none" w:sz="0" w:space="0" w:color="auto"/>
        <w:bottom w:val="none" w:sz="0" w:space="0" w:color="auto"/>
        <w:right w:val="none" w:sz="0" w:space="0" w:color="auto"/>
      </w:divBdr>
      <w:divsChild>
        <w:div w:id="988559710">
          <w:marLeft w:val="0"/>
          <w:marRight w:val="0"/>
          <w:marTop w:val="0"/>
          <w:marBottom w:val="0"/>
          <w:divBdr>
            <w:top w:val="none" w:sz="0" w:space="0" w:color="auto"/>
            <w:left w:val="none" w:sz="0" w:space="0" w:color="auto"/>
            <w:bottom w:val="none" w:sz="0" w:space="0" w:color="auto"/>
            <w:right w:val="none" w:sz="0" w:space="0" w:color="auto"/>
          </w:divBdr>
        </w:div>
      </w:divsChild>
    </w:div>
    <w:div w:id="212260523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1404</Words>
  <Characters>8007</Characters>
  <Application>Microsoft Office Word</Application>
  <DocSecurity>0</DocSecurity>
  <Lines>66</Lines>
  <Paragraphs>18</Paragraphs>
  <ScaleCrop>false</ScaleCrop>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Olivia.Gu@FA</cp:lastModifiedBy>
  <cp:revision>4</cp:revision>
  <dcterms:created xsi:type="dcterms:W3CDTF">2026-04-14T10:08:00Z</dcterms:created>
  <dcterms:modified xsi:type="dcterms:W3CDTF">2026-04-21T07:33:00Z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