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E6DF3">
      <w:pPr>
        <w:autoSpaceDE w:val="0"/>
        <w:autoSpaceDN w:val="0"/>
        <w:adjustRightInd w:val="0"/>
        <w:spacing w:line="360" w:lineRule="auto"/>
        <w:jc w:val="left"/>
        <w:rPr>
          <w:rFonts w:eastAsiaTheme="minorEastAsia"/>
          <w:color w:val="000000" w:themeColor="text1"/>
          <w:kern w:val="0"/>
          <w:szCs w:val="21"/>
        </w:rPr>
      </w:pPr>
    </w:p>
    <w:p w:rsidR="005E6DF3" w:rsidRPr="00B27A29" w:rsidRDefault="005C671B">
      <w:pPr>
        <w:spacing w:line="360" w:lineRule="auto"/>
        <w:jc w:val="center"/>
        <w:rPr>
          <w:rFonts w:eastAsiaTheme="minorEastAsia"/>
          <w:b/>
          <w:color w:val="000000" w:themeColor="text1"/>
          <w:sz w:val="36"/>
          <w:szCs w:val="36"/>
        </w:rPr>
      </w:pPr>
      <w:r w:rsidRPr="00B27A29">
        <w:rPr>
          <w:rFonts w:eastAsiaTheme="minorEastAsia"/>
          <w:b/>
          <w:color w:val="000000" w:themeColor="text1"/>
          <w:sz w:val="36"/>
          <w:szCs w:val="36"/>
        </w:rPr>
        <w:t>摩根健康品质生活混合型证券投资基金</w:t>
      </w:r>
    </w:p>
    <w:p w:rsidR="005E6DF3" w:rsidRPr="00B27A29" w:rsidRDefault="005C671B">
      <w:pPr>
        <w:spacing w:line="360" w:lineRule="auto"/>
        <w:jc w:val="center"/>
        <w:rPr>
          <w:rFonts w:eastAsiaTheme="minorEastAsia"/>
          <w:b/>
          <w:color w:val="000000" w:themeColor="text1"/>
          <w:sz w:val="36"/>
          <w:szCs w:val="36"/>
        </w:rPr>
      </w:pPr>
      <w:r w:rsidRPr="00B27A29">
        <w:rPr>
          <w:rFonts w:eastAsiaTheme="minorEastAsia"/>
          <w:b/>
          <w:color w:val="000000" w:themeColor="text1"/>
          <w:sz w:val="36"/>
          <w:szCs w:val="36"/>
        </w:rPr>
        <w:t>2023</w:t>
      </w:r>
      <w:r w:rsidRPr="00B27A29">
        <w:rPr>
          <w:rFonts w:eastAsiaTheme="minorEastAsia"/>
          <w:b/>
          <w:color w:val="000000" w:themeColor="text1"/>
          <w:sz w:val="36"/>
          <w:szCs w:val="36"/>
        </w:rPr>
        <w:t>年第</w:t>
      </w:r>
      <w:r w:rsidRPr="00B27A29">
        <w:rPr>
          <w:rFonts w:eastAsiaTheme="minorEastAsia"/>
          <w:b/>
          <w:color w:val="000000" w:themeColor="text1"/>
          <w:sz w:val="36"/>
          <w:szCs w:val="36"/>
        </w:rPr>
        <w:t>4</w:t>
      </w:r>
      <w:r w:rsidRPr="00B27A29">
        <w:rPr>
          <w:rFonts w:eastAsiaTheme="minorEastAsia"/>
          <w:b/>
          <w:color w:val="000000" w:themeColor="text1"/>
          <w:sz w:val="36"/>
          <w:szCs w:val="36"/>
        </w:rPr>
        <w:t>季度报告</w:t>
      </w:r>
    </w:p>
    <w:p w:rsidR="005E6DF3" w:rsidRPr="00B27A29" w:rsidRDefault="005C671B">
      <w:pPr>
        <w:spacing w:line="360" w:lineRule="auto"/>
        <w:jc w:val="center"/>
        <w:rPr>
          <w:rFonts w:eastAsiaTheme="minorEastAsia"/>
          <w:b/>
          <w:color w:val="000000" w:themeColor="text1"/>
          <w:szCs w:val="21"/>
        </w:rPr>
      </w:pPr>
      <w:r w:rsidRPr="00B27A29">
        <w:rPr>
          <w:rFonts w:eastAsiaTheme="minorEastAsia"/>
          <w:b/>
          <w:color w:val="000000" w:themeColor="text1"/>
          <w:sz w:val="36"/>
          <w:szCs w:val="36"/>
        </w:rPr>
        <w:t>2023</w:t>
      </w:r>
      <w:r w:rsidRPr="00B27A29">
        <w:rPr>
          <w:rFonts w:eastAsiaTheme="minorEastAsia"/>
          <w:b/>
          <w:color w:val="000000" w:themeColor="text1"/>
          <w:sz w:val="36"/>
          <w:szCs w:val="36"/>
        </w:rPr>
        <w:t>年</w:t>
      </w:r>
      <w:r w:rsidRPr="00B27A29">
        <w:rPr>
          <w:rFonts w:eastAsiaTheme="minorEastAsia"/>
          <w:b/>
          <w:color w:val="000000" w:themeColor="text1"/>
          <w:sz w:val="36"/>
          <w:szCs w:val="36"/>
        </w:rPr>
        <w:t>12</w:t>
      </w:r>
      <w:r w:rsidRPr="00B27A29">
        <w:rPr>
          <w:rFonts w:eastAsiaTheme="minorEastAsia"/>
          <w:b/>
          <w:color w:val="000000" w:themeColor="text1"/>
          <w:sz w:val="36"/>
          <w:szCs w:val="36"/>
        </w:rPr>
        <w:t>月</w:t>
      </w:r>
      <w:r w:rsidRPr="00B27A29">
        <w:rPr>
          <w:rFonts w:eastAsiaTheme="minorEastAsia"/>
          <w:b/>
          <w:color w:val="000000" w:themeColor="text1"/>
          <w:sz w:val="36"/>
          <w:szCs w:val="36"/>
        </w:rPr>
        <w:t>31</w:t>
      </w:r>
      <w:r w:rsidRPr="00B27A29">
        <w:rPr>
          <w:rFonts w:eastAsiaTheme="minorEastAsia"/>
          <w:b/>
          <w:color w:val="000000" w:themeColor="text1"/>
          <w:sz w:val="36"/>
          <w:szCs w:val="36"/>
        </w:rPr>
        <w:t>日</w:t>
      </w: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jc w:val="center"/>
        <w:rPr>
          <w:rFonts w:eastAsiaTheme="minorEastAsia"/>
          <w:b/>
          <w:color w:val="000000" w:themeColor="text1"/>
          <w:szCs w:val="21"/>
        </w:rPr>
      </w:pPr>
    </w:p>
    <w:p w:rsidR="005E6DF3" w:rsidRPr="00B27A29" w:rsidRDefault="005E6DF3">
      <w:pPr>
        <w:spacing w:line="360" w:lineRule="auto"/>
        <w:rPr>
          <w:rFonts w:eastAsiaTheme="minorEastAsia"/>
          <w:b/>
          <w:color w:val="000000" w:themeColor="text1"/>
          <w:szCs w:val="21"/>
        </w:rPr>
      </w:pPr>
    </w:p>
    <w:p w:rsidR="005E6DF3" w:rsidRPr="00B27A29" w:rsidRDefault="005C671B">
      <w:pPr>
        <w:spacing w:line="360" w:lineRule="auto"/>
        <w:ind w:firstLineChars="900" w:firstLine="2168"/>
        <w:rPr>
          <w:rFonts w:eastAsiaTheme="minorEastAsia"/>
          <w:b/>
          <w:color w:val="000000" w:themeColor="text1"/>
          <w:sz w:val="24"/>
        </w:rPr>
      </w:pPr>
      <w:r w:rsidRPr="00B27A29">
        <w:rPr>
          <w:rFonts w:eastAsiaTheme="minorEastAsia"/>
          <w:b/>
          <w:color w:val="000000" w:themeColor="text1"/>
          <w:sz w:val="24"/>
        </w:rPr>
        <w:t>基金管理人：摩根基金管理（中国）有限公司</w:t>
      </w:r>
    </w:p>
    <w:p w:rsidR="005E6DF3" w:rsidRPr="00B27A29" w:rsidRDefault="005C671B">
      <w:pPr>
        <w:spacing w:line="360" w:lineRule="auto"/>
        <w:ind w:firstLineChars="900" w:firstLine="2168"/>
        <w:rPr>
          <w:rFonts w:eastAsiaTheme="minorEastAsia"/>
          <w:b/>
          <w:color w:val="000000" w:themeColor="text1"/>
          <w:sz w:val="24"/>
        </w:rPr>
      </w:pPr>
      <w:r w:rsidRPr="00B27A29">
        <w:rPr>
          <w:rFonts w:eastAsiaTheme="minorEastAsia"/>
          <w:b/>
          <w:color w:val="000000" w:themeColor="text1"/>
          <w:sz w:val="24"/>
        </w:rPr>
        <w:t>基金托管人：中国银行股份有限公司</w:t>
      </w:r>
    </w:p>
    <w:p w:rsidR="005E6DF3" w:rsidRPr="00B27A29" w:rsidRDefault="005C671B">
      <w:pPr>
        <w:spacing w:line="360" w:lineRule="auto"/>
        <w:ind w:firstLineChars="900" w:firstLine="2168"/>
        <w:rPr>
          <w:rFonts w:eastAsiaTheme="minorEastAsia"/>
          <w:color w:val="000000" w:themeColor="text1"/>
          <w:szCs w:val="21"/>
        </w:rPr>
        <w:sectPr w:rsidR="005E6DF3" w:rsidRPr="00B27A29">
          <w:headerReference w:type="default" r:id="rId8"/>
          <w:footerReference w:type="default" r:id="rId9"/>
          <w:pgSz w:w="11926" w:h="15840"/>
          <w:pgMar w:top="1418" w:right="1418" w:bottom="851" w:left="1418" w:header="851" w:footer="992" w:gutter="0"/>
          <w:cols w:space="720"/>
        </w:sectPr>
      </w:pPr>
      <w:r w:rsidRPr="00B27A29">
        <w:rPr>
          <w:rFonts w:eastAsiaTheme="minorEastAsia"/>
          <w:b/>
          <w:color w:val="000000" w:themeColor="text1"/>
          <w:sz w:val="24"/>
        </w:rPr>
        <w:t>报告送出日期：二〇二四年一月二十二日</w:t>
      </w:r>
    </w:p>
    <w:p w:rsidR="005E6DF3" w:rsidRPr="00B27A29" w:rsidRDefault="005C671B">
      <w:pPr>
        <w:pStyle w:val="1"/>
        <w:spacing w:beforeLines="100" w:before="312" w:afterLines="100" w:after="312" w:line="360" w:lineRule="auto"/>
        <w:jc w:val="center"/>
        <w:rPr>
          <w:rFonts w:eastAsiaTheme="minorEastAsia"/>
          <w:b w:val="0"/>
          <w:color w:val="000000" w:themeColor="text1"/>
          <w:kern w:val="0"/>
          <w:sz w:val="21"/>
          <w:szCs w:val="21"/>
        </w:rPr>
      </w:pPr>
      <w:r w:rsidRPr="00B27A29">
        <w:rPr>
          <w:rFonts w:eastAsiaTheme="minorEastAsia"/>
          <w:color w:val="000000" w:themeColor="text1"/>
          <w:kern w:val="0"/>
          <w:sz w:val="21"/>
          <w:szCs w:val="21"/>
        </w:rPr>
        <w:lastRenderedPageBreak/>
        <w:t xml:space="preserve">§1  </w:t>
      </w:r>
      <w:r w:rsidRPr="00B27A29">
        <w:rPr>
          <w:rFonts w:eastAsiaTheme="minorEastAsia"/>
          <w:color w:val="000000" w:themeColor="text1"/>
          <w:kern w:val="0"/>
          <w:sz w:val="21"/>
          <w:szCs w:val="21"/>
        </w:rPr>
        <w:t>重要提示</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基金托管人中国银行股份有限公司根据本基金合同规定，于</w:t>
      </w:r>
      <w:r>
        <w:rPr>
          <w:rFonts w:eastAsiaTheme="minorEastAsia"/>
          <w:color w:val="000000" w:themeColor="text1"/>
          <w:szCs w:val="21"/>
        </w:rPr>
        <w:t>2024</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19</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本报告期自</w:t>
      </w:r>
      <w:r w:rsidRPr="00B27A29">
        <w:rPr>
          <w:rFonts w:eastAsiaTheme="minorEastAsia"/>
          <w:color w:val="000000" w:themeColor="text1"/>
          <w:szCs w:val="21"/>
        </w:rPr>
        <w:t>2023</w:t>
      </w:r>
      <w:r w:rsidRPr="00B27A29">
        <w:rPr>
          <w:rFonts w:eastAsiaTheme="minorEastAsia"/>
          <w:color w:val="000000" w:themeColor="text1"/>
          <w:szCs w:val="21"/>
        </w:rPr>
        <w:t>年</w:t>
      </w:r>
      <w:r w:rsidRPr="00B27A29">
        <w:rPr>
          <w:rFonts w:eastAsiaTheme="minorEastAsia"/>
          <w:color w:val="000000" w:themeColor="text1"/>
          <w:szCs w:val="21"/>
        </w:rPr>
        <w:t>10</w:t>
      </w:r>
      <w:r w:rsidRPr="00B27A29">
        <w:rPr>
          <w:rFonts w:eastAsiaTheme="minorEastAsia"/>
          <w:color w:val="000000" w:themeColor="text1"/>
          <w:szCs w:val="21"/>
        </w:rPr>
        <w:t>月</w:t>
      </w:r>
      <w:r w:rsidRPr="00B27A29">
        <w:rPr>
          <w:rFonts w:eastAsiaTheme="minorEastAsia"/>
          <w:color w:val="000000" w:themeColor="text1"/>
          <w:szCs w:val="21"/>
        </w:rPr>
        <w:t>1</w:t>
      </w:r>
      <w:r w:rsidRPr="00B27A29">
        <w:rPr>
          <w:rFonts w:eastAsiaTheme="minorEastAsia"/>
          <w:color w:val="000000" w:themeColor="text1"/>
          <w:szCs w:val="21"/>
        </w:rPr>
        <w:t>日起至</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31</w:t>
      </w:r>
      <w:r w:rsidRPr="00B27A29">
        <w:rPr>
          <w:rFonts w:eastAsiaTheme="minorEastAsia"/>
          <w:color w:val="000000" w:themeColor="text1"/>
          <w:szCs w:val="21"/>
        </w:rPr>
        <w:t>日止。</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§2  </w:t>
      </w:r>
      <w:r w:rsidRPr="00B27A29">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39"/>
        <w:gridCol w:w="2740"/>
      </w:tblGrid>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基金简称</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摩根健康品质生活混合</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377150</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契约型开放式</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基金合同生效日</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2012</w:t>
            </w:r>
            <w:r w:rsidRPr="00B27A29">
              <w:rPr>
                <w:rFonts w:eastAsiaTheme="minorEastAsia"/>
                <w:color w:val="000000" w:themeColor="text1"/>
                <w:kern w:val="0"/>
                <w:szCs w:val="21"/>
              </w:rPr>
              <w:t>年</w:t>
            </w:r>
            <w:r w:rsidRPr="00B27A29">
              <w:rPr>
                <w:rFonts w:eastAsiaTheme="minorEastAsia"/>
                <w:color w:val="000000" w:themeColor="text1"/>
                <w:kern w:val="0"/>
                <w:szCs w:val="21"/>
              </w:rPr>
              <w:t>2</w:t>
            </w:r>
            <w:r w:rsidRPr="00B27A29">
              <w:rPr>
                <w:rFonts w:eastAsiaTheme="minorEastAsia"/>
                <w:color w:val="000000" w:themeColor="text1"/>
                <w:kern w:val="0"/>
                <w:szCs w:val="21"/>
              </w:rPr>
              <w:t>月</w:t>
            </w:r>
            <w:r w:rsidRPr="00B27A29">
              <w:rPr>
                <w:rFonts w:eastAsiaTheme="minorEastAsia"/>
                <w:color w:val="000000" w:themeColor="text1"/>
                <w:kern w:val="0"/>
                <w:szCs w:val="21"/>
              </w:rPr>
              <w:t>1</w:t>
            </w:r>
            <w:r w:rsidRPr="00B27A29">
              <w:rPr>
                <w:rFonts w:eastAsiaTheme="minorEastAsia"/>
                <w:color w:val="000000" w:themeColor="text1"/>
                <w:kern w:val="0"/>
                <w:szCs w:val="21"/>
              </w:rPr>
              <w:t>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报告期末基金份额总额</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405,526,058.50</w:t>
            </w:r>
            <w:r w:rsidRPr="00B27A29">
              <w:rPr>
                <w:rFonts w:eastAsiaTheme="minorEastAsia"/>
                <w:color w:val="000000" w:themeColor="text1"/>
                <w:kern w:val="0"/>
                <w:szCs w:val="21"/>
              </w:rPr>
              <w:t>份</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投资目标</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本基金主要投资于有利于提升居民健康水平和生活品质的行业及公司，力争把握经济结构调整和消费升级所带来的投资机会。在严格控制风险的前提下，追求基金资产的长期稳定增值。</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投资策略</w:t>
            </w:r>
          </w:p>
        </w:tc>
        <w:tc>
          <w:tcPr>
            <w:tcW w:w="5479" w:type="dxa"/>
            <w:gridSpan w:val="2"/>
            <w:vAlign w:val="center"/>
          </w:tcPr>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、资产配置策略</w:t>
            </w:r>
          </w:p>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本基金对大类资产的配置是从宏观层面出发，采用定量分析和定性分析相结合的手段，综合宏观经济环境、宏观经济政策、产业政策、行业景气度、证券市场走势和流动性的综合分析，积极进行大类资产配置。</w:t>
            </w:r>
          </w:p>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影响资产收益的关键驱动因素主要包括基本面和流动性。基本面驱动，主要指在经济周期和通胀周期影响下，业绩增长、利率环境、通胀预期等因素的变动；流动性驱动主要体现为货币市场环境变动的影响，具体包括汇率变动、流动性结构变动等。随着各类资产风险收益特征的相对变化，本基金将适时动态地调整股票、债券和货币市场工具的投资比例。</w:t>
            </w:r>
          </w:p>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、股票投资策略</w:t>
            </w:r>
          </w:p>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人类的需求主要来自于两方面：一是延长生命长度，提升健康水平；二是拓展生命宽度，提高生活品质。随着居民收入水平的提升、城镇化进程的推进以及社会保障体制的完善，居民的各方面需求将逐步释</w:t>
            </w:r>
            <w:r>
              <w:rPr>
                <w:rFonts w:eastAsiaTheme="minorEastAsia"/>
                <w:color w:val="000000" w:themeColor="text1"/>
                <w:kern w:val="0"/>
                <w:szCs w:val="21"/>
              </w:rPr>
              <w:t>放，尤其是对于身体健康和生活品质的要求会逐步提高，由此带来对相关产品和服务的需求的增加，并推动提供此类产品和服务的上市公司的快速成长。本基金将围绕健康生活与品质生活这两大主题，重点关注有利于提升民众健康水平以及物质生活和精神生活质量的行业和个股。</w:t>
            </w:r>
          </w:p>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、固定收益类投资策略</w:t>
            </w:r>
          </w:p>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对于固定收益类资产的选择，本基金将以价值分析为主线，在综合研究的基础上实施积极主动的组合管理，并主要通过类属配置与债券选择两个层次进行投资管理。在类属配置层次，结合对宏观经济、市场利率、债券供求等因素的综合分析，根据交易所市场与银行间市场类</w:t>
            </w:r>
            <w:r>
              <w:rPr>
                <w:rFonts w:eastAsiaTheme="minorEastAsia"/>
                <w:color w:val="000000" w:themeColor="text1"/>
                <w:kern w:val="0"/>
                <w:szCs w:val="21"/>
              </w:rPr>
              <w:t>属资产的风险收益特征，定期对投资组合类属资产进行优化配置和调整，确定类属资产的最优权重。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p>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4</w:t>
            </w:r>
            <w:r w:rsidRPr="00B27A29">
              <w:rPr>
                <w:rFonts w:eastAsiaTheme="minorEastAsia"/>
                <w:color w:val="000000" w:themeColor="text1"/>
                <w:kern w:val="0"/>
                <w:szCs w:val="21"/>
              </w:rPr>
              <w:t>、其他投资策略</w:t>
            </w:r>
            <w:r w:rsidRPr="00B27A29">
              <w:rPr>
                <w:rFonts w:eastAsiaTheme="minorEastAsia"/>
                <w:color w:val="000000" w:themeColor="text1"/>
                <w:kern w:val="0"/>
                <w:szCs w:val="21"/>
              </w:rPr>
              <w:t xml:space="preserve">: </w:t>
            </w:r>
            <w:r w:rsidRPr="00B27A29">
              <w:rPr>
                <w:rFonts w:eastAsiaTheme="minorEastAsia"/>
                <w:color w:val="000000" w:themeColor="text1"/>
                <w:kern w:val="0"/>
                <w:szCs w:val="21"/>
              </w:rPr>
              <w:t>包括可转换债券投资策略、权证投资策略、存托凭证投资策略。</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lastRenderedPageBreak/>
              <w:t>业绩比较基准</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沪深</w:t>
            </w:r>
            <w:r w:rsidRPr="00B27A29">
              <w:rPr>
                <w:rFonts w:eastAsiaTheme="minorEastAsia"/>
                <w:color w:val="000000" w:themeColor="text1"/>
                <w:kern w:val="0"/>
                <w:szCs w:val="21"/>
              </w:rPr>
              <w:t>300</w:t>
            </w:r>
            <w:r w:rsidRPr="00B27A29">
              <w:rPr>
                <w:rFonts w:eastAsiaTheme="minorEastAsia"/>
                <w:color w:val="000000" w:themeColor="text1"/>
                <w:kern w:val="0"/>
                <w:szCs w:val="21"/>
              </w:rPr>
              <w:t>指数收益率</w:t>
            </w:r>
            <w:r w:rsidRPr="00B27A29">
              <w:rPr>
                <w:rFonts w:eastAsiaTheme="minorEastAsia"/>
                <w:color w:val="000000" w:themeColor="text1"/>
                <w:kern w:val="0"/>
                <w:szCs w:val="21"/>
              </w:rPr>
              <w:t>×85%+</w:t>
            </w:r>
            <w:r w:rsidRPr="00B27A29">
              <w:rPr>
                <w:rFonts w:eastAsiaTheme="minorEastAsia"/>
                <w:color w:val="000000" w:themeColor="text1"/>
                <w:kern w:val="0"/>
                <w:szCs w:val="21"/>
              </w:rPr>
              <w:t>上证国债指数收益率</w:t>
            </w:r>
            <w:r w:rsidRPr="00B27A29">
              <w:rPr>
                <w:rFonts w:eastAsiaTheme="minorEastAsia"/>
                <w:color w:val="000000" w:themeColor="text1"/>
                <w:kern w:val="0"/>
                <w:szCs w:val="21"/>
              </w:rPr>
              <w:t>×15%</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风险收益特征</w:t>
            </w:r>
          </w:p>
        </w:tc>
        <w:tc>
          <w:tcPr>
            <w:tcW w:w="5479" w:type="dxa"/>
            <w:gridSpan w:val="2"/>
            <w:vAlign w:val="center"/>
          </w:tcPr>
          <w:p w:rsidR="00061C7C" w:rsidRDefault="008E5A6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本基金是一只主动投资的混合型基金，主要投资于有利于提升</w:t>
            </w:r>
            <w:r>
              <w:rPr>
                <w:rFonts w:eastAsiaTheme="minorEastAsia"/>
                <w:color w:val="000000" w:themeColor="text1"/>
                <w:kern w:val="0"/>
                <w:szCs w:val="21"/>
              </w:rPr>
              <w:t>居民健康水平和生活品质的行业和公司，属于主题类混合型基金，预期风险和收益高于债券型基金和货币市场基金，低于股票型基金，属于较高风险、较高预期收益的基金产品。</w:t>
            </w:r>
          </w:p>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根据</w:t>
            </w:r>
            <w:r w:rsidRPr="00B27A29">
              <w:rPr>
                <w:rFonts w:eastAsiaTheme="minorEastAsia"/>
                <w:color w:val="000000" w:themeColor="text1"/>
                <w:kern w:val="0"/>
                <w:szCs w:val="21"/>
              </w:rPr>
              <w:t>2017</w:t>
            </w:r>
            <w:r w:rsidRPr="00B27A29">
              <w:rPr>
                <w:rFonts w:eastAsiaTheme="minorEastAsia"/>
                <w:color w:val="000000" w:themeColor="text1"/>
                <w:kern w:val="0"/>
                <w:szCs w:val="21"/>
              </w:rPr>
              <w:t>年</w:t>
            </w:r>
            <w:r w:rsidRPr="00B27A29">
              <w:rPr>
                <w:rFonts w:eastAsiaTheme="minorEastAsia"/>
                <w:color w:val="000000" w:themeColor="text1"/>
                <w:kern w:val="0"/>
                <w:szCs w:val="21"/>
              </w:rPr>
              <w:t>7</w:t>
            </w:r>
            <w:r w:rsidRPr="00B27A29">
              <w:rPr>
                <w:rFonts w:eastAsiaTheme="minorEastAsia"/>
                <w:color w:val="000000" w:themeColor="text1"/>
                <w:kern w:val="0"/>
                <w:szCs w:val="21"/>
              </w:rPr>
              <w:t>月</w:t>
            </w:r>
            <w:r w:rsidRPr="00B27A29">
              <w:rPr>
                <w:rFonts w:eastAsiaTheme="minorEastAsia"/>
                <w:color w:val="000000" w:themeColor="text1"/>
                <w:kern w:val="0"/>
                <w:szCs w:val="21"/>
              </w:rPr>
              <w:t>1</w:t>
            </w:r>
            <w:r w:rsidRPr="00B27A29">
              <w:rPr>
                <w:rFonts w:eastAsiaTheme="minorEastAsia"/>
                <w:color w:val="000000" w:themeColor="text1"/>
                <w:kern w:val="0"/>
                <w:szCs w:val="21"/>
              </w:rPr>
              <w:t>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基金管理人</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摩根基金管理（中国）有限公司</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基金托管人</w:t>
            </w:r>
          </w:p>
        </w:tc>
        <w:tc>
          <w:tcPr>
            <w:tcW w:w="5479" w:type="dxa"/>
            <w:gridSpan w:val="2"/>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kern w:val="0"/>
                <w:szCs w:val="21"/>
              </w:rPr>
              <w:t>中国银行股份有限公司</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szCs w:val="21"/>
              </w:rPr>
              <w:t>下属分级基金的基金简称</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A</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C</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szCs w:val="21"/>
              </w:rPr>
              <w:t>下属分级基金的交易代码</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377150</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015346</w:t>
            </w:r>
          </w:p>
        </w:tc>
      </w:tr>
      <w:tr w:rsidR="005E6DF3" w:rsidRPr="00B27A29">
        <w:tc>
          <w:tcPr>
            <w:tcW w:w="2835" w:type="dxa"/>
            <w:vAlign w:val="center"/>
          </w:tcPr>
          <w:p w:rsidR="005E6DF3" w:rsidRPr="00B27A29" w:rsidRDefault="005C671B">
            <w:pPr>
              <w:adjustRightInd w:val="0"/>
              <w:spacing w:before="29" w:line="360" w:lineRule="auto"/>
              <w:ind w:left="17"/>
              <w:rPr>
                <w:rFonts w:eastAsiaTheme="minorEastAsia"/>
                <w:color w:val="000000" w:themeColor="text1"/>
                <w:szCs w:val="21"/>
              </w:rPr>
            </w:pPr>
            <w:r w:rsidRPr="00B27A29">
              <w:rPr>
                <w:rFonts w:eastAsiaTheme="minorEastAsia"/>
                <w:color w:val="000000" w:themeColor="text1"/>
                <w:szCs w:val="21"/>
              </w:rPr>
              <w:t>报告期末下属分级基金的份额总额</w:t>
            </w:r>
          </w:p>
        </w:tc>
        <w:tc>
          <w:tcPr>
            <w:tcW w:w="2739"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267,042,995.47</w:t>
            </w:r>
            <w:r w:rsidRPr="00B27A29">
              <w:rPr>
                <w:rFonts w:eastAsiaTheme="minorEastAsia"/>
                <w:color w:val="000000" w:themeColor="text1"/>
                <w:kern w:val="0"/>
                <w:szCs w:val="21"/>
              </w:rPr>
              <w:t>份</w:t>
            </w:r>
          </w:p>
        </w:tc>
        <w:tc>
          <w:tcPr>
            <w:tcW w:w="2740"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138,483,063.03</w:t>
            </w:r>
            <w:r w:rsidRPr="00B27A29">
              <w:rPr>
                <w:rFonts w:eastAsiaTheme="minorEastAsia"/>
                <w:color w:val="000000" w:themeColor="text1"/>
                <w:kern w:val="0"/>
                <w:szCs w:val="21"/>
              </w:rPr>
              <w:t>份</w:t>
            </w:r>
          </w:p>
        </w:tc>
      </w:tr>
    </w:tbl>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§3  </w:t>
      </w:r>
      <w:r w:rsidRPr="00B27A29">
        <w:rPr>
          <w:rFonts w:eastAsiaTheme="minorEastAsia"/>
          <w:color w:val="000000" w:themeColor="text1"/>
          <w:kern w:val="0"/>
          <w:sz w:val="21"/>
          <w:szCs w:val="21"/>
        </w:rPr>
        <w:t>主要财务指标和基金净值表现</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3.1 </w:t>
      </w:r>
      <w:r w:rsidRPr="00B27A29">
        <w:rPr>
          <w:rFonts w:eastAsiaTheme="minorEastAsia"/>
          <w:b/>
          <w:color w:val="000000" w:themeColor="text1"/>
          <w:kern w:val="0"/>
          <w:szCs w:val="21"/>
        </w:rPr>
        <w:t>主要财务指标</w:t>
      </w:r>
    </w:p>
    <w:p w:rsidR="005E6DF3" w:rsidRPr="00B27A29" w:rsidRDefault="005C671B">
      <w:pPr>
        <w:autoSpaceDE w:val="0"/>
        <w:autoSpaceDN w:val="0"/>
        <w:adjustRightInd w:val="0"/>
        <w:spacing w:before="29" w:line="288" w:lineRule="auto"/>
        <w:ind w:left="15" w:right="480"/>
        <w:jc w:val="right"/>
        <w:rPr>
          <w:rFonts w:eastAsiaTheme="minorEastAsia"/>
          <w:color w:val="000000" w:themeColor="text1"/>
          <w:kern w:val="0"/>
          <w:szCs w:val="21"/>
        </w:rPr>
      </w:pPr>
      <w:r w:rsidRPr="00B27A29">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81"/>
        <w:gridCol w:w="2481"/>
      </w:tblGrid>
      <w:tr w:rsidR="005E6DF3" w:rsidRPr="00B27A29">
        <w:tc>
          <w:tcPr>
            <w:tcW w:w="3402" w:type="dxa"/>
            <w:vMerge w:val="restart"/>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主要财务指标</w:t>
            </w:r>
          </w:p>
        </w:tc>
        <w:tc>
          <w:tcPr>
            <w:tcW w:w="4962" w:type="dxa"/>
            <w:gridSpan w:val="2"/>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报告期</w:t>
            </w:r>
          </w:p>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(2023</w:t>
            </w:r>
            <w:r w:rsidRPr="00B27A29">
              <w:rPr>
                <w:rFonts w:eastAsiaTheme="minorEastAsia"/>
                <w:color w:val="000000" w:themeColor="text1"/>
                <w:szCs w:val="21"/>
              </w:rPr>
              <w:t>年</w:t>
            </w:r>
            <w:r w:rsidRPr="00B27A29">
              <w:rPr>
                <w:rFonts w:eastAsiaTheme="minorEastAsia"/>
                <w:color w:val="000000" w:themeColor="text1"/>
                <w:szCs w:val="21"/>
              </w:rPr>
              <w:t>10</w:t>
            </w:r>
            <w:r w:rsidRPr="00B27A29">
              <w:rPr>
                <w:rFonts w:eastAsiaTheme="minorEastAsia"/>
                <w:color w:val="000000" w:themeColor="text1"/>
                <w:szCs w:val="21"/>
              </w:rPr>
              <w:t>月</w:t>
            </w:r>
            <w:r w:rsidRPr="00B27A29">
              <w:rPr>
                <w:rFonts w:eastAsiaTheme="minorEastAsia"/>
                <w:color w:val="000000" w:themeColor="text1"/>
                <w:szCs w:val="21"/>
              </w:rPr>
              <w:t>1</w:t>
            </w:r>
            <w:r w:rsidRPr="00B27A29">
              <w:rPr>
                <w:rFonts w:eastAsiaTheme="minorEastAsia"/>
                <w:color w:val="000000" w:themeColor="text1"/>
                <w:szCs w:val="21"/>
              </w:rPr>
              <w:t>日</w:t>
            </w:r>
            <w:r w:rsidRPr="00B27A29">
              <w:rPr>
                <w:rFonts w:eastAsiaTheme="minorEastAsia"/>
                <w:color w:val="000000" w:themeColor="text1"/>
                <w:szCs w:val="21"/>
              </w:rPr>
              <w:t>-2023</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31</w:t>
            </w:r>
            <w:r w:rsidRPr="00B27A29">
              <w:rPr>
                <w:rFonts w:eastAsiaTheme="minorEastAsia"/>
                <w:color w:val="000000" w:themeColor="text1"/>
                <w:szCs w:val="21"/>
              </w:rPr>
              <w:t>日</w:t>
            </w:r>
            <w:r w:rsidRPr="00B27A29">
              <w:rPr>
                <w:rFonts w:eastAsiaTheme="minorEastAsia"/>
                <w:color w:val="000000" w:themeColor="text1"/>
                <w:szCs w:val="21"/>
              </w:rPr>
              <w:t>)</w:t>
            </w:r>
          </w:p>
        </w:tc>
      </w:tr>
      <w:tr w:rsidR="005E6DF3" w:rsidRPr="00B27A29">
        <w:tc>
          <w:tcPr>
            <w:tcW w:w="3402" w:type="dxa"/>
            <w:vMerge/>
            <w:vAlign w:val="center"/>
          </w:tcPr>
          <w:p w:rsidR="005E6DF3" w:rsidRPr="00B27A29" w:rsidRDefault="005E6DF3">
            <w:pPr>
              <w:adjustRightInd w:val="0"/>
              <w:spacing w:before="29" w:line="360" w:lineRule="auto"/>
              <w:ind w:left="17"/>
              <w:rPr>
                <w:rFonts w:eastAsiaTheme="minorEastAsia"/>
                <w:color w:val="000000" w:themeColor="text1"/>
                <w:kern w:val="0"/>
                <w:szCs w:val="21"/>
              </w:rPr>
            </w:pPr>
          </w:p>
        </w:tc>
        <w:tc>
          <w:tcPr>
            <w:tcW w:w="2481" w:type="dxa"/>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A</w:t>
            </w:r>
          </w:p>
        </w:tc>
        <w:tc>
          <w:tcPr>
            <w:tcW w:w="2481" w:type="dxa"/>
            <w:vAlign w:val="center"/>
          </w:tcPr>
          <w:p w:rsidR="005E6DF3" w:rsidRPr="00B27A29" w:rsidRDefault="005C671B">
            <w:pPr>
              <w:adjustRightInd w:val="0"/>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C</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lastRenderedPageBreak/>
              <w:t>1.</w:t>
            </w:r>
            <w:r w:rsidRPr="00B27A29">
              <w:rPr>
                <w:rFonts w:eastAsiaTheme="minorEastAsia"/>
                <w:color w:val="000000" w:themeColor="text1"/>
                <w:kern w:val="0"/>
                <w:szCs w:val="21"/>
              </w:rPr>
              <w:t>本期已实现收益</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-47,288,776.04</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-27,503,559.21</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2.</w:t>
            </w:r>
            <w:r w:rsidRPr="00B27A29">
              <w:rPr>
                <w:rFonts w:eastAsiaTheme="minorEastAsia"/>
                <w:color w:val="000000" w:themeColor="text1"/>
                <w:kern w:val="0"/>
                <w:szCs w:val="21"/>
              </w:rPr>
              <w:t>本期利润</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85,502,137.40</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49,181,915.05</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3.</w:t>
            </w:r>
            <w:r w:rsidRPr="00B27A29">
              <w:rPr>
                <w:rFonts w:eastAsiaTheme="minorEastAsia"/>
                <w:color w:val="000000" w:themeColor="text1"/>
                <w:kern w:val="0"/>
                <w:szCs w:val="21"/>
              </w:rPr>
              <w:t>加权平均基金份额本期利润</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0.3418</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0.3460</w:t>
            </w:r>
          </w:p>
        </w:tc>
      </w:tr>
      <w:tr w:rsidR="005E6DF3" w:rsidRPr="00B27A29">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4.</w:t>
            </w:r>
            <w:r w:rsidRPr="00B27A29">
              <w:rPr>
                <w:rFonts w:eastAsiaTheme="minorEastAsia"/>
                <w:color w:val="000000" w:themeColor="text1"/>
                <w:kern w:val="0"/>
                <w:szCs w:val="21"/>
              </w:rPr>
              <w:t>期末基金资产净值</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1,004,090,758.34</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516,110,981.65</w:t>
            </w:r>
          </w:p>
        </w:tc>
      </w:tr>
      <w:tr w:rsidR="005E6DF3" w:rsidRPr="00B27A29">
        <w:trPr>
          <w:trHeight w:val="158"/>
        </w:trPr>
        <w:tc>
          <w:tcPr>
            <w:tcW w:w="3402" w:type="dxa"/>
            <w:vAlign w:val="center"/>
          </w:tcPr>
          <w:p w:rsidR="005E6DF3" w:rsidRPr="00B27A29" w:rsidRDefault="005C671B">
            <w:pPr>
              <w:adjustRightInd w:val="0"/>
              <w:spacing w:before="29" w:line="360" w:lineRule="auto"/>
              <w:ind w:left="17"/>
              <w:rPr>
                <w:rFonts w:eastAsiaTheme="minorEastAsia"/>
                <w:color w:val="000000" w:themeColor="text1"/>
                <w:kern w:val="0"/>
                <w:szCs w:val="21"/>
              </w:rPr>
            </w:pPr>
            <w:r w:rsidRPr="00B27A29">
              <w:rPr>
                <w:rFonts w:eastAsiaTheme="minorEastAsia"/>
                <w:color w:val="000000" w:themeColor="text1"/>
                <w:kern w:val="0"/>
                <w:szCs w:val="21"/>
              </w:rPr>
              <w:t>5.</w:t>
            </w:r>
            <w:r w:rsidRPr="00B27A29">
              <w:rPr>
                <w:rFonts w:eastAsiaTheme="minorEastAsia"/>
                <w:color w:val="000000" w:themeColor="text1"/>
                <w:kern w:val="0"/>
                <w:szCs w:val="21"/>
              </w:rPr>
              <w:t>期末基金份额净值</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3.7600</w:t>
            </w:r>
          </w:p>
        </w:tc>
        <w:tc>
          <w:tcPr>
            <w:tcW w:w="2481" w:type="dxa"/>
            <w:vAlign w:val="center"/>
          </w:tcPr>
          <w:p w:rsidR="005E6DF3" w:rsidRPr="00B27A29" w:rsidRDefault="005C671B">
            <w:pPr>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3.7269</w:t>
            </w:r>
          </w:p>
        </w:tc>
      </w:tr>
    </w:tbl>
    <w:p w:rsidR="00061C7C" w:rsidRDefault="008E5A6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3.2 </w:t>
      </w:r>
      <w:r w:rsidRPr="00B27A29">
        <w:rPr>
          <w:rFonts w:eastAsiaTheme="minorEastAsia"/>
          <w:b/>
          <w:color w:val="000000" w:themeColor="text1"/>
          <w:kern w:val="0"/>
          <w:szCs w:val="21"/>
        </w:rPr>
        <w:t>基金净值表现</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3.2.1</w:t>
      </w:r>
      <w:r w:rsidRPr="00B27A29">
        <w:rPr>
          <w:rFonts w:eastAsiaTheme="minorEastAsia"/>
          <w:b/>
          <w:color w:val="000000" w:themeColor="text1"/>
          <w:kern w:val="0"/>
          <w:szCs w:val="21"/>
        </w:rPr>
        <w:t>本报告期基金份额净值增长率及其与同期业绩比较基准收益率的比较</w:t>
      </w:r>
    </w:p>
    <w:p w:rsidR="005E6DF3" w:rsidRPr="00B27A29" w:rsidRDefault="005C671B">
      <w:pPr>
        <w:spacing w:line="360" w:lineRule="auto"/>
        <w:rPr>
          <w:rFonts w:eastAsiaTheme="minorEastAsia"/>
          <w:b/>
          <w:color w:val="000000" w:themeColor="text1"/>
          <w:szCs w:val="21"/>
        </w:rPr>
      </w:pPr>
      <w:r w:rsidRPr="00B27A29">
        <w:rPr>
          <w:rFonts w:eastAsiaTheme="minorEastAsia"/>
          <w:b/>
          <w:color w:val="000000" w:themeColor="text1"/>
          <w:szCs w:val="21"/>
        </w:rPr>
        <w:t>1</w:t>
      </w:r>
      <w:r w:rsidRPr="00B27A29">
        <w:rPr>
          <w:rFonts w:eastAsiaTheme="minorEastAsia"/>
          <w:b/>
          <w:color w:val="000000" w:themeColor="text1"/>
          <w:szCs w:val="21"/>
        </w:rPr>
        <w:t>、</w:t>
      </w:r>
      <w:r w:rsidRPr="00B27A29">
        <w:rPr>
          <w:rFonts w:eastAsiaTheme="minorEastAsia"/>
          <w:b/>
          <w:color w:val="000000" w:themeColor="text1"/>
          <w:kern w:val="0"/>
          <w:szCs w:val="21"/>
        </w:rPr>
        <w:t>摩根健康品质生活混合</w:t>
      </w:r>
      <w:r w:rsidRPr="00B27A29">
        <w:rPr>
          <w:rFonts w:eastAsiaTheme="minorEastAsia"/>
          <w:b/>
          <w:color w:val="000000" w:themeColor="text1"/>
          <w:kern w:val="0"/>
          <w:szCs w:val="21"/>
        </w:rPr>
        <w:t>A</w:t>
      </w:r>
      <w:r w:rsidRPr="00B27A29">
        <w:rPr>
          <w:rFonts w:eastAsiaTheme="minorEastAsia"/>
          <w:b/>
          <w:color w:val="000000" w:themeColor="text1"/>
          <w:szCs w:val="21"/>
        </w:rPr>
        <w:t>：</w:t>
      </w:r>
    </w:p>
    <w:tbl>
      <w:tblPr>
        <w:tblStyle w:val="afa"/>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5E6DF3" w:rsidRPr="00B27A29">
        <w:tc>
          <w:tcPr>
            <w:tcW w:w="1290"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阶段</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净值增长率</w:t>
            </w:r>
            <w:r w:rsidRPr="00B27A29">
              <w:rPr>
                <w:rFonts w:ascii="宋体" w:hAnsi="宋体" w:cs="宋体" w:hint="eastAsia"/>
                <w:color w:val="000000" w:themeColor="text1"/>
                <w:szCs w:val="21"/>
              </w:rPr>
              <w:t>①</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净值增长率标准差</w:t>
            </w:r>
            <w:r w:rsidRPr="00B27A29">
              <w:rPr>
                <w:rFonts w:ascii="宋体" w:hAnsi="宋体" w:cs="宋体" w:hint="eastAsia"/>
                <w:color w:val="000000" w:themeColor="text1"/>
                <w:szCs w:val="21"/>
              </w:rPr>
              <w:t>②</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业绩比较基准收益率标准差</w:t>
            </w:r>
            <w:r w:rsidRPr="00B27A29">
              <w:rPr>
                <w:rFonts w:ascii="宋体" w:hAnsi="宋体" w:cs="宋体" w:hint="eastAsia"/>
                <w:color w:val="000000" w:themeColor="text1"/>
                <w:szCs w:val="21"/>
              </w:rPr>
              <w:t>④</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①</w:t>
            </w:r>
            <w:r w:rsidRPr="00B27A29">
              <w:rPr>
                <w:rFonts w:eastAsiaTheme="minorEastAsia"/>
                <w:color w:val="000000" w:themeColor="text1"/>
                <w:szCs w:val="21"/>
              </w:rPr>
              <w:t>－</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②</w:t>
            </w:r>
            <w:r w:rsidRPr="00B27A29">
              <w:rPr>
                <w:rFonts w:eastAsiaTheme="minorEastAsia"/>
                <w:color w:val="000000" w:themeColor="text1"/>
                <w:szCs w:val="21"/>
              </w:rPr>
              <w:t>－</w:t>
            </w:r>
            <w:r w:rsidRPr="00B27A29">
              <w:rPr>
                <w:rFonts w:ascii="宋体" w:hAnsi="宋体" w:cs="宋体" w:hint="eastAsia"/>
                <w:color w:val="000000" w:themeColor="text1"/>
                <w:szCs w:val="21"/>
              </w:rPr>
              <w:t>④</w:t>
            </w:r>
          </w:p>
        </w:tc>
      </w:tr>
      <w:tr w:rsidR="00061C7C">
        <w:tc>
          <w:tcPr>
            <w:tcW w:w="1290" w:type="dxa"/>
            <w:vAlign w:val="center"/>
          </w:tcPr>
          <w:p w:rsidR="00061C7C" w:rsidRDefault="008E5A63">
            <w:pPr>
              <w:jc w:val="left"/>
            </w:pPr>
            <w:r>
              <w:rPr>
                <w:rFonts w:eastAsiaTheme="minorEastAsia"/>
                <w:color w:val="000000" w:themeColor="text1"/>
                <w:szCs w:val="21"/>
              </w:rPr>
              <w:t>过去三个月</w:t>
            </w:r>
          </w:p>
        </w:tc>
        <w:tc>
          <w:tcPr>
            <w:tcW w:w="1291" w:type="dxa"/>
            <w:vAlign w:val="center"/>
          </w:tcPr>
          <w:p w:rsidR="00061C7C" w:rsidRDefault="008E5A63">
            <w:pPr>
              <w:jc w:val="right"/>
            </w:pPr>
            <w:r>
              <w:rPr>
                <w:rFonts w:eastAsiaTheme="minorEastAsia"/>
                <w:color w:val="000000" w:themeColor="text1"/>
                <w:szCs w:val="21"/>
              </w:rPr>
              <w:t>9.85%</w:t>
            </w:r>
          </w:p>
        </w:tc>
        <w:tc>
          <w:tcPr>
            <w:tcW w:w="1291" w:type="dxa"/>
            <w:vAlign w:val="center"/>
          </w:tcPr>
          <w:p w:rsidR="00061C7C" w:rsidRDefault="008E5A63">
            <w:pPr>
              <w:jc w:val="right"/>
            </w:pPr>
            <w:r>
              <w:rPr>
                <w:rFonts w:eastAsiaTheme="minorEastAsia"/>
                <w:color w:val="000000" w:themeColor="text1"/>
                <w:szCs w:val="21"/>
              </w:rPr>
              <w:t>1.30%</w:t>
            </w:r>
          </w:p>
        </w:tc>
        <w:tc>
          <w:tcPr>
            <w:tcW w:w="1291" w:type="dxa"/>
            <w:vAlign w:val="center"/>
          </w:tcPr>
          <w:p w:rsidR="00061C7C" w:rsidRDefault="008E5A63">
            <w:pPr>
              <w:jc w:val="right"/>
            </w:pPr>
            <w:r>
              <w:rPr>
                <w:rFonts w:eastAsiaTheme="minorEastAsia"/>
                <w:color w:val="000000" w:themeColor="text1"/>
                <w:szCs w:val="21"/>
              </w:rPr>
              <w:t>-5.84%</w:t>
            </w:r>
          </w:p>
        </w:tc>
        <w:tc>
          <w:tcPr>
            <w:tcW w:w="1291" w:type="dxa"/>
            <w:vAlign w:val="center"/>
          </w:tcPr>
          <w:p w:rsidR="00061C7C" w:rsidRDefault="008E5A63">
            <w:pPr>
              <w:jc w:val="right"/>
            </w:pPr>
            <w:r>
              <w:rPr>
                <w:rFonts w:eastAsiaTheme="minorEastAsia"/>
                <w:color w:val="000000" w:themeColor="text1"/>
                <w:szCs w:val="21"/>
              </w:rPr>
              <w:t>0.67%</w:t>
            </w:r>
          </w:p>
        </w:tc>
        <w:tc>
          <w:tcPr>
            <w:tcW w:w="1291" w:type="dxa"/>
            <w:vAlign w:val="center"/>
          </w:tcPr>
          <w:p w:rsidR="00061C7C" w:rsidRDefault="008E5A63">
            <w:pPr>
              <w:jc w:val="right"/>
            </w:pPr>
            <w:r>
              <w:rPr>
                <w:rFonts w:eastAsiaTheme="minorEastAsia"/>
                <w:color w:val="000000" w:themeColor="text1"/>
                <w:szCs w:val="21"/>
              </w:rPr>
              <w:t>15.69%</w:t>
            </w:r>
          </w:p>
        </w:tc>
        <w:tc>
          <w:tcPr>
            <w:tcW w:w="1291" w:type="dxa"/>
            <w:vAlign w:val="center"/>
          </w:tcPr>
          <w:p w:rsidR="00061C7C" w:rsidRDefault="008E5A63">
            <w:pPr>
              <w:jc w:val="right"/>
            </w:pPr>
            <w:r>
              <w:rPr>
                <w:rFonts w:eastAsiaTheme="minorEastAsia"/>
                <w:color w:val="000000" w:themeColor="text1"/>
                <w:szCs w:val="21"/>
              </w:rPr>
              <w:t>0.63%</w:t>
            </w:r>
          </w:p>
        </w:tc>
      </w:tr>
      <w:tr w:rsidR="00061C7C">
        <w:tc>
          <w:tcPr>
            <w:tcW w:w="1290" w:type="dxa"/>
            <w:vAlign w:val="center"/>
          </w:tcPr>
          <w:p w:rsidR="00061C7C" w:rsidRDefault="008E5A63">
            <w:pPr>
              <w:jc w:val="left"/>
            </w:pPr>
            <w:r>
              <w:rPr>
                <w:rFonts w:eastAsiaTheme="minorEastAsia"/>
                <w:color w:val="000000" w:themeColor="text1"/>
                <w:szCs w:val="21"/>
              </w:rPr>
              <w:t>过去六个月</w:t>
            </w:r>
          </w:p>
        </w:tc>
        <w:tc>
          <w:tcPr>
            <w:tcW w:w="1291" w:type="dxa"/>
            <w:vAlign w:val="center"/>
          </w:tcPr>
          <w:p w:rsidR="00061C7C" w:rsidRDefault="008E5A63">
            <w:pPr>
              <w:jc w:val="right"/>
            </w:pPr>
            <w:r>
              <w:rPr>
                <w:rFonts w:eastAsiaTheme="minorEastAsia"/>
                <w:color w:val="000000" w:themeColor="text1"/>
                <w:szCs w:val="21"/>
              </w:rPr>
              <w:t>6.16%</w:t>
            </w:r>
          </w:p>
        </w:tc>
        <w:tc>
          <w:tcPr>
            <w:tcW w:w="1291" w:type="dxa"/>
            <w:vAlign w:val="center"/>
          </w:tcPr>
          <w:p w:rsidR="00061C7C" w:rsidRDefault="008E5A63">
            <w:pPr>
              <w:jc w:val="right"/>
            </w:pPr>
            <w:r>
              <w:rPr>
                <w:rFonts w:eastAsiaTheme="minorEastAsia"/>
                <w:color w:val="000000" w:themeColor="text1"/>
                <w:szCs w:val="21"/>
              </w:rPr>
              <w:t>1.29%</w:t>
            </w:r>
          </w:p>
        </w:tc>
        <w:tc>
          <w:tcPr>
            <w:tcW w:w="1291" w:type="dxa"/>
            <w:vAlign w:val="center"/>
          </w:tcPr>
          <w:p w:rsidR="00061C7C" w:rsidRDefault="008E5A63">
            <w:pPr>
              <w:jc w:val="right"/>
            </w:pPr>
            <w:r>
              <w:rPr>
                <w:rFonts w:eastAsiaTheme="minorEastAsia"/>
                <w:color w:val="000000" w:themeColor="text1"/>
                <w:szCs w:val="21"/>
              </w:rPr>
              <w:t>-8.86%</w:t>
            </w:r>
          </w:p>
        </w:tc>
        <w:tc>
          <w:tcPr>
            <w:tcW w:w="1291" w:type="dxa"/>
            <w:vAlign w:val="center"/>
          </w:tcPr>
          <w:p w:rsidR="00061C7C" w:rsidRDefault="008E5A63">
            <w:pPr>
              <w:jc w:val="right"/>
            </w:pPr>
            <w:r>
              <w:rPr>
                <w:rFonts w:eastAsiaTheme="minorEastAsia"/>
                <w:color w:val="000000" w:themeColor="text1"/>
                <w:szCs w:val="21"/>
              </w:rPr>
              <w:t>0.72%</w:t>
            </w:r>
          </w:p>
        </w:tc>
        <w:tc>
          <w:tcPr>
            <w:tcW w:w="1291" w:type="dxa"/>
            <w:vAlign w:val="center"/>
          </w:tcPr>
          <w:p w:rsidR="00061C7C" w:rsidRDefault="008E5A63">
            <w:pPr>
              <w:jc w:val="right"/>
            </w:pPr>
            <w:r>
              <w:rPr>
                <w:rFonts w:eastAsiaTheme="minorEastAsia"/>
                <w:color w:val="000000" w:themeColor="text1"/>
                <w:szCs w:val="21"/>
              </w:rPr>
              <w:t>15.02%</w:t>
            </w:r>
          </w:p>
        </w:tc>
        <w:tc>
          <w:tcPr>
            <w:tcW w:w="1291" w:type="dxa"/>
            <w:vAlign w:val="center"/>
          </w:tcPr>
          <w:p w:rsidR="00061C7C" w:rsidRDefault="008E5A63">
            <w:pPr>
              <w:jc w:val="right"/>
            </w:pPr>
            <w:r>
              <w:rPr>
                <w:rFonts w:eastAsiaTheme="minorEastAsia"/>
                <w:color w:val="000000" w:themeColor="text1"/>
                <w:szCs w:val="21"/>
              </w:rPr>
              <w:t>0.57%</w:t>
            </w:r>
          </w:p>
        </w:tc>
      </w:tr>
      <w:tr w:rsidR="00061C7C">
        <w:tc>
          <w:tcPr>
            <w:tcW w:w="1290" w:type="dxa"/>
            <w:vAlign w:val="center"/>
          </w:tcPr>
          <w:p w:rsidR="00061C7C" w:rsidRDefault="008E5A63">
            <w:pPr>
              <w:jc w:val="left"/>
            </w:pPr>
            <w:r>
              <w:rPr>
                <w:rFonts w:eastAsiaTheme="minorEastAsia"/>
                <w:color w:val="000000" w:themeColor="text1"/>
                <w:szCs w:val="21"/>
              </w:rPr>
              <w:t>过去一年</w:t>
            </w:r>
          </w:p>
        </w:tc>
        <w:tc>
          <w:tcPr>
            <w:tcW w:w="1291" w:type="dxa"/>
            <w:vAlign w:val="center"/>
          </w:tcPr>
          <w:p w:rsidR="00061C7C" w:rsidRDefault="008E5A63">
            <w:pPr>
              <w:jc w:val="right"/>
            </w:pPr>
            <w:r>
              <w:rPr>
                <w:rFonts w:eastAsiaTheme="minorEastAsia"/>
                <w:color w:val="000000" w:themeColor="text1"/>
                <w:szCs w:val="21"/>
              </w:rPr>
              <w:t>1.99%</w:t>
            </w:r>
          </w:p>
        </w:tc>
        <w:tc>
          <w:tcPr>
            <w:tcW w:w="1291" w:type="dxa"/>
            <w:vAlign w:val="center"/>
          </w:tcPr>
          <w:p w:rsidR="00061C7C" w:rsidRDefault="008E5A63">
            <w:pPr>
              <w:jc w:val="right"/>
            </w:pPr>
            <w:r>
              <w:rPr>
                <w:rFonts w:eastAsiaTheme="minorEastAsia"/>
                <w:color w:val="000000" w:themeColor="text1"/>
                <w:szCs w:val="21"/>
              </w:rPr>
              <w:t>1.30%</w:t>
            </w:r>
          </w:p>
        </w:tc>
        <w:tc>
          <w:tcPr>
            <w:tcW w:w="1291" w:type="dxa"/>
            <w:vAlign w:val="center"/>
          </w:tcPr>
          <w:p w:rsidR="00061C7C" w:rsidRDefault="008E5A63">
            <w:pPr>
              <w:jc w:val="right"/>
            </w:pPr>
            <w:r>
              <w:rPr>
                <w:rFonts w:eastAsiaTheme="minorEastAsia"/>
                <w:color w:val="000000" w:themeColor="text1"/>
                <w:szCs w:val="21"/>
              </w:rPr>
              <w:t>-9.10%</w:t>
            </w:r>
          </w:p>
        </w:tc>
        <w:tc>
          <w:tcPr>
            <w:tcW w:w="1291" w:type="dxa"/>
            <w:vAlign w:val="center"/>
          </w:tcPr>
          <w:p w:rsidR="00061C7C" w:rsidRDefault="008E5A63">
            <w:pPr>
              <w:jc w:val="right"/>
            </w:pPr>
            <w:r>
              <w:rPr>
                <w:rFonts w:eastAsiaTheme="minorEastAsia"/>
                <w:color w:val="000000" w:themeColor="text1"/>
                <w:szCs w:val="21"/>
              </w:rPr>
              <w:t>0.72%</w:t>
            </w:r>
          </w:p>
        </w:tc>
        <w:tc>
          <w:tcPr>
            <w:tcW w:w="1291" w:type="dxa"/>
            <w:vAlign w:val="center"/>
          </w:tcPr>
          <w:p w:rsidR="00061C7C" w:rsidRDefault="008E5A63">
            <w:pPr>
              <w:jc w:val="right"/>
            </w:pPr>
            <w:r>
              <w:rPr>
                <w:rFonts w:eastAsiaTheme="minorEastAsia"/>
                <w:color w:val="000000" w:themeColor="text1"/>
                <w:szCs w:val="21"/>
              </w:rPr>
              <w:t>11.09%</w:t>
            </w:r>
          </w:p>
        </w:tc>
        <w:tc>
          <w:tcPr>
            <w:tcW w:w="1291" w:type="dxa"/>
            <w:vAlign w:val="center"/>
          </w:tcPr>
          <w:p w:rsidR="00061C7C" w:rsidRDefault="008E5A63">
            <w:pPr>
              <w:jc w:val="right"/>
            </w:pPr>
            <w:r>
              <w:rPr>
                <w:rFonts w:eastAsiaTheme="minorEastAsia"/>
                <w:color w:val="000000" w:themeColor="text1"/>
                <w:szCs w:val="21"/>
              </w:rPr>
              <w:t>0.58%</w:t>
            </w:r>
          </w:p>
        </w:tc>
      </w:tr>
      <w:tr w:rsidR="00061C7C">
        <w:tc>
          <w:tcPr>
            <w:tcW w:w="1290" w:type="dxa"/>
            <w:vAlign w:val="center"/>
          </w:tcPr>
          <w:p w:rsidR="00061C7C" w:rsidRDefault="008E5A63">
            <w:pPr>
              <w:jc w:val="left"/>
            </w:pPr>
            <w:r>
              <w:rPr>
                <w:rFonts w:eastAsiaTheme="minorEastAsia"/>
                <w:color w:val="000000" w:themeColor="text1"/>
                <w:szCs w:val="21"/>
              </w:rPr>
              <w:t>过去三年</w:t>
            </w:r>
          </w:p>
        </w:tc>
        <w:tc>
          <w:tcPr>
            <w:tcW w:w="1291" w:type="dxa"/>
            <w:vAlign w:val="center"/>
          </w:tcPr>
          <w:p w:rsidR="00061C7C" w:rsidRDefault="008E5A63">
            <w:pPr>
              <w:jc w:val="right"/>
            </w:pPr>
            <w:r>
              <w:rPr>
                <w:rFonts w:eastAsiaTheme="minorEastAsia"/>
                <w:color w:val="000000" w:themeColor="text1"/>
                <w:szCs w:val="21"/>
              </w:rPr>
              <w:t>-11.38%</w:t>
            </w:r>
          </w:p>
        </w:tc>
        <w:tc>
          <w:tcPr>
            <w:tcW w:w="1291" w:type="dxa"/>
            <w:vAlign w:val="center"/>
          </w:tcPr>
          <w:p w:rsidR="00061C7C" w:rsidRDefault="008E5A63">
            <w:pPr>
              <w:jc w:val="right"/>
            </w:pPr>
            <w:r>
              <w:rPr>
                <w:rFonts w:eastAsiaTheme="minorEastAsia"/>
                <w:color w:val="000000" w:themeColor="text1"/>
                <w:szCs w:val="21"/>
              </w:rPr>
              <w:t>1.50%</w:t>
            </w:r>
          </w:p>
        </w:tc>
        <w:tc>
          <w:tcPr>
            <w:tcW w:w="1291" w:type="dxa"/>
            <w:vAlign w:val="center"/>
          </w:tcPr>
          <w:p w:rsidR="00061C7C" w:rsidRDefault="008E5A63">
            <w:pPr>
              <w:jc w:val="right"/>
            </w:pPr>
            <w:r>
              <w:rPr>
                <w:rFonts w:eastAsiaTheme="minorEastAsia"/>
                <w:color w:val="000000" w:themeColor="text1"/>
                <w:szCs w:val="21"/>
              </w:rPr>
              <w:t>-27.22%</w:t>
            </w:r>
          </w:p>
        </w:tc>
        <w:tc>
          <w:tcPr>
            <w:tcW w:w="1291" w:type="dxa"/>
            <w:vAlign w:val="center"/>
          </w:tcPr>
          <w:p w:rsidR="00061C7C" w:rsidRDefault="008E5A63">
            <w:pPr>
              <w:jc w:val="right"/>
            </w:pPr>
            <w:r>
              <w:rPr>
                <w:rFonts w:eastAsiaTheme="minorEastAsia"/>
                <w:color w:val="000000" w:themeColor="text1"/>
                <w:szCs w:val="21"/>
              </w:rPr>
              <w:t>0.95%</w:t>
            </w:r>
          </w:p>
        </w:tc>
        <w:tc>
          <w:tcPr>
            <w:tcW w:w="1291" w:type="dxa"/>
            <w:vAlign w:val="center"/>
          </w:tcPr>
          <w:p w:rsidR="00061C7C" w:rsidRDefault="008E5A63">
            <w:pPr>
              <w:jc w:val="right"/>
            </w:pPr>
            <w:r>
              <w:rPr>
                <w:rFonts w:eastAsiaTheme="minorEastAsia"/>
                <w:color w:val="000000" w:themeColor="text1"/>
                <w:szCs w:val="21"/>
              </w:rPr>
              <w:t>15.84%</w:t>
            </w:r>
          </w:p>
        </w:tc>
        <w:tc>
          <w:tcPr>
            <w:tcW w:w="1291" w:type="dxa"/>
            <w:vAlign w:val="center"/>
          </w:tcPr>
          <w:p w:rsidR="00061C7C" w:rsidRDefault="008E5A63">
            <w:pPr>
              <w:jc w:val="right"/>
            </w:pPr>
            <w:r>
              <w:rPr>
                <w:rFonts w:eastAsiaTheme="minorEastAsia"/>
                <w:color w:val="000000" w:themeColor="text1"/>
                <w:szCs w:val="21"/>
              </w:rPr>
              <w:t>0.55%</w:t>
            </w:r>
          </w:p>
        </w:tc>
      </w:tr>
      <w:tr w:rsidR="00061C7C">
        <w:tc>
          <w:tcPr>
            <w:tcW w:w="1290" w:type="dxa"/>
            <w:vAlign w:val="center"/>
          </w:tcPr>
          <w:p w:rsidR="00061C7C" w:rsidRDefault="008E5A63">
            <w:pPr>
              <w:jc w:val="left"/>
            </w:pPr>
            <w:r>
              <w:rPr>
                <w:rFonts w:eastAsiaTheme="minorEastAsia"/>
                <w:color w:val="000000" w:themeColor="text1"/>
                <w:szCs w:val="21"/>
              </w:rPr>
              <w:t>过去五年</w:t>
            </w:r>
          </w:p>
        </w:tc>
        <w:tc>
          <w:tcPr>
            <w:tcW w:w="1291" w:type="dxa"/>
            <w:vAlign w:val="center"/>
          </w:tcPr>
          <w:p w:rsidR="00061C7C" w:rsidRDefault="008E5A63">
            <w:pPr>
              <w:jc w:val="right"/>
            </w:pPr>
            <w:r>
              <w:rPr>
                <w:rFonts w:eastAsiaTheme="minorEastAsia"/>
                <w:color w:val="000000" w:themeColor="text1"/>
                <w:szCs w:val="21"/>
              </w:rPr>
              <w:t>141.03%</w:t>
            </w:r>
          </w:p>
        </w:tc>
        <w:tc>
          <w:tcPr>
            <w:tcW w:w="1291" w:type="dxa"/>
            <w:vAlign w:val="center"/>
          </w:tcPr>
          <w:p w:rsidR="00061C7C" w:rsidRDefault="008E5A63">
            <w:pPr>
              <w:jc w:val="right"/>
            </w:pPr>
            <w:r>
              <w:rPr>
                <w:rFonts w:eastAsiaTheme="minorEastAsia"/>
                <w:color w:val="000000" w:themeColor="text1"/>
                <w:szCs w:val="21"/>
              </w:rPr>
              <w:t>1.52%</w:t>
            </w:r>
          </w:p>
        </w:tc>
        <w:tc>
          <w:tcPr>
            <w:tcW w:w="1291" w:type="dxa"/>
            <w:vAlign w:val="center"/>
          </w:tcPr>
          <w:p w:rsidR="00061C7C" w:rsidRDefault="008E5A63">
            <w:pPr>
              <w:jc w:val="right"/>
            </w:pPr>
            <w:r>
              <w:rPr>
                <w:rFonts w:eastAsiaTheme="minorEastAsia"/>
                <w:color w:val="000000" w:themeColor="text1"/>
                <w:szCs w:val="21"/>
              </w:rPr>
              <w:t>15.06%</w:t>
            </w:r>
          </w:p>
        </w:tc>
        <w:tc>
          <w:tcPr>
            <w:tcW w:w="1291" w:type="dxa"/>
            <w:vAlign w:val="center"/>
          </w:tcPr>
          <w:p w:rsidR="00061C7C" w:rsidRDefault="008E5A63">
            <w:pPr>
              <w:jc w:val="right"/>
            </w:pPr>
            <w:r>
              <w:rPr>
                <w:rFonts w:eastAsiaTheme="minorEastAsia"/>
                <w:color w:val="000000" w:themeColor="text1"/>
                <w:szCs w:val="21"/>
              </w:rPr>
              <w:t>1.03%</w:t>
            </w:r>
          </w:p>
        </w:tc>
        <w:tc>
          <w:tcPr>
            <w:tcW w:w="1291" w:type="dxa"/>
            <w:vAlign w:val="center"/>
          </w:tcPr>
          <w:p w:rsidR="00061C7C" w:rsidRDefault="008E5A63">
            <w:pPr>
              <w:jc w:val="right"/>
            </w:pPr>
            <w:r>
              <w:rPr>
                <w:rFonts w:eastAsiaTheme="minorEastAsia"/>
                <w:color w:val="000000" w:themeColor="text1"/>
                <w:szCs w:val="21"/>
              </w:rPr>
              <w:t>125.97%</w:t>
            </w:r>
          </w:p>
        </w:tc>
        <w:tc>
          <w:tcPr>
            <w:tcW w:w="1291" w:type="dxa"/>
            <w:vAlign w:val="center"/>
          </w:tcPr>
          <w:p w:rsidR="00061C7C" w:rsidRDefault="008E5A63">
            <w:pPr>
              <w:jc w:val="right"/>
            </w:pPr>
            <w:r>
              <w:rPr>
                <w:rFonts w:eastAsiaTheme="minorEastAsia"/>
                <w:color w:val="000000" w:themeColor="text1"/>
                <w:szCs w:val="21"/>
              </w:rPr>
              <w:t>0.49%</w:t>
            </w:r>
          </w:p>
        </w:tc>
      </w:tr>
      <w:tr w:rsidR="00061C7C">
        <w:tc>
          <w:tcPr>
            <w:tcW w:w="1290" w:type="dxa"/>
            <w:vAlign w:val="center"/>
          </w:tcPr>
          <w:p w:rsidR="00061C7C" w:rsidRDefault="008E5A63">
            <w:pPr>
              <w:jc w:val="left"/>
            </w:pPr>
            <w:r>
              <w:rPr>
                <w:rFonts w:eastAsiaTheme="minorEastAsia"/>
                <w:color w:val="000000" w:themeColor="text1"/>
                <w:szCs w:val="21"/>
              </w:rPr>
              <w:t>自基金合同生效起至今</w:t>
            </w:r>
          </w:p>
        </w:tc>
        <w:tc>
          <w:tcPr>
            <w:tcW w:w="1291" w:type="dxa"/>
            <w:vAlign w:val="center"/>
          </w:tcPr>
          <w:p w:rsidR="00061C7C" w:rsidRDefault="008E5A63">
            <w:pPr>
              <w:jc w:val="right"/>
            </w:pPr>
            <w:r>
              <w:rPr>
                <w:rFonts w:eastAsiaTheme="minorEastAsia"/>
                <w:color w:val="000000" w:themeColor="text1"/>
                <w:szCs w:val="21"/>
              </w:rPr>
              <w:t>276.00%</w:t>
            </w:r>
          </w:p>
        </w:tc>
        <w:tc>
          <w:tcPr>
            <w:tcW w:w="1291" w:type="dxa"/>
            <w:vAlign w:val="center"/>
          </w:tcPr>
          <w:p w:rsidR="00061C7C" w:rsidRDefault="008E5A63">
            <w:pPr>
              <w:jc w:val="right"/>
            </w:pPr>
            <w:r>
              <w:rPr>
                <w:rFonts w:eastAsiaTheme="minorEastAsia"/>
                <w:color w:val="000000" w:themeColor="text1"/>
                <w:szCs w:val="21"/>
              </w:rPr>
              <w:t>1.64%</w:t>
            </w:r>
          </w:p>
        </w:tc>
        <w:tc>
          <w:tcPr>
            <w:tcW w:w="1291" w:type="dxa"/>
            <w:vAlign w:val="center"/>
          </w:tcPr>
          <w:p w:rsidR="00061C7C" w:rsidRDefault="008E5A63">
            <w:pPr>
              <w:jc w:val="right"/>
            </w:pPr>
            <w:r>
              <w:rPr>
                <w:rFonts w:eastAsiaTheme="minorEastAsia"/>
                <w:color w:val="000000" w:themeColor="text1"/>
                <w:szCs w:val="21"/>
              </w:rPr>
              <w:t>41.80%</w:t>
            </w:r>
          </w:p>
        </w:tc>
        <w:tc>
          <w:tcPr>
            <w:tcW w:w="1291" w:type="dxa"/>
            <w:vAlign w:val="center"/>
          </w:tcPr>
          <w:p w:rsidR="00061C7C" w:rsidRDefault="008E5A63">
            <w:pPr>
              <w:jc w:val="right"/>
            </w:pPr>
            <w:r>
              <w:rPr>
                <w:rFonts w:eastAsiaTheme="minorEastAsia"/>
                <w:color w:val="000000" w:themeColor="text1"/>
                <w:szCs w:val="21"/>
              </w:rPr>
              <w:t>1.16%</w:t>
            </w:r>
          </w:p>
        </w:tc>
        <w:tc>
          <w:tcPr>
            <w:tcW w:w="1291" w:type="dxa"/>
            <w:vAlign w:val="center"/>
          </w:tcPr>
          <w:p w:rsidR="00061C7C" w:rsidRDefault="008E5A63">
            <w:pPr>
              <w:jc w:val="right"/>
            </w:pPr>
            <w:r>
              <w:rPr>
                <w:rFonts w:eastAsiaTheme="minorEastAsia"/>
                <w:color w:val="000000" w:themeColor="text1"/>
                <w:szCs w:val="21"/>
              </w:rPr>
              <w:t>234.20%</w:t>
            </w:r>
          </w:p>
        </w:tc>
        <w:tc>
          <w:tcPr>
            <w:tcW w:w="1291" w:type="dxa"/>
            <w:vAlign w:val="center"/>
          </w:tcPr>
          <w:p w:rsidR="00061C7C" w:rsidRDefault="008E5A63">
            <w:pPr>
              <w:jc w:val="right"/>
            </w:pPr>
            <w:r>
              <w:rPr>
                <w:rFonts w:eastAsiaTheme="minorEastAsia"/>
                <w:color w:val="000000" w:themeColor="text1"/>
                <w:szCs w:val="21"/>
              </w:rPr>
              <w:t>0.48%</w:t>
            </w:r>
          </w:p>
        </w:tc>
      </w:tr>
    </w:tbl>
    <w:p w:rsidR="005E6DF3" w:rsidRPr="00B27A29" w:rsidRDefault="005C671B">
      <w:pPr>
        <w:adjustRightInd w:val="0"/>
        <w:spacing w:beforeLines="100" w:before="312" w:line="360" w:lineRule="auto"/>
        <w:rPr>
          <w:rFonts w:eastAsiaTheme="minorEastAsia"/>
          <w:b/>
          <w:color w:val="000000" w:themeColor="text1"/>
          <w:kern w:val="0"/>
          <w:szCs w:val="21"/>
        </w:rPr>
      </w:pPr>
      <w:r w:rsidRPr="00B27A29">
        <w:rPr>
          <w:rFonts w:eastAsiaTheme="minorEastAsia"/>
          <w:b/>
          <w:color w:val="000000" w:themeColor="text1"/>
          <w:szCs w:val="21"/>
        </w:rPr>
        <w:t>2</w:t>
      </w:r>
      <w:r w:rsidRPr="00B27A29">
        <w:rPr>
          <w:rFonts w:eastAsiaTheme="minorEastAsia"/>
          <w:b/>
          <w:color w:val="000000" w:themeColor="text1"/>
          <w:szCs w:val="21"/>
        </w:rPr>
        <w:t>、</w:t>
      </w:r>
      <w:r w:rsidRPr="00B27A29">
        <w:rPr>
          <w:rFonts w:eastAsiaTheme="minorEastAsia"/>
          <w:b/>
          <w:color w:val="000000" w:themeColor="text1"/>
          <w:kern w:val="0"/>
          <w:szCs w:val="21"/>
        </w:rPr>
        <w:t>摩根健康品质生活混合</w:t>
      </w:r>
      <w:r w:rsidRPr="00B27A29">
        <w:rPr>
          <w:rFonts w:eastAsiaTheme="minorEastAsia"/>
          <w:b/>
          <w:color w:val="000000" w:themeColor="text1"/>
          <w:kern w:val="0"/>
          <w:szCs w:val="21"/>
        </w:rPr>
        <w:t>C</w:t>
      </w:r>
      <w:r w:rsidRPr="00B27A29">
        <w:rPr>
          <w:rFonts w:eastAsiaTheme="minorEastAsia"/>
          <w:b/>
          <w:color w:val="000000" w:themeColor="text1"/>
          <w:kern w:val="0"/>
          <w:szCs w:val="21"/>
        </w:rPr>
        <w:t>：</w:t>
      </w:r>
    </w:p>
    <w:tbl>
      <w:tblPr>
        <w:tblStyle w:val="afa"/>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5E6DF3" w:rsidRPr="00B27A29">
        <w:tc>
          <w:tcPr>
            <w:tcW w:w="1290"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阶段</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highlight w:val="green"/>
              </w:rPr>
            </w:pPr>
            <w:r w:rsidRPr="00B27A29">
              <w:rPr>
                <w:rFonts w:eastAsiaTheme="minorEastAsia"/>
                <w:color w:val="000000" w:themeColor="text1"/>
                <w:szCs w:val="21"/>
              </w:rPr>
              <w:t>净值增长率</w:t>
            </w:r>
            <w:r w:rsidRPr="00B27A29">
              <w:rPr>
                <w:rFonts w:ascii="宋体" w:hAnsi="宋体" w:cs="宋体" w:hint="eastAsia"/>
                <w:color w:val="000000" w:themeColor="text1"/>
                <w:szCs w:val="21"/>
              </w:rPr>
              <w:t>①</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highlight w:val="green"/>
              </w:rPr>
            </w:pPr>
            <w:r w:rsidRPr="00B27A29">
              <w:rPr>
                <w:rFonts w:eastAsiaTheme="minorEastAsia"/>
                <w:color w:val="000000" w:themeColor="text1"/>
                <w:szCs w:val="21"/>
              </w:rPr>
              <w:t>净值增长率标准差</w:t>
            </w:r>
            <w:r w:rsidRPr="00B27A29">
              <w:rPr>
                <w:rFonts w:ascii="宋体" w:hAnsi="宋体" w:cs="宋体" w:hint="eastAsia"/>
                <w:color w:val="000000" w:themeColor="text1"/>
                <w:szCs w:val="21"/>
              </w:rPr>
              <w:t>②</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eastAsiaTheme="minorEastAsia"/>
                <w:color w:val="000000" w:themeColor="text1"/>
                <w:szCs w:val="21"/>
              </w:rPr>
              <w:t>业绩比较基准收益率标准差</w:t>
            </w:r>
            <w:r w:rsidRPr="00B27A29">
              <w:rPr>
                <w:rFonts w:ascii="宋体" w:hAnsi="宋体" w:cs="宋体" w:hint="eastAsia"/>
                <w:color w:val="000000" w:themeColor="text1"/>
                <w:szCs w:val="21"/>
              </w:rPr>
              <w:t>④</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①</w:t>
            </w:r>
            <w:r w:rsidRPr="00B27A29">
              <w:rPr>
                <w:rFonts w:eastAsiaTheme="minorEastAsia"/>
                <w:color w:val="000000" w:themeColor="text1"/>
                <w:szCs w:val="21"/>
              </w:rPr>
              <w:t>－</w:t>
            </w:r>
            <w:r w:rsidRPr="00B27A29">
              <w:rPr>
                <w:rFonts w:ascii="宋体" w:hAnsi="宋体" w:cs="宋体" w:hint="eastAsia"/>
                <w:color w:val="000000" w:themeColor="text1"/>
                <w:szCs w:val="21"/>
              </w:rPr>
              <w:t>③</w:t>
            </w:r>
          </w:p>
        </w:tc>
        <w:tc>
          <w:tcPr>
            <w:tcW w:w="1291" w:type="dxa"/>
            <w:vAlign w:val="center"/>
          </w:tcPr>
          <w:p w:rsidR="005E6DF3" w:rsidRPr="00B27A29" w:rsidRDefault="005C671B">
            <w:pPr>
              <w:snapToGrid w:val="0"/>
              <w:spacing w:line="288" w:lineRule="auto"/>
              <w:jc w:val="center"/>
              <w:rPr>
                <w:rFonts w:eastAsiaTheme="minorEastAsia"/>
                <w:color w:val="000000" w:themeColor="text1"/>
                <w:szCs w:val="21"/>
              </w:rPr>
            </w:pPr>
            <w:r w:rsidRPr="00B27A29">
              <w:rPr>
                <w:rFonts w:ascii="宋体" w:hAnsi="宋体" w:cs="宋体" w:hint="eastAsia"/>
                <w:color w:val="000000" w:themeColor="text1"/>
                <w:szCs w:val="21"/>
              </w:rPr>
              <w:t>②</w:t>
            </w:r>
            <w:r w:rsidRPr="00B27A29">
              <w:rPr>
                <w:rFonts w:eastAsiaTheme="minorEastAsia"/>
                <w:color w:val="000000" w:themeColor="text1"/>
                <w:szCs w:val="21"/>
              </w:rPr>
              <w:t>－</w:t>
            </w:r>
            <w:r w:rsidRPr="00B27A29">
              <w:rPr>
                <w:rFonts w:ascii="宋体" w:hAnsi="宋体" w:cs="宋体" w:hint="eastAsia"/>
                <w:color w:val="000000" w:themeColor="text1"/>
                <w:szCs w:val="21"/>
              </w:rPr>
              <w:t>④</w:t>
            </w:r>
          </w:p>
        </w:tc>
      </w:tr>
      <w:tr w:rsidR="00061C7C">
        <w:tc>
          <w:tcPr>
            <w:tcW w:w="1290" w:type="dxa"/>
            <w:vAlign w:val="center"/>
          </w:tcPr>
          <w:p w:rsidR="00061C7C" w:rsidRDefault="008E5A63">
            <w:pPr>
              <w:jc w:val="left"/>
            </w:pPr>
            <w:r>
              <w:rPr>
                <w:rFonts w:eastAsiaTheme="minorEastAsia"/>
                <w:color w:val="000000" w:themeColor="text1"/>
                <w:szCs w:val="21"/>
              </w:rPr>
              <w:t>过去三个月</w:t>
            </w:r>
          </w:p>
        </w:tc>
        <w:tc>
          <w:tcPr>
            <w:tcW w:w="1291" w:type="dxa"/>
            <w:vAlign w:val="center"/>
          </w:tcPr>
          <w:p w:rsidR="00061C7C" w:rsidRDefault="008E5A63">
            <w:pPr>
              <w:jc w:val="right"/>
            </w:pPr>
            <w:r>
              <w:rPr>
                <w:rFonts w:eastAsiaTheme="minorEastAsia"/>
                <w:color w:val="000000" w:themeColor="text1"/>
                <w:szCs w:val="21"/>
              </w:rPr>
              <w:t>9.71%</w:t>
            </w:r>
          </w:p>
        </w:tc>
        <w:tc>
          <w:tcPr>
            <w:tcW w:w="1291" w:type="dxa"/>
            <w:vAlign w:val="center"/>
          </w:tcPr>
          <w:p w:rsidR="00061C7C" w:rsidRDefault="008E5A63">
            <w:pPr>
              <w:jc w:val="right"/>
            </w:pPr>
            <w:r>
              <w:rPr>
                <w:rFonts w:eastAsiaTheme="minorEastAsia"/>
                <w:color w:val="000000" w:themeColor="text1"/>
                <w:szCs w:val="21"/>
              </w:rPr>
              <w:t>1.30%</w:t>
            </w:r>
          </w:p>
        </w:tc>
        <w:tc>
          <w:tcPr>
            <w:tcW w:w="1291" w:type="dxa"/>
            <w:vAlign w:val="center"/>
          </w:tcPr>
          <w:p w:rsidR="00061C7C" w:rsidRDefault="008E5A63">
            <w:pPr>
              <w:jc w:val="right"/>
            </w:pPr>
            <w:r>
              <w:rPr>
                <w:rFonts w:eastAsiaTheme="minorEastAsia"/>
                <w:color w:val="000000" w:themeColor="text1"/>
                <w:szCs w:val="21"/>
              </w:rPr>
              <w:t>-5.84%</w:t>
            </w:r>
          </w:p>
        </w:tc>
        <w:tc>
          <w:tcPr>
            <w:tcW w:w="1291" w:type="dxa"/>
            <w:vAlign w:val="center"/>
          </w:tcPr>
          <w:p w:rsidR="00061C7C" w:rsidRDefault="008E5A63">
            <w:pPr>
              <w:jc w:val="right"/>
            </w:pPr>
            <w:r>
              <w:rPr>
                <w:rFonts w:eastAsiaTheme="minorEastAsia"/>
                <w:color w:val="000000" w:themeColor="text1"/>
                <w:szCs w:val="21"/>
              </w:rPr>
              <w:t>0.67%</w:t>
            </w:r>
          </w:p>
        </w:tc>
        <w:tc>
          <w:tcPr>
            <w:tcW w:w="1291" w:type="dxa"/>
            <w:vAlign w:val="center"/>
          </w:tcPr>
          <w:p w:rsidR="00061C7C" w:rsidRDefault="008E5A63">
            <w:pPr>
              <w:jc w:val="right"/>
            </w:pPr>
            <w:r>
              <w:rPr>
                <w:rFonts w:eastAsiaTheme="minorEastAsia"/>
                <w:color w:val="000000" w:themeColor="text1"/>
                <w:szCs w:val="21"/>
              </w:rPr>
              <w:t>15.55%</w:t>
            </w:r>
          </w:p>
        </w:tc>
        <w:tc>
          <w:tcPr>
            <w:tcW w:w="1291" w:type="dxa"/>
            <w:vAlign w:val="center"/>
          </w:tcPr>
          <w:p w:rsidR="00061C7C" w:rsidRDefault="008E5A63">
            <w:pPr>
              <w:jc w:val="right"/>
            </w:pPr>
            <w:r>
              <w:rPr>
                <w:rFonts w:eastAsiaTheme="minorEastAsia"/>
                <w:color w:val="000000" w:themeColor="text1"/>
                <w:szCs w:val="21"/>
              </w:rPr>
              <w:t>0.63%</w:t>
            </w:r>
          </w:p>
        </w:tc>
      </w:tr>
      <w:tr w:rsidR="00061C7C">
        <w:tc>
          <w:tcPr>
            <w:tcW w:w="1290" w:type="dxa"/>
            <w:vAlign w:val="center"/>
          </w:tcPr>
          <w:p w:rsidR="00061C7C" w:rsidRDefault="008E5A63">
            <w:pPr>
              <w:jc w:val="left"/>
            </w:pPr>
            <w:r>
              <w:rPr>
                <w:rFonts w:eastAsiaTheme="minorEastAsia"/>
                <w:color w:val="000000" w:themeColor="text1"/>
                <w:szCs w:val="21"/>
              </w:rPr>
              <w:t>过去六个月</w:t>
            </w:r>
          </w:p>
        </w:tc>
        <w:tc>
          <w:tcPr>
            <w:tcW w:w="1291" w:type="dxa"/>
            <w:vAlign w:val="center"/>
          </w:tcPr>
          <w:p w:rsidR="00061C7C" w:rsidRDefault="008E5A63">
            <w:pPr>
              <w:jc w:val="right"/>
            </w:pPr>
            <w:r>
              <w:rPr>
                <w:rFonts w:eastAsiaTheme="minorEastAsia"/>
                <w:color w:val="000000" w:themeColor="text1"/>
                <w:szCs w:val="21"/>
              </w:rPr>
              <w:t>5.89%</w:t>
            </w:r>
          </w:p>
        </w:tc>
        <w:tc>
          <w:tcPr>
            <w:tcW w:w="1291" w:type="dxa"/>
            <w:vAlign w:val="center"/>
          </w:tcPr>
          <w:p w:rsidR="00061C7C" w:rsidRDefault="008E5A63">
            <w:pPr>
              <w:jc w:val="right"/>
            </w:pPr>
            <w:r>
              <w:rPr>
                <w:rFonts w:eastAsiaTheme="minorEastAsia"/>
                <w:color w:val="000000" w:themeColor="text1"/>
                <w:szCs w:val="21"/>
              </w:rPr>
              <w:t>1.29%</w:t>
            </w:r>
          </w:p>
        </w:tc>
        <w:tc>
          <w:tcPr>
            <w:tcW w:w="1291" w:type="dxa"/>
            <w:vAlign w:val="center"/>
          </w:tcPr>
          <w:p w:rsidR="00061C7C" w:rsidRDefault="008E5A63">
            <w:pPr>
              <w:jc w:val="right"/>
            </w:pPr>
            <w:r>
              <w:rPr>
                <w:rFonts w:eastAsiaTheme="minorEastAsia"/>
                <w:color w:val="000000" w:themeColor="text1"/>
                <w:szCs w:val="21"/>
              </w:rPr>
              <w:t>-8.86%</w:t>
            </w:r>
          </w:p>
        </w:tc>
        <w:tc>
          <w:tcPr>
            <w:tcW w:w="1291" w:type="dxa"/>
            <w:vAlign w:val="center"/>
          </w:tcPr>
          <w:p w:rsidR="00061C7C" w:rsidRDefault="008E5A63">
            <w:pPr>
              <w:jc w:val="right"/>
            </w:pPr>
            <w:r>
              <w:rPr>
                <w:rFonts w:eastAsiaTheme="minorEastAsia"/>
                <w:color w:val="000000" w:themeColor="text1"/>
                <w:szCs w:val="21"/>
              </w:rPr>
              <w:t>0.72%</w:t>
            </w:r>
          </w:p>
        </w:tc>
        <w:tc>
          <w:tcPr>
            <w:tcW w:w="1291" w:type="dxa"/>
            <w:vAlign w:val="center"/>
          </w:tcPr>
          <w:p w:rsidR="00061C7C" w:rsidRDefault="008E5A63">
            <w:pPr>
              <w:jc w:val="right"/>
            </w:pPr>
            <w:r>
              <w:rPr>
                <w:rFonts w:eastAsiaTheme="minorEastAsia"/>
                <w:color w:val="000000" w:themeColor="text1"/>
                <w:szCs w:val="21"/>
              </w:rPr>
              <w:t>14.75%</w:t>
            </w:r>
          </w:p>
        </w:tc>
        <w:tc>
          <w:tcPr>
            <w:tcW w:w="1291" w:type="dxa"/>
            <w:vAlign w:val="center"/>
          </w:tcPr>
          <w:p w:rsidR="00061C7C" w:rsidRDefault="008E5A63">
            <w:pPr>
              <w:jc w:val="right"/>
            </w:pPr>
            <w:r>
              <w:rPr>
                <w:rFonts w:eastAsiaTheme="minorEastAsia"/>
                <w:color w:val="000000" w:themeColor="text1"/>
                <w:szCs w:val="21"/>
              </w:rPr>
              <w:t>0.57%</w:t>
            </w:r>
          </w:p>
        </w:tc>
      </w:tr>
      <w:tr w:rsidR="00061C7C">
        <w:tc>
          <w:tcPr>
            <w:tcW w:w="1290" w:type="dxa"/>
            <w:vAlign w:val="center"/>
          </w:tcPr>
          <w:p w:rsidR="00061C7C" w:rsidRDefault="008E5A63">
            <w:pPr>
              <w:jc w:val="left"/>
            </w:pPr>
            <w:r>
              <w:rPr>
                <w:rFonts w:eastAsiaTheme="minorEastAsia"/>
                <w:color w:val="000000" w:themeColor="text1"/>
                <w:szCs w:val="21"/>
              </w:rPr>
              <w:t>过去一年</w:t>
            </w:r>
          </w:p>
        </w:tc>
        <w:tc>
          <w:tcPr>
            <w:tcW w:w="1291" w:type="dxa"/>
            <w:vAlign w:val="center"/>
          </w:tcPr>
          <w:p w:rsidR="00061C7C" w:rsidRDefault="008E5A63">
            <w:pPr>
              <w:jc w:val="right"/>
            </w:pPr>
            <w:r>
              <w:rPr>
                <w:rFonts w:eastAsiaTheme="minorEastAsia"/>
                <w:color w:val="000000" w:themeColor="text1"/>
                <w:szCs w:val="21"/>
              </w:rPr>
              <w:t>1.48%</w:t>
            </w:r>
          </w:p>
        </w:tc>
        <w:tc>
          <w:tcPr>
            <w:tcW w:w="1291" w:type="dxa"/>
            <w:vAlign w:val="center"/>
          </w:tcPr>
          <w:p w:rsidR="00061C7C" w:rsidRDefault="008E5A63">
            <w:pPr>
              <w:jc w:val="right"/>
            </w:pPr>
            <w:r>
              <w:rPr>
                <w:rFonts w:eastAsiaTheme="minorEastAsia"/>
                <w:color w:val="000000" w:themeColor="text1"/>
                <w:szCs w:val="21"/>
              </w:rPr>
              <w:t>1.30%</w:t>
            </w:r>
          </w:p>
        </w:tc>
        <w:tc>
          <w:tcPr>
            <w:tcW w:w="1291" w:type="dxa"/>
            <w:vAlign w:val="center"/>
          </w:tcPr>
          <w:p w:rsidR="00061C7C" w:rsidRDefault="008E5A63">
            <w:pPr>
              <w:jc w:val="right"/>
            </w:pPr>
            <w:r>
              <w:rPr>
                <w:rFonts w:eastAsiaTheme="minorEastAsia"/>
                <w:color w:val="000000" w:themeColor="text1"/>
                <w:szCs w:val="21"/>
              </w:rPr>
              <w:t>-9.10%</w:t>
            </w:r>
          </w:p>
        </w:tc>
        <w:tc>
          <w:tcPr>
            <w:tcW w:w="1291" w:type="dxa"/>
            <w:vAlign w:val="center"/>
          </w:tcPr>
          <w:p w:rsidR="00061C7C" w:rsidRDefault="008E5A63">
            <w:pPr>
              <w:jc w:val="right"/>
            </w:pPr>
            <w:r>
              <w:rPr>
                <w:rFonts w:eastAsiaTheme="minorEastAsia"/>
                <w:color w:val="000000" w:themeColor="text1"/>
                <w:szCs w:val="21"/>
              </w:rPr>
              <w:t>0.72%</w:t>
            </w:r>
          </w:p>
        </w:tc>
        <w:tc>
          <w:tcPr>
            <w:tcW w:w="1291" w:type="dxa"/>
            <w:vAlign w:val="center"/>
          </w:tcPr>
          <w:p w:rsidR="00061C7C" w:rsidRDefault="008E5A63">
            <w:pPr>
              <w:jc w:val="right"/>
            </w:pPr>
            <w:r>
              <w:rPr>
                <w:rFonts w:eastAsiaTheme="minorEastAsia"/>
                <w:color w:val="000000" w:themeColor="text1"/>
                <w:szCs w:val="21"/>
              </w:rPr>
              <w:t>10.58%</w:t>
            </w:r>
          </w:p>
        </w:tc>
        <w:tc>
          <w:tcPr>
            <w:tcW w:w="1291" w:type="dxa"/>
            <w:vAlign w:val="center"/>
          </w:tcPr>
          <w:p w:rsidR="00061C7C" w:rsidRDefault="008E5A63">
            <w:pPr>
              <w:jc w:val="right"/>
            </w:pPr>
            <w:r>
              <w:rPr>
                <w:rFonts w:eastAsiaTheme="minorEastAsia"/>
                <w:color w:val="000000" w:themeColor="text1"/>
                <w:szCs w:val="21"/>
              </w:rPr>
              <w:t>0.58%</w:t>
            </w:r>
          </w:p>
        </w:tc>
      </w:tr>
      <w:tr w:rsidR="00061C7C">
        <w:tc>
          <w:tcPr>
            <w:tcW w:w="1290" w:type="dxa"/>
            <w:vAlign w:val="center"/>
          </w:tcPr>
          <w:p w:rsidR="00061C7C" w:rsidRDefault="008E5A63">
            <w:pPr>
              <w:jc w:val="left"/>
            </w:pPr>
            <w:r>
              <w:rPr>
                <w:rFonts w:eastAsiaTheme="minorEastAsia"/>
                <w:color w:val="000000" w:themeColor="text1"/>
                <w:szCs w:val="21"/>
              </w:rPr>
              <w:t>过去三年</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r>
      <w:tr w:rsidR="00061C7C">
        <w:tc>
          <w:tcPr>
            <w:tcW w:w="1290" w:type="dxa"/>
            <w:vAlign w:val="center"/>
          </w:tcPr>
          <w:p w:rsidR="00061C7C" w:rsidRDefault="008E5A63">
            <w:pPr>
              <w:jc w:val="left"/>
            </w:pPr>
            <w:r>
              <w:rPr>
                <w:rFonts w:eastAsiaTheme="minorEastAsia"/>
                <w:color w:val="000000" w:themeColor="text1"/>
                <w:szCs w:val="21"/>
              </w:rPr>
              <w:t>过去五年</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c>
          <w:tcPr>
            <w:tcW w:w="1291" w:type="dxa"/>
            <w:vAlign w:val="center"/>
          </w:tcPr>
          <w:p w:rsidR="00061C7C" w:rsidRDefault="008E5A63">
            <w:pPr>
              <w:jc w:val="right"/>
            </w:pPr>
            <w:r>
              <w:rPr>
                <w:rFonts w:eastAsiaTheme="minorEastAsia"/>
                <w:color w:val="000000" w:themeColor="text1"/>
                <w:szCs w:val="21"/>
              </w:rPr>
              <w:t>-</w:t>
            </w:r>
          </w:p>
        </w:tc>
      </w:tr>
      <w:tr w:rsidR="00061C7C">
        <w:tc>
          <w:tcPr>
            <w:tcW w:w="1290" w:type="dxa"/>
            <w:vAlign w:val="center"/>
          </w:tcPr>
          <w:p w:rsidR="00061C7C" w:rsidRDefault="008E5A63">
            <w:pPr>
              <w:jc w:val="left"/>
            </w:pPr>
            <w:r>
              <w:rPr>
                <w:rFonts w:eastAsiaTheme="minorEastAsia"/>
                <w:color w:val="000000" w:themeColor="text1"/>
                <w:szCs w:val="21"/>
              </w:rPr>
              <w:t>自基金合同生效起至今</w:t>
            </w:r>
          </w:p>
        </w:tc>
        <w:tc>
          <w:tcPr>
            <w:tcW w:w="1291" w:type="dxa"/>
            <w:vAlign w:val="center"/>
          </w:tcPr>
          <w:p w:rsidR="00061C7C" w:rsidRDefault="008E5A63">
            <w:pPr>
              <w:jc w:val="right"/>
            </w:pPr>
            <w:r>
              <w:rPr>
                <w:rFonts w:eastAsiaTheme="minorEastAsia"/>
                <w:color w:val="000000" w:themeColor="text1"/>
                <w:szCs w:val="21"/>
              </w:rPr>
              <w:t>0.91%</w:t>
            </w:r>
          </w:p>
        </w:tc>
        <w:tc>
          <w:tcPr>
            <w:tcW w:w="1291" w:type="dxa"/>
            <w:vAlign w:val="center"/>
          </w:tcPr>
          <w:p w:rsidR="00061C7C" w:rsidRDefault="008E5A63">
            <w:pPr>
              <w:jc w:val="right"/>
            </w:pPr>
            <w:r>
              <w:rPr>
                <w:rFonts w:eastAsiaTheme="minorEastAsia"/>
                <w:color w:val="000000" w:themeColor="text1"/>
                <w:szCs w:val="21"/>
              </w:rPr>
              <w:t>1.43%</w:t>
            </w:r>
          </w:p>
        </w:tc>
        <w:tc>
          <w:tcPr>
            <w:tcW w:w="1291" w:type="dxa"/>
            <w:vAlign w:val="center"/>
          </w:tcPr>
          <w:p w:rsidR="00061C7C" w:rsidRDefault="008E5A63">
            <w:pPr>
              <w:jc w:val="right"/>
            </w:pPr>
            <w:r>
              <w:rPr>
                <w:rFonts w:eastAsiaTheme="minorEastAsia"/>
                <w:color w:val="000000" w:themeColor="text1"/>
                <w:szCs w:val="21"/>
              </w:rPr>
              <w:t>-16.06%</w:t>
            </w:r>
          </w:p>
        </w:tc>
        <w:tc>
          <w:tcPr>
            <w:tcW w:w="1291" w:type="dxa"/>
            <w:vAlign w:val="center"/>
          </w:tcPr>
          <w:p w:rsidR="00061C7C" w:rsidRDefault="008E5A63">
            <w:pPr>
              <w:jc w:val="right"/>
            </w:pPr>
            <w:r>
              <w:rPr>
                <w:rFonts w:eastAsiaTheme="minorEastAsia"/>
                <w:color w:val="000000" w:themeColor="text1"/>
                <w:szCs w:val="21"/>
              </w:rPr>
              <w:t>0.92%</w:t>
            </w:r>
          </w:p>
        </w:tc>
        <w:tc>
          <w:tcPr>
            <w:tcW w:w="1291" w:type="dxa"/>
            <w:vAlign w:val="center"/>
          </w:tcPr>
          <w:p w:rsidR="00061C7C" w:rsidRDefault="008E5A63">
            <w:pPr>
              <w:jc w:val="right"/>
            </w:pPr>
            <w:r>
              <w:rPr>
                <w:rFonts w:eastAsiaTheme="minorEastAsia"/>
                <w:color w:val="000000" w:themeColor="text1"/>
                <w:szCs w:val="21"/>
              </w:rPr>
              <w:t>16.97%</w:t>
            </w:r>
          </w:p>
        </w:tc>
        <w:tc>
          <w:tcPr>
            <w:tcW w:w="1291" w:type="dxa"/>
            <w:vAlign w:val="center"/>
          </w:tcPr>
          <w:p w:rsidR="00061C7C" w:rsidRDefault="008E5A63">
            <w:pPr>
              <w:jc w:val="right"/>
            </w:pPr>
            <w:r>
              <w:rPr>
                <w:rFonts w:eastAsiaTheme="minorEastAsia"/>
                <w:color w:val="000000" w:themeColor="text1"/>
                <w:szCs w:val="21"/>
              </w:rPr>
              <w:t>0.51%</w:t>
            </w:r>
          </w:p>
        </w:tc>
      </w:tr>
    </w:tbl>
    <w:p w:rsidR="005E6DF3" w:rsidRPr="00B27A29" w:rsidRDefault="005C671B">
      <w:pPr>
        <w:spacing w:beforeLines="100" w:before="312" w:line="360" w:lineRule="auto"/>
        <w:rPr>
          <w:rFonts w:eastAsiaTheme="minorEastAsia"/>
          <w:b/>
          <w:color w:val="000000" w:themeColor="text1"/>
          <w:kern w:val="0"/>
          <w:szCs w:val="21"/>
        </w:rPr>
      </w:pPr>
      <w:r w:rsidRPr="00B27A29">
        <w:rPr>
          <w:rFonts w:eastAsiaTheme="minorEastAsia"/>
          <w:b/>
          <w:color w:val="000000" w:themeColor="text1"/>
          <w:kern w:val="0"/>
          <w:szCs w:val="21"/>
        </w:rPr>
        <w:lastRenderedPageBreak/>
        <w:t>3.2.2</w:t>
      </w:r>
      <w:r w:rsidRPr="00B27A29">
        <w:rPr>
          <w:rFonts w:eastAsiaTheme="minorEastAsia"/>
          <w:b/>
          <w:color w:val="000000" w:themeColor="text1"/>
          <w:kern w:val="0"/>
          <w:szCs w:val="21"/>
        </w:rPr>
        <w:t xml:space="preserve">　</w:t>
      </w:r>
      <w:r w:rsidRPr="00B27A29">
        <w:rPr>
          <w:rStyle w:val="af5"/>
          <w:color w:val="000000" w:themeColor="text1"/>
          <w:szCs w:val="21"/>
          <w:shd w:val="clear" w:color="auto" w:fill="FFFFFF"/>
        </w:rPr>
        <w:t>自基金合同生效以来</w:t>
      </w:r>
      <w:r w:rsidRPr="00B27A29">
        <w:rPr>
          <w:rFonts w:eastAsiaTheme="minorEastAsia"/>
          <w:b/>
          <w:color w:val="000000" w:themeColor="text1"/>
          <w:szCs w:val="21"/>
        </w:rPr>
        <w:t>基金累计净值增长率变动及其与同期业绩比较基准收益率变动的比较</w:t>
      </w:r>
    </w:p>
    <w:p w:rsidR="005E6DF3" w:rsidRPr="00B27A29" w:rsidRDefault="005C671B">
      <w:pPr>
        <w:spacing w:line="360" w:lineRule="auto"/>
        <w:jc w:val="center"/>
        <w:rPr>
          <w:rFonts w:eastAsiaTheme="minorEastAsia"/>
          <w:color w:val="000000" w:themeColor="text1"/>
          <w:szCs w:val="21"/>
        </w:rPr>
      </w:pPr>
      <w:r w:rsidRPr="00B27A29">
        <w:rPr>
          <w:rFonts w:eastAsiaTheme="minorEastAsia"/>
          <w:color w:val="000000" w:themeColor="text1"/>
          <w:szCs w:val="21"/>
        </w:rPr>
        <w:t>摩根健康品质生活混合型证券投资基金</w:t>
      </w:r>
    </w:p>
    <w:p w:rsidR="005E6DF3" w:rsidRPr="00B27A29" w:rsidRDefault="005C671B">
      <w:pPr>
        <w:pStyle w:val="a9"/>
        <w:snapToGrid w:val="0"/>
        <w:spacing w:line="360" w:lineRule="auto"/>
        <w:jc w:val="center"/>
        <w:rPr>
          <w:rFonts w:ascii="Times New Roman" w:eastAsiaTheme="minorEastAsia" w:hAnsi="Times New Roman"/>
          <w:color w:val="000000" w:themeColor="text1"/>
        </w:rPr>
      </w:pPr>
      <w:r w:rsidRPr="00B27A29">
        <w:rPr>
          <w:rFonts w:ascii="Times New Roman" w:eastAsiaTheme="minorEastAsia" w:hAnsi="Times New Roman"/>
          <w:color w:val="000000" w:themeColor="text1"/>
        </w:rPr>
        <w:t>累计净值增长率与业绩比较基准收益率的历史走势对比图</w:t>
      </w:r>
    </w:p>
    <w:p w:rsidR="005E6DF3" w:rsidRPr="00B27A29" w:rsidRDefault="005C671B">
      <w:pPr>
        <w:pStyle w:val="a9"/>
        <w:snapToGrid w:val="0"/>
        <w:spacing w:line="360" w:lineRule="auto"/>
        <w:ind w:firstLine="480"/>
        <w:jc w:val="center"/>
        <w:rPr>
          <w:rFonts w:ascii="Times New Roman" w:eastAsiaTheme="minorEastAsia" w:hAnsi="Times New Roman"/>
          <w:color w:val="000000" w:themeColor="text1"/>
        </w:rPr>
      </w:pPr>
      <w:r w:rsidRPr="00B27A29">
        <w:rPr>
          <w:rFonts w:ascii="Times New Roman" w:eastAsiaTheme="minorEastAsia" w:hAnsi="Times New Roman"/>
          <w:color w:val="000000" w:themeColor="text1"/>
        </w:rPr>
        <w:t>(2012</w:t>
      </w:r>
      <w:r w:rsidRPr="00B27A29">
        <w:rPr>
          <w:rFonts w:ascii="Times New Roman" w:eastAsiaTheme="minorEastAsia" w:hAnsi="Times New Roman"/>
          <w:color w:val="000000" w:themeColor="text1"/>
        </w:rPr>
        <w:t>年</w:t>
      </w:r>
      <w:r w:rsidRPr="00B27A29">
        <w:rPr>
          <w:rFonts w:ascii="Times New Roman" w:eastAsiaTheme="minorEastAsia" w:hAnsi="Times New Roman"/>
          <w:color w:val="000000" w:themeColor="text1"/>
        </w:rPr>
        <w:t>2</w:t>
      </w:r>
      <w:r w:rsidRPr="00B27A29">
        <w:rPr>
          <w:rFonts w:ascii="Times New Roman" w:eastAsiaTheme="minorEastAsia" w:hAnsi="Times New Roman"/>
          <w:color w:val="000000" w:themeColor="text1"/>
        </w:rPr>
        <w:t>月</w:t>
      </w:r>
      <w:r w:rsidRPr="00B27A29">
        <w:rPr>
          <w:rFonts w:ascii="Times New Roman" w:eastAsiaTheme="minorEastAsia" w:hAnsi="Times New Roman"/>
          <w:color w:val="000000" w:themeColor="text1"/>
        </w:rPr>
        <w:t>1</w:t>
      </w:r>
      <w:r w:rsidRPr="00B27A29">
        <w:rPr>
          <w:rFonts w:ascii="Times New Roman" w:eastAsiaTheme="minorEastAsia" w:hAnsi="Times New Roman"/>
          <w:color w:val="000000" w:themeColor="text1"/>
        </w:rPr>
        <w:t>日至</w:t>
      </w:r>
      <w:r w:rsidRPr="00B27A29">
        <w:rPr>
          <w:rFonts w:ascii="Times New Roman" w:eastAsiaTheme="minorEastAsia" w:hAnsi="Times New Roman"/>
          <w:color w:val="000000" w:themeColor="text1"/>
        </w:rPr>
        <w:t>2023</w:t>
      </w:r>
      <w:r w:rsidRPr="00B27A29">
        <w:rPr>
          <w:rFonts w:ascii="Times New Roman" w:eastAsiaTheme="minorEastAsia" w:hAnsi="Times New Roman"/>
          <w:color w:val="000000" w:themeColor="text1"/>
        </w:rPr>
        <w:t>年</w:t>
      </w:r>
      <w:r w:rsidRPr="00B27A29">
        <w:rPr>
          <w:rFonts w:ascii="Times New Roman" w:eastAsiaTheme="minorEastAsia" w:hAnsi="Times New Roman"/>
          <w:color w:val="000000" w:themeColor="text1"/>
        </w:rPr>
        <w:t>12</w:t>
      </w:r>
      <w:r w:rsidRPr="00B27A29">
        <w:rPr>
          <w:rFonts w:ascii="Times New Roman" w:eastAsiaTheme="minorEastAsia" w:hAnsi="Times New Roman"/>
          <w:color w:val="000000" w:themeColor="text1"/>
        </w:rPr>
        <w:t>月</w:t>
      </w:r>
      <w:r w:rsidRPr="00B27A29">
        <w:rPr>
          <w:rFonts w:ascii="Times New Roman" w:eastAsiaTheme="minorEastAsia" w:hAnsi="Times New Roman"/>
          <w:color w:val="000000" w:themeColor="text1"/>
        </w:rPr>
        <w:t>31</w:t>
      </w:r>
      <w:r w:rsidRPr="00B27A29">
        <w:rPr>
          <w:rFonts w:ascii="Times New Roman" w:eastAsiaTheme="minorEastAsia" w:hAnsi="Times New Roman"/>
          <w:color w:val="000000" w:themeColor="text1"/>
        </w:rPr>
        <w:t>日</w:t>
      </w:r>
      <w:r w:rsidRPr="00B27A29">
        <w:rPr>
          <w:rFonts w:ascii="Times New Roman" w:eastAsiaTheme="minorEastAsia" w:hAnsi="Times New Roman"/>
          <w:color w:val="000000" w:themeColor="text1"/>
        </w:rPr>
        <w:t>)</w:t>
      </w:r>
    </w:p>
    <w:p w:rsidR="005E6DF3" w:rsidRPr="00B27A29" w:rsidRDefault="005C671B">
      <w:pPr>
        <w:snapToGrid w:val="0"/>
        <w:spacing w:line="360" w:lineRule="auto"/>
        <w:rPr>
          <w:rFonts w:eastAsiaTheme="minorEastAsia"/>
          <w:color w:val="000000" w:themeColor="text1"/>
          <w:szCs w:val="21"/>
        </w:rPr>
      </w:pPr>
      <w:r w:rsidRPr="00B27A29">
        <w:rPr>
          <w:rFonts w:eastAsiaTheme="minorEastAsia"/>
          <w:color w:val="000000" w:themeColor="text1"/>
          <w:szCs w:val="21"/>
        </w:rPr>
        <w:t>1</w:t>
      </w:r>
      <w:r w:rsidRPr="00B27A29">
        <w:rPr>
          <w:rFonts w:eastAsiaTheme="minorEastAsia"/>
          <w:color w:val="000000" w:themeColor="text1"/>
          <w:szCs w:val="21"/>
        </w:rPr>
        <w:t>．摩根健康品质生活混合</w:t>
      </w:r>
      <w:r w:rsidRPr="00B27A29">
        <w:rPr>
          <w:rFonts w:eastAsiaTheme="minorEastAsia"/>
          <w:color w:val="000000" w:themeColor="text1"/>
          <w:szCs w:val="21"/>
        </w:rPr>
        <w:t>A</w:t>
      </w:r>
      <w:r w:rsidRPr="00B27A29">
        <w:rPr>
          <w:rFonts w:eastAsiaTheme="minorEastAsia"/>
          <w:color w:val="000000" w:themeColor="text1"/>
          <w:szCs w:val="21"/>
        </w:rPr>
        <w:t>：</w:t>
      </w:r>
    </w:p>
    <w:p w:rsidR="005E6DF3" w:rsidRPr="00B27A29" w:rsidRDefault="005C671B">
      <w:pPr>
        <w:pStyle w:val="20"/>
        <w:spacing w:line="288" w:lineRule="auto"/>
        <w:ind w:firstLineChars="0" w:firstLine="0"/>
        <w:jc w:val="center"/>
        <w:rPr>
          <w:rFonts w:ascii="Times New Roman" w:eastAsiaTheme="minorEastAsia" w:hAnsi="Times New Roman"/>
          <w:color w:val="000000" w:themeColor="text1"/>
          <w:sz w:val="21"/>
          <w:szCs w:val="21"/>
        </w:rPr>
      </w:pPr>
      <w:r w:rsidRPr="00B27A29">
        <w:rPr>
          <w:rFonts w:ascii="Times New Roman" w:eastAsiaTheme="minorEastAsia" w:hAnsi="Times New Roman"/>
          <w:noProof/>
          <w:color w:val="000000" w:themeColor="text1"/>
          <w:sz w:val="21"/>
          <w:szCs w:val="21"/>
        </w:rPr>
        <w:drawing>
          <wp:inline distT="0" distB="0" distL="0" distR="0" wp14:anchorId="5E1D8726" wp14:editId="2DD6A0AF">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 xml:space="preserve"> </w:t>
      </w:r>
      <w:r>
        <w:rPr>
          <w:rFonts w:eastAsiaTheme="minorEastAsia"/>
          <w:color w:val="000000" w:themeColor="text1"/>
          <w:szCs w:val="21"/>
        </w:rPr>
        <w:t>图示的时间段为合同生效日至本报告期末。</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本基金建仓期为本基金合同生效日起</w:t>
      </w:r>
      <w:r w:rsidRPr="00B27A29">
        <w:rPr>
          <w:rFonts w:eastAsiaTheme="minorEastAsia"/>
          <w:color w:val="000000" w:themeColor="text1"/>
          <w:szCs w:val="21"/>
        </w:rPr>
        <w:t>6</w:t>
      </w:r>
      <w:r w:rsidRPr="00B27A29">
        <w:rPr>
          <w:rFonts w:eastAsiaTheme="minorEastAsia"/>
          <w:color w:val="000000" w:themeColor="text1"/>
          <w:szCs w:val="21"/>
        </w:rPr>
        <w:t>个月，建仓期结束时资产配置比例符合本基金基金合同规定。</w:t>
      </w:r>
    </w:p>
    <w:p w:rsidR="005E6DF3" w:rsidRPr="00B27A29" w:rsidRDefault="005C671B">
      <w:pPr>
        <w:snapToGrid w:val="0"/>
        <w:spacing w:beforeLines="100" w:before="312" w:line="360" w:lineRule="auto"/>
        <w:rPr>
          <w:rFonts w:eastAsiaTheme="minorEastAsia"/>
          <w:color w:val="000000" w:themeColor="text1"/>
          <w:szCs w:val="21"/>
        </w:rPr>
      </w:pPr>
      <w:r w:rsidRPr="00B27A29">
        <w:rPr>
          <w:rFonts w:eastAsiaTheme="minorEastAsia"/>
          <w:color w:val="000000" w:themeColor="text1"/>
          <w:szCs w:val="21"/>
        </w:rPr>
        <w:t>2</w:t>
      </w:r>
      <w:r w:rsidRPr="00B27A29">
        <w:rPr>
          <w:rFonts w:eastAsiaTheme="minorEastAsia"/>
          <w:color w:val="000000" w:themeColor="text1"/>
          <w:szCs w:val="21"/>
        </w:rPr>
        <w:t>．摩根健康品质生活混合</w:t>
      </w:r>
      <w:r w:rsidRPr="00B27A29">
        <w:rPr>
          <w:rFonts w:eastAsiaTheme="minorEastAsia"/>
          <w:color w:val="000000" w:themeColor="text1"/>
          <w:szCs w:val="21"/>
        </w:rPr>
        <w:t>C</w:t>
      </w:r>
      <w:r w:rsidRPr="00B27A29">
        <w:rPr>
          <w:rFonts w:eastAsiaTheme="minorEastAsia"/>
          <w:color w:val="000000" w:themeColor="text1"/>
          <w:szCs w:val="21"/>
        </w:rPr>
        <w:t>：</w:t>
      </w:r>
    </w:p>
    <w:p w:rsidR="005E6DF3" w:rsidRPr="00B27A29" w:rsidRDefault="005C671B">
      <w:pPr>
        <w:pStyle w:val="20"/>
        <w:spacing w:line="288" w:lineRule="auto"/>
        <w:ind w:firstLineChars="0" w:firstLine="0"/>
        <w:jc w:val="center"/>
        <w:rPr>
          <w:rFonts w:ascii="Times New Roman" w:eastAsiaTheme="minorEastAsia" w:hAnsi="Times New Roman"/>
          <w:color w:val="000000" w:themeColor="text1"/>
          <w:sz w:val="21"/>
          <w:szCs w:val="21"/>
        </w:rPr>
      </w:pPr>
      <w:r w:rsidRPr="00B27A29">
        <w:rPr>
          <w:rFonts w:ascii="Times New Roman" w:eastAsiaTheme="minorEastAsia" w:hAnsi="Times New Roman"/>
          <w:noProof/>
          <w:color w:val="000000" w:themeColor="text1"/>
          <w:sz w:val="21"/>
          <w:szCs w:val="21"/>
        </w:rPr>
        <w:lastRenderedPageBreak/>
        <w:drawing>
          <wp:inline distT="0" distB="0" distL="0" distR="0" wp14:anchorId="1DDF3849" wp14:editId="177F12C7">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注：本基金自</w:t>
      </w:r>
      <w:r>
        <w:rPr>
          <w:rFonts w:eastAsiaTheme="minorEastAsia"/>
          <w:color w:val="000000" w:themeColor="text1"/>
          <w:szCs w:val="21"/>
        </w:rPr>
        <w:t xml:space="preserve"> </w:t>
      </w:r>
      <w:r>
        <w:rPr>
          <w:rFonts w:eastAsiaTheme="minorEastAsia"/>
          <w:color w:val="000000" w:themeColor="text1"/>
          <w:szCs w:val="21"/>
        </w:rPr>
        <w:t>2022</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日起增加</w:t>
      </w:r>
      <w:r>
        <w:rPr>
          <w:rFonts w:eastAsiaTheme="minorEastAsia"/>
          <w:color w:val="000000" w:themeColor="text1"/>
          <w:szCs w:val="21"/>
        </w:rPr>
        <w:t>C</w:t>
      </w:r>
      <w:r>
        <w:rPr>
          <w:rFonts w:eastAsiaTheme="minorEastAsia"/>
          <w:color w:val="000000" w:themeColor="text1"/>
          <w:szCs w:val="21"/>
        </w:rPr>
        <w:t>类份额，相关数据按实际存续期计算。</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本基金建仓期为本基金合同生效日起</w:t>
      </w:r>
      <w:r w:rsidRPr="00B27A29">
        <w:rPr>
          <w:rFonts w:eastAsiaTheme="minorEastAsia"/>
          <w:color w:val="000000" w:themeColor="text1"/>
          <w:szCs w:val="21"/>
        </w:rPr>
        <w:t>6</w:t>
      </w:r>
      <w:r w:rsidRPr="00B27A29">
        <w:rPr>
          <w:rFonts w:eastAsiaTheme="minorEastAsia"/>
          <w:color w:val="000000" w:themeColor="text1"/>
          <w:szCs w:val="21"/>
        </w:rPr>
        <w:t>个月，建仓期结束时资产配置比例符合本基金基金合同规定。</w:t>
      </w:r>
    </w:p>
    <w:p w:rsidR="005E6DF3" w:rsidRPr="00B27A29" w:rsidRDefault="005E6DF3">
      <w:pPr>
        <w:tabs>
          <w:tab w:val="left" w:pos="1800"/>
        </w:tabs>
        <w:spacing w:line="288" w:lineRule="auto"/>
        <w:rPr>
          <w:rFonts w:eastAsiaTheme="minorEastAsia"/>
          <w:color w:val="000000" w:themeColor="text1"/>
          <w:szCs w:val="21"/>
        </w:rPr>
      </w:pP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§4  </w:t>
      </w:r>
      <w:r w:rsidRPr="00B27A29">
        <w:rPr>
          <w:rFonts w:eastAsiaTheme="minorEastAsia"/>
          <w:color w:val="000000" w:themeColor="text1"/>
          <w:kern w:val="0"/>
          <w:sz w:val="21"/>
          <w:szCs w:val="21"/>
        </w:rPr>
        <w:t>管理人报告</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4.1 </w:t>
      </w:r>
      <w:r w:rsidRPr="00B27A29">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5E6DF3" w:rsidRPr="00B27A29">
        <w:tc>
          <w:tcPr>
            <w:tcW w:w="952"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姓名</w:t>
            </w:r>
          </w:p>
        </w:tc>
        <w:tc>
          <w:tcPr>
            <w:tcW w:w="930"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职务</w:t>
            </w:r>
          </w:p>
        </w:tc>
        <w:tc>
          <w:tcPr>
            <w:tcW w:w="2519" w:type="dxa"/>
            <w:gridSpan w:val="2"/>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任本基金的基金经理期限</w:t>
            </w:r>
          </w:p>
        </w:tc>
        <w:tc>
          <w:tcPr>
            <w:tcW w:w="1254"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证券从业年限</w:t>
            </w:r>
          </w:p>
        </w:tc>
        <w:tc>
          <w:tcPr>
            <w:tcW w:w="3276" w:type="dxa"/>
            <w:vMerge w:val="restart"/>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说明</w:t>
            </w:r>
          </w:p>
        </w:tc>
      </w:tr>
      <w:tr w:rsidR="005E6DF3" w:rsidRPr="00B27A29">
        <w:tc>
          <w:tcPr>
            <w:tcW w:w="952"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任职日期</w:t>
            </w:r>
          </w:p>
        </w:tc>
        <w:tc>
          <w:tcPr>
            <w:tcW w:w="1309" w:type="dxa"/>
            <w:vAlign w:val="center"/>
          </w:tcPr>
          <w:p w:rsidR="005E6DF3" w:rsidRPr="00B27A29" w:rsidRDefault="005C671B">
            <w:pPr>
              <w:autoSpaceDE w:val="0"/>
              <w:autoSpaceDN w:val="0"/>
              <w:adjustRightInd w:val="0"/>
              <w:spacing w:before="29" w:line="288" w:lineRule="auto"/>
              <w:ind w:left="15"/>
              <w:jc w:val="center"/>
              <w:rPr>
                <w:rFonts w:eastAsiaTheme="minorEastAsia"/>
                <w:color w:val="000000" w:themeColor="text1"/>
                <w:kern w:val="0"/>
                <w:szCs w:val="21"/>
              </w:rPr>
            </w:pPr>
            <w:r w:rsidRPr="00B27A29">
              <w:rPr>
                <w:rFonts w:eastAsiaTheme="minorEastAsia"/>
                <w:color w:val="000000" w:themeColor="text1"/>
                <w:kern w:val="0"/>
                <w:szCs w:val="21"/>
              </w:rPr>
              <w:t>离任日期</w:t>
            </w:r>
          </w:p>
        </w:tc>
        <w:tc>
          <w:tcPr>
            <w:tcW w:w="1254"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5E6DF3" w:rsidRPr="00B27A29" w:rsidRDefault="005E6DF3">
            <w:pPr>
              <w:autoSpaceDE w:val="0"/>
              <w:autoSpaceDN w:val="0"/>
              <w:adjustRightInd w:val="0"/>
              <w:spacing w:before="29" w:line="288" w:lineRule="auto"/>
              <w:ind w:left="15"/>
              <w:jc w:val="center"/>
              <w:rPr>
                <w:rFonts w:eastAsiaTheme="minorEastAsia"/>
                <w:color w:val="000000" w:themeColor="text1"/>
                <w:kern w:val="0"/>
                <w:szCs w:val="21"/>
              </w:rPr>
            </w:pPr>
          </w:p>
        </w:tc>
      </w:tr>
      <w:tr w:rsidR="00061C7C">
        <w:tc>
          <w:tcPr>
            <w:tcW w:w="952" w:type="dxa"/>
            <w:vAlign w:val="center"/>
          </w:tcPr>
          <w:p w:rsidR="00061C7C" w:rsidRDefault="008E5A63">
            <w:pPr>
              <w:jc w:val="center"/>
            </w:pPr>
            <w:r>
              <w:rPr>
                <w:rFonts w:eastAsiaTheme="minorEastAsia"/>
                <w:color w:val="000000" w:themeColor="text1"/>
                <w:szCs w:val="21"/>
              </w:rPr>
              <w:t>徐项楠</w:t>
            </w:r>
          </w:p>
        </w:tc>
        <w:tc>
          <w:tcPr>
            <w:tcW w:w="930" w:type="dxa"/>
            <w:vAlign w:val="center"/>
          </w:tcPr>
          <w:p w:rsidR="00061C7C" w:rsidRDefault="008E5A63">
            <w:pPr>
              <w:jc w:val="center"/>
            </w:pPr>
            <w:r>
              <w:rPr>
                <w:rFonts w:eastAsiaTheme="minorEastAsia"/>
                <w:color w:val="000000" w:themeColor="text1"/>
                <w:szCs w:val="21"/>
              </w:rPr>
              <w:t>本基金基金经理</w:t>
            </w:r>
          </w:p>
        </w:tc>
        <w:tc>
          <w:tcPr>
            <w:tcW w:w="1210" w:type="dxa"/>
            <w:vAlign w:val="center"/>
          </w:tcPr>
          <w:p w:rsidR="00061C7C" w:rsidRDefault="008E5A63">
            <w:pPr>
              <w:jc w:val="center"/>
            </w:pPr>
            <w:r>
              <w:rPr>
                <w:rFonts w:eastAsiaTheme="minorEastAsia"/>
                <w:color w:val="000000" w:themeColor="text1"/>
                <w:szCs w:val="21"/>
              </w:rPr>
              <w:t>2021-11-12</w:t>
            </w:r>
          </w:p>
        </w:tc>
        <w:tc>
          <w:tcPr>
            <w:tcW w:w="1309" w:type="dxa"/>
            <w:vAlign w:val="center"/>
          </w:tcPr>
          <w:p w:rsidR="00061C7C" w:rsidRDefault="008E5A63">
            <w:pPr>
              <w:jc w:val="center"/>
            </w:pPr>
            <w:r>
              <w:rPr>
                <w:rFonts w:eastAsiaTheme="minorEastAsia"/>
                <w:color w:val="000000" w:themeColor="text1"/>
                <w:szCs w:val="21"/>
              </w:rPr>
              <w:t>-</w:t>
            </w:r>
          </w:p>
        </w:tc>
        <w:tc>
          <w:tcPr>
            <w:tcW w:w="1254" w:type="dxa"/>
            <w:vAlign w:val="center"/>
          </w:tcPr>
          <w:p w:rsidR="00061C7C" w:rsidRDefault="008E5A63">
            <w:pPr>
              <w:jc w:val="center"/>
            </w:pPr>
            <w:r>
              <w:rPr>
                <w:rFonts w:eastAsiaTheme="minorEastAsia"/>
                <w:color w:val="000000" w:themeColor="text1"/>
                <w:szCs w:val="21"/>
              </w:rPr>
              <w:t>10</w:t>
            </w:r>
            <w:r>
              <w:rPr>
                <w:rFonts w:eastAsiaTheme="minorEastAsia"/>
                <w:color w:val="000000" w:themeColor="text1"/>
                <w:szCs w:val="21"/>
              </w:rPr>
              <w:t>年</w:t>
            </w:r>
          </w:p>
        </w:tc>
        <w:tc>
          <w:tcPr>
            <w:tcW w:w="3276" w:type="dxa"/>
            <w:vAlign w:val="center"/>
          </w:tcPr>
          <w:p w:rsidR="00061C7C" w:rsidRDefault="008E5A63">
            <w:r>
              <w:rPr>
                <w:rFonts w:eastAsiaTheme="minorEastAsia"/>
                <w:color w:val="000000" w:themeColor="text1"/>
                <w:szCs w:val="21"/>
              </w:rPr>
              <w:t>徐项楠先生曾任中海基金管理有限公司行业分析师，中银基金管理有限公司高级分析师。</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月加入摩根基金管理（中国）有限公司（原上投摩根基金管理有限公司），历任研究员、行业专家、行业专家</w:t>
            </w:r>
            <w:r>
              <w:rPr>
                <w:rFonts w:eastAsiaTheme="minorEastAsia"/>
                <w:color w:val="000000" w:themeColor="text1"/>
                <w:szCs w:val="21"/>
              </w:rPr>
              <w:t>/</w:t>
            </w:r>
            <w:r>
              <w:rPr>
                <w:rFonts w:eastAsiaTheme="minorEastAsia"/>
                <w:color w:val="000000" w:themeColor="text1"/>
                <w:szCs w:val="21"/>
              </w:rPr>
              <w:t>基金经理助理，现任高级基金经理。</w:t>
            </w:r>
          </w:p>
        </w:tc>
      </w:tr>
    </w:tbl>
    <w:p w:rsidR="00061C7C" w:rsidRDefault="008E5A6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任职日期和离任日期均指根据公司决定确定的聘任日期和解聘日期。</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2.</w:t>
      </w:r>
      <w:r w:rsidRPr="00B27A29">
        <w:rPr>
          <w:rFonts w:eastAsiaTheme="minorEastAsia"/>
          <w:color w:val="000000" w:themeColor="text1"/>
          <w:szCs w:val="21"/>
        </w:rPr>
        <w:t>证券从业的含义遵从行业协会《证券业从业人员资格管理办法》的相关规定。</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lastRenderedPageBreak/>
        <w:t>4.2</w:t>
      </w:r>
      <w:r w:rsidRPr="00B27A29">
        <w:rPr>
          <w:rFonts w:eastAsiaTheme="minorEastAsia"/>
          <w:b/>
          <w:color w:val="000000" w:themeColor="text1"/>
          <w:kern w:val="0"/>
          <w:szCs w:val="21"/>
        </w:rPr>
        <w:t>管理人对报告期内本基金运作遵规守信情况的说明</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本基金基金合同的规定。除以下情况外，基金经理对个股和投资组合的比例遵循了投资决策委员会的授权限制，基金投资比例符合基金合同和法律法规的要求：本基金曾出现个别由于市场原因引起的投资组合的投资指标被动偏离相关比例要求的情形，但已在规定时间内调整完毕。</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4.3 </w:t>
      </w:r>
      <w:r w:rsidRPr="00B27A29">
        <w:rPr>
          <w:rFonts w:eastAsiaTheme="minorEastAsia"/>
          <w:b/>
          <w:color w:val="000000" w:themeColor="text1"/>
          <w:kern w:val="0"/>
          <w:szCs w:val="21"/>
        </w:rPr>
        <w:t>公平交易专项说明</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 xml:space="preserve">4.3.1 </w:t>
      </w:r>
      <w:r w:rsidRPr="00B27A29">
        <w:rPr>
          <w:rFonts w:eastAsiaTheme="minorEastAsia"/>
          <w:color w:val="000000" w:themeColor="text1"/>
          <w:szCs w:val="21"/>
        </w:rPr>
        <w:t>公平交易制度的执行情况</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w:t>
      </w:r>
      <w:r>
        <w:rPr>
          <w:rFonts w:eastAsiaTheme="minorEastAsia"/>
          <w:color w:val="000000" w:themeColor="text1"/>
          <w:szCs w:val="21"/>
        </w:rPr>
        <w:t>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w:t>
      </w:r>
      <w:r>
        <w:rPr>
          <w:rFonts w:eastAsiaTheme="minorEastAsia"/>
          <w:color w:val="000000" w:themeColor="text1"/>
          <w:szCs w:val="21"/>
        </w:rPr>
        <w:t>风险并检查价格公允性；对于申购投资行为，本公司遵循价格优先、比例分配的原则，根据事前独立申报的价格和数量对交易结果进行公平分配。</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 xml:space="preserve">4.3.2 </w:t>
      </w:r>
      <w:r w:rsidRPr="00B27A29">
        <w:rPr>
          <w:rFonts w:eastAsiaTheme="minorEastAsia"/>
          <w:color w:val="000000" w:themeColor="text1"/>
          <w:szCs w:val="21"/>
        </w:rPr>
        <w:t>异常交易行为的专项说明</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所有投资组合参与的交易所公开竞价同日反向交易成交较少的单边交易量超过该证券当日成交量的</w:t>
      </w:r>
      <w:r w:rsidRPr="00B27A29">
        <w:rPr>
          <w:rFonts w:eastAsiaTheme="minorEastAsia"/>
          <w:color w:val="000000" w:themeColor="text1"/>
          <w:szCs w:val="21"/>
        </w:rPr>
        <w:t>5%</w:t>
      </w:r>
      <w:r w:rsidRPr="00B27A29">
        <w:rPr>
          <w:rFonts w:eastAsiaTheme="minorEastAsia"/>
          <w:color w:val="000000" w:themeColor="text1"/>
          <w:szCs w:val="21"/>
        </w:rPr>
        <w:t>的情形：无。</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4.4 </w:t>
      </w:r>
      <w:r w:rsidRPr="00B27A29">
        <w:rPr>
          <w:rFonts w:eastAsiaTheme="minorEastAsia"/>
          <w:b/>
          <w:color w:val="000000" w:themeColor="text1"/>
          <w:kern w:val="0"/>
          <w:szCs w:val="21"/>
        </w:rPr>
        <w:t>报告期内基金的投资策略和业绩表现说明</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4.4.1</w:t>
      </w:r>
      <w:r w:rsidRPr="00B27A29">
        <w:rPr>
          <w:rFonts w:eastAsiaTheme="minorEastAsia"/>
          <w:color w:val="000000" w:themeColor="text1"/>
          <w:szCs w:val="21"/>
        </w:rPr>
        <w:t>报告期内基金投资策略和运作分析</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2023</w:t>
      </w:r>
      <w:r>
        <w:rPr>
          <w:rFonts w:eastAsiaTheme="minorEastAsia"/>
          <w:color w:val="000000" w:themeColor="text1"/>
          <w:szCs w:val="21"/>
        </w:rPr>
        <w:t>年第四季度经济呈现弱恢复和结构性分化的特征。由于</w:t>
      </w:r>
      <w:r>
        <w:rPr>
          <w:rFonts w:eastAsiaTheme="minorEastAsia"/>
          <w:color w:val="000000" w:themeColor="text1"/>
          <w:szCs w:val="21"/>
        </w:rPr>
        <w:t>2022</w:t>
      </w:r>
      <w:r>
        <w:rPr>
          <w:rFonts w:eastAsiaTheme="minorEastAsia"/>
          <w:color w:val="000000" w:themeColor="text1"/>
          <w:szCs w:val="21"/>
        </w:rPr>
        <w:t>年四季度疫情影响带来的</w:t>
      </w:r>
      <w:r>
        <w:rPr>
          <w:rFonts w:eastAsiaTheme="minorEastAsia"/>
          <w:color w:val="000000" w:themeColor="text1"/>
          <w:szCs w:val="21"/>
        </w:rPr>
        <w:lastRenderedPageBreak/>
        <w:t>低基数，</w:t>
      </w:r>
      <w:r>
        <w:rPr>
          <w:rFonts w:eastAsiaTheme="minorEastAsia"/>
          <w:color w:val="000000" w:themeColor="text1"/>
          <w:szCs w:val="21"/>
        </w:rPr>
        <w:t>2023</w:t>
      </w:r>
      <w:r>
        <w:rPr>
          <w:rFonts w:eastAsiaTheme="minorEastAsia"/>
          <w:color w:val="000000" w:themeColor="text1"/>
          <w:szCs w:val="21"/>
        </w:rPr>
        <w:t>年四季度各项经济数据的同比增速多数呈现上升态势。</w:t>
      </w:r>
      <w:r>
        <w:rPr>
          <w:rFonts w:eastAsiaTheme="minorEastAsia"/>
          <w:color w:val="000000" w:themeColor="text1"/>
          <w:szCs w:val="21"/>
        </w:rPr>
        <w:t>10</w:t>
      </w:r>
      <w:r>
        <w:rPr>
          <w:rFonts w:eastAsiaTheme="minorEastAsia"/>
          <w:color w:val="000000" w:themeColor="text1"/>
          <w:szCs w:val="21"/>
        </w:rPr>
        <w:t>、</w:t>
      </w:r>
      <w:r>
        <w:rPr>
          <w:rFonts w:eastAsiaTheme="minorEastAsia"/>
          <w:color w:val="000000" w:themeColor="text1"/>
          <w:szCs w:val="21"/>
        </w:rPr>
        <w:t>11</w:t>
      </w:r>
      <w:r>
        <w:rPr>
          <w:rFonts w:eastAsiaTheme="minorEastAsia"/>
          <w:color w:val="000000" w:themeColor="text1"/>
          <w:szCs w:val="21"/>
        </w:rPr>
        <w:t>月工业增加值同比增长</w:t>
      </w:r>
      <w:r>
        <w:rPr>
          <w:rFonts w:eastAsiaTheme="minorEastAsia"/>
          <w:color w:val="000000" w:themeColor="text1"/>
          <w:szCs w:val="21"/>
        </w:rPr>
        <w:t>4.6%</w:t>
      </w:r>
      <w:r>
        <w:rPr>
          <w:rFonts w:eastAsiaTheme="minorEastAsia"/>
          <w:color w:val="000000" w:themeColor="text1"/>
          <w:szCs w:val="21"/>
        </w:rPr>
        <w:t>、</w:t>
      </w:r>
      <w:r>
        <w:rPr>
          <w:rFonts w:eastAsiaTheme="minorEastAsia"/>
          <w:color w:val="000000" w:themeColor="text1"/>
          <w:szCs w:val="21"/>
        </w:rPr>
        <w:t>6.6%</w:t>
      </w:r>
      <w:r>
        <w:rPr>
          <w:rFonts w:eastAsiaTheme="minorEastAsia"/>
          <w:color w:val="000000" w:themeColor="text1"/>
          <w:szCs w:val="21"/>
        </w:rPr>
        <w:t>，较三季度均值</w:t>
      </w:r>
      <w:r>
        <w:rPr>
          <w:rFonts w:eastAsiaTheme="minorEastAsia"/>
          <w:color w:val="000000" w:themeColor="text1"/>
          <w:szCs w:val="21"/>
        </w:rPr>
        <w:t>4.2%</w:t>
      </w:r>
      <w:r>
        <w:rPr>
          <w:rFonts w:eastAsiaTheme="minorEastAsia"/>
          <w:color w:val="000000" w:themeColor="text1"/>
          <w:szCs w:val="21"/>
        </w:rPr>
        <w:t>有所提升。排除基数效应后，</w:t>
      </w:r>
      <w:r>
        <w:rPr>
          <w:rFonts w:eastAsiaTheme="minorEastAsia"/>
          <w:color w:val="000000" w:themeColor="text1"/>
          <w:szCs w:val="21"/>
        </w:rPr>
        <w:t>10</w:t>
      </w:r>
      <w:r>
        <w:rPr>
          <w:rFonts w:eastAsiaTheme="minorEastAsia"/>
          <w:color w:val="000000" w:themeColor="text1"/>
          <w:szCs w:val="21"/>
        </w:rPr>
        <w:t>、</w:t>
      </w:r>
      <w:r>
        <w:rPr>
          <w:rFonts w:eastAsiaTheme="minorEastAsia"/>
          <w:color w:val="000000" w:themeColor="text1"/>
          <w:szCs w:val="21"/>
        </w:rPr>
        <w:t>11</w:t>
      </w:r>
      <w:r>
        <w:rPr>
          <w:rFonts w:eastAsiaTheme="minorEastAsia"/>
          <w:color w:val="000000" w:themeColor="text1"/>
          <w:szCs w:val="21"/>
        </w:rPr>
        <w:t>月工业增加值环比为</w:t>
      </w:r>
      <w:r>
        <w:rPr>
          <w:rFonts w:eastAsiaTheme="minorEastAsia"/>
          <w:color w:val="000000" w:themeColor="text1"/>
          <w:szCs w:val="21"/>
        </w:rPr>
        <w:t>0.4%</w:t>
      </w:r>
      <w:r>
        <w:rPr>
          <w:rFonts w:eastAsiaTheme="minorEastAsia"/>
          <w:color w:val="000000" w:themeColor="text1"/>
          <w:szCs w:val="21"/>
        </w:rPr>
        <w:t>、</w:t>
      </w:r>
      <w:r>
        <w:rPr>
          <w:rFonts w:eastAsiaTheme="minorEastAsia"/>
          <w:color w:val="000000" w:themeColor="text1"/>
          <w:szCs w:val="21"/>
        </w:rPr>
        <w:t>0.9%</w:t>
      </w:r>
      <w:r>
        <w:rPr>
          <w:rFonts w:eastAsiaTheme="minorEastAsia"/>
          <w:color w:val="000000" w:themeColor="text1"/>
          <w:szCs w:val="21"/>
        </w:rPr>
        <w:t>，四年复合增速为</w:t>
      </w:r>
      <w:r>
        <w:rPr>
          <w:rFonts w:eastAsiaTheme="minorEastAsia"/>
          <w:color w:val="000000" w:themeColor="text1"/>
          <w:szCs w:val="21"/>
        </w:rPr>
        <w:t>5.0%</w:t>
      </w:r>
      <w:r>
        <w:rPr>
          <w:rFonts w:eastAsiaTheme="minorEastAsia"/>
          <w:color w:val="000000" w:themeColor="text1"/>
          <w:szCs w:val="21"/>
        </w:rPr>
        <w:t>、</w:t>
      </w:r>
      <w:r>
        <w:rPr>
          <w:rFonts w:eastAsiaTheme="minorEastAsia"/>
          <w:color w:val="000000" w:themeColor="text1"/>
          <w:szCs w:val="21"/>
        </w:rPr>
        <w:t>4.9%</w:t>
      </w:r>
      <w:r>
        <w:rPr>
          <w:rFonts w:eastAsiaTheme="minorEastAsia"/>
          <w:color w:val="000000" w:themeColor="text1"/>
          <w:szCs w:val="21"/>
        </w:rPr>
        <w:t>，较三季度均值</w:t>
      </w:r>
      <w:r>
        <w:rPr>
          <w:rFonts w:eastAsiaTheme="minorEastAsia"/>
          <w:color w:val="000000" w:themeColor="text1"/>
          <w:szCs w:val="21"/>
        </w:rPr>
        <w:t>0.4%</w:t>
      </w:r>
      <w:r>
        <w:rPr>
          <w:rFonts w:eastAsiaTheme="minorEastAsia"/>
          <w:color w:val="000000" w:themeColor="text1"/>
          <w:szCs w:val="21"/>
        </w:rPr>
        <w:t>和</w:t>
      </w:r>
      <w:r>
        <w:rPr>
          <w:rFonts w:eastAsiaTheme="minorEastAsia"/>
          <w:color w:val="000000" w:themeColor="text1"/>
          <w:szCs w:val="21"/>
        </w:rPr>
        <w:t>4.9%</w:t>
      </w:r>
      <w:r>
        <w:rPr>
          <w:rFonts w:eastAsiaTheme="minorEastAsia"/>
          <w:color w:val="000000" w:themeColor="text1"/>
          <w:szCs w:val="21"/>
        </w:rPr>
        <w:t>略有提升。需求相比供给仍显不足。外部来看，美联储连续收紧货币政策背景下，</w:t>
      </w:r>
      <w:r>
        <w:rPr>
          <w:rFonts w:eastAsiaTheme="minorEastAsia"/>
          <w:color w:val="000000" w:themeColor="text1"/>
          <w:szCs w:val="21"/>
        </w:rPr>
        <w:t>2022</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月开始，发达国家制造业</w:t>
      </w:r>
      <w:r>
        <w:rPr>
          <w:rFonts w:eastAsiaTheme="minorEastAsia"/>
          <w:color w:val="000000" w:themeColor="text1"/>
          <w:szCs w:val="21"/>
        </w:rPr>
        <w:t>PMI</w:t>
      </w:r>
      <w:r>
        <w:rPr>
          <w:rFonts w:eastAsiaTheme="minorEastAsia"/>
          <w:color w:val="000000" w:themeColor="text1"/>
          <w:szCs w:val="21"/>
        </w:rPr>
        <w:t>连续</w:t>
      </w:r>
      <w:r>
        <w:rPr>
          <w:rFonts w:eastAsiaTheme="minorEastAsia"/>
          <w:color w:val="000000" w:themeColor="text1"/>
          <w:szCs w:val="21"/>
        </w:rPr>
        <w:t>13</w:t>
      </w:r>
      <w:r>
        <w:rPr>
          <w:rFonts w:eastAsiaTheme="minorEastAsia"/>
          <w:color w:val="000000" w:themeColor="text1"/>
          <w:szCs w:val="21"/>
        </w:rPr>
        <w:t>个月位于荣枯线以下，且地缘政治等</w:t>
      </w:r>
      <w:r>
        <w:rPr>
          <w:rFonts w:eastAsiaTheme="minorEastAsia"/>
          <w:color w:val="000000" w:themeColor="text1"/>
          <w:szCs w:val="21"/>
        </w:rPr>
        <w:t>因素影响下，部分西方国家</w:t>
      </w:r>
      <w:r>
        <w:rPr>
          <w:rFonts w:eastAsiaTheme="minorEastAsia"/>
          <w:color w:val="000000" w:themeColor="text1"/>
          <w:szCs w:val="21"/>
        </w:rPr>
        <w:t>“</w:t>
      </w:r>
      <w:r>
        <w:rPr>
          <w:rFonts w:eastAsiaTheme="minorEastAsia"/>
          <w:color w:val="000000" w:themeColor="text1"/>
          <w:szCs w:val="21"/>
        </w:rPr>
        <w:t>去中心化</w:t>
      </w:r>
      <w:r>
        <w:rPr>
          <w:rFonts w:eastAsiaTheme="minorEastAsia"/>
          <w:color w:val="000000" w:themeColor="text1"/>
          <w:szCs w:val="21"/>
        </w:rPr>
        <w:t>”</w:t>
      </w:r>
      <w:r>
        <w:rPr>
          <w:rFonts w:eastAsiaTheme="minorEastAsia"/>
          <w:color w:val="000000" w:themeColor="text1"/>
          <w:szCs w:val="21"/>
        </w:rPr>
        <w:t>政策或已逐渐开始作用于中国出口，中国出口份额也有所下降。四季度起发达国家制造业在低库存带动下略有边际改善，</w:t>
      </w:r>
      <w:r>
        <w:rPr>
          <w:rFonts w:eastAsiaTheme="minorEastAsia"/>
          <w:color w:val="000000" w:themeColor="text1"/>
          <w:szCs w:val="21"/>
        </w:rPr>
        <w:t>10</w:t>
      </w:r>
      <w:r>
        <w:rPr>
          <w:rFonts w:eastAsiaTheme="minorEastAsia"/>
          <w:color w:val="000000" w:themeColor="text1"/>
          <w:szCs w:val="21"/>
        </w:rPr>
        <w:t>、</w:t>
      </w:r>
      <w:r>
        <w:rPr>
          <w:rFonts w:eastAsiaTheme="minorEastAsia"/>
          <w:color w:val="000000" w:themeColor="text1"/>
          <w:szCs w:val="21"/>
        </w:rPr>
        <w:t>11</w:t>
      </w:r>
      <w:r>
        <w:rPr>
          <w:rFonts w:eastAsiaTheme="minorEastAsia"/>
          <w:color w:val="000000" w:themeColor="text1"/>
          <w:szCs w:val="21"/>
        </w:rPr>
        <w:t>月出口同比增速在低基数背景下也相应有所改善，分别为</w:t>
      </w:r>
      <w:r>
        <w:rPr>
          <w:rFonts w:eastAsiaTheme="minorEastAsia"/>
          <w:color w:val="000000" w:themeColor="text1"/>
          <w:szCs w:val="21"/>
        </w:rPr>
        <w:t>-6.4%</w:t>
      </w:r>
      <w:r>
        <w:rPr>
          <w:rFonts w:eastAsiaTheme="minorEastAsia"/>
          <w:color w:val="000000" w:themeColor="text1"/>
          <w:szCs w:val="21"/>
        </w:rPr>
        <w:t>、</w:t>
      </w:r>
      <w:r>
        <w:rPr>
          <w:rFonts w:eastAsiaTheme="minorEastAsia"/>
          <w:color w:val="000000" w:themeColor="text1"/>
          <w:szCs w:val="21"/>
        </w:rPr>
        <w:t>0.5%</w:t>
      </w:r>
      <w:r>
        <w:rPr>
          <w:rFonts w:eastAsiaTheme="minorEastAsia"/>
          <w:color w:val="000000" w:themeColor="text1"/>
          <w:szCs w:val="21"/>
        </w:rPr>
        <w:t>，高于三季度均值</w:t>
      </w:r>
      <w:r>
        <w:rPr>
          <w:rFonts w:eastAsiaTheme="minorEastAsia"/>
          <w:color w:val="000000" w:themeColor="text1"/>
          <w:szCs w:val="21"/>
        </w:rPr>
        <w:t>-9.8%</w:t>
      </w:r>
      <w:r>
        <w:rPr>
          <w:rFonts w:eastAsiaTheme="minorEastAsia"/>
          <w:color w:val="000000" w:themeColor="text1"/>
          <w:szCs w:val="21"/>
        </w:rPr>
        <w:t>，但是整体仍然偏弱。内部来看，虽然房地产政策在供需两端持续放松，但是金融周期下行背景下，房地产业持续偏弱，对需求拖累较大。</w:t>
      </w:r>
      <w:r>
        <w:rPr>
          <w:rFonts w:eastAsiaTheme="minorEastAsia"/>
          <w:color w:val="000000" w:themeColor="text1"/>
          <w:szCs w:val="21"/>
        </w:rPr>
        <w:t>1-11</w:t>
      </w:r>
      <w:r>
        <w:rPr>
          <w:rFonts w:eastAsiaTheme="minorEastAsia"/>
          <w:color w:val="000000" w:themeColor="text1"/>
          <w:szCs w:val="21"/>
        </w:rPr>
        <w:t>月固定资产投资增速同比增长</w:t>
      </w:r>
      <w:r>
        <w:rPr>
          <w:rFonts w:eastAsiaTheme="minorEastAsia"/>
          <w:color w:val="000000" w:themeColor="text1"/>
          <w:szCs w:val="21"/>
        </w:rPr>
        <w:t>2.9%</w:t>
      </w:r>
      <w:r>
        <w:rPr>
          <w:rFonts w:eastAsiaTheme="minorEastAsia"/>
          <w:color w:val="000000" w:themeColor="text1"/>
          <w:szCs w:val="21"/>
        </w:rPr>
        <w:t>，较前三季度的</w:t>
      </w:r>
      <w:r>
        <w:rPr>
          <w:rFonts w:eastAsiaTheme="minorEastAsia"/>
          <w:color w:val="000000" w:themeColor="text1"/>
          <w:szCs w:val="21"/>
        </w:rPr>
        <w:t>3.1%</w:t>
      </w:r>
      <w:r>
        <w:rPr>
          <w:rFonts w:eastAsiaTheme="minorEastAsia"/>
          <w:color w:val="000000" w:themeColor="text1"/>
          <w:szCs w:val="21"/>
        </w:rPr>
        <w:t>进一步下滑。其中基建、制造业投资仍有支撑，</w:t>
      </w:r>
      <w:r>
        <w:rPr>
          <w:rFonts w:eastAsiaTheme="minorEastAsia"/>
          <w:color w:val="000000" w:themeColor="text1"/>
          <w:szCs w:val="21"/>
        </w:rPr>
        <w:t>1-11</w:t>
      </w:r>
      <w:r>
        <w:rPr>
          <w:rFonts w:eastAsiaTheme="minorEastAsia"/>
          <w:color w:val="000000" w:themeColor="text1"/>
          <w:szCs w:val="21"/>
        </w:rPr>
        <w:t>月投资增速分别同比增长</w:t>
      </w:r>
      <w:r>
        <w:rPr>
          <w:rFonts w:eastAsiaTheme="minorEastAsia"/>
          <w:color w:val="000000" w:themeColor="text1"/>
          <w:szCs w:val="21"/>
        </w:rPr>
        <w:t>8.0</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6.3%</w:t>
      </w:r>
      <w:r>
        <w:rPr>
          <w:rFonts w:eastAsiaTheme="minorEastAsia"/>
          <w:color w:val="000000" w:themeColor="text1"/>
          <w:szCs w:val="21"/>
        </w:rPr>
        <w:t>（前三季度分别为</w:t>
      </w:r>
      <w:r>
        <w:rPr>
          <w:rFonts w:eastAsiaTheme="minorEastAsia"/>
          <w:color w:val="000000" w:themeColor="text1"/>
          <w:szCs w:val="21"/>
        </w:rPr>
        <w:t>8.6%</w:t>
      </w:r>
      <w:r>
        <w:rPr>
          <w:rFonts w:eastAsiaTheme="minorEastAsia"/>
          <w:color w:val="000000" w:themeColor="text1"/>
          <w:szCs w:val="21"/>
        </w:rPr>
        <w:t>、</w:t>
      </w:r>
      <w:r>
        <w:rPr>
          <w:rFonts w:eastAsiaTheme="minorEastAsia"/>
          <w:color w:val="000000" w:themeColor="text1"/>
          <w:szCs w:val="21"/>
        </w:rPr>
        <w:t>6.2%</w:t>
      </w:r>
      <w:r>
        <w:rPr>
          <w:rFonts w:eastAsiaTheme="minorEastAsia"/>
          <w:color w:val="000000" w:themeColor="text1"/>
          <w:szCs w:val="21"/>
        </w:rPr>
        <w:t>），但是</w:t>
      </w:r>
      <w:r>
        <w:rPr>
          <w:rFonts w:eastAsiaTheme="minorEastAsia"/>
          <w:color w:val="000000" w:themeColor="text1"/>
          <w:szCs w:val="21"/>
        </w:rPr>
        <w:t>1-11</w:t>
      </w:r>
      <w:r>
        <w:rPr>
          <w:rFonts w:eastAsiaTheme="minorEastAsia"/>
          <w:color w:val="000000" w:themeColor="text1"/>
          <w:szCs w:val="21"/>
        </w:rPr>
        <w:t>月房地产开发投资累计同比下滑</w:t>
      </w:r>
      <w:r>
        <w:rPr>
          <w:rFonts w:eastAsiaTheme="minorEastAsia"/>
          <w:color w:val="000000" w:themeColor="text1"/>
          <w:szCs w:val="21"/>
        </w:rPr>
        <w:t>9.4%</w:t>
      </w:r>
      <w:r>
        <w:rPr>
          <w:rFonts w:eastAsiaTheme="minorEastAsia"/>
          <w:color w:val="000000" w:themeColor="text1"/>
          <w:szCs w:val="21"/>
        </w:rPr>
        <w:t>（前三季度下滑</w:t>
      </w:r>
      <w:r>
        <w:rPr>
          <w:rFonts w:eastAsiaTheme="minorEastAsia"/>
          <w:color w:val="000000" w:themeColor="text1"/>
          <w:szCs w:val="21"/>
        </w:rPr>
        <w:t>9.1%</w:t>
      </w:r>
      <w:r>
        <w:rPr>
          <w:rFonts w:eastAsiaTheme="minorEastAsia"/>
          <w:color w:val="000000" w:themeColor="text1"/>
          <w:szCs w:val="21"/>
        </w:rPr>
        <w:t>）。消费虽然在低基数背景下同比增速较高，</w:t>
      </w:r>
      <w:r>
        <w:rPr>
          <w:rFonts w:eastAsiaTheme="minorEastAsia"/>
          <w:color w:val="000000" w:themeColor="text1"/>
          <w:szCs w:val="21"/>
        </w:rPr>
        <w:t>10</w:t>
      </w:r>
      <w:r>
        <w:rPr>
          <w:rFonts w:eastAsiaTheme="minorEastAsia"/>
          <w:color w:val="000000" w:themeColor="text1"/>
          <w:szCs w:val="21"/>
        </w:rPr>
        <w:t>、</w:t>
      </w:r>
      <w:r>
        <w:rPr>
          <w:rFonts w:eastAsiaTheme="minorEastAsia"/>
          <w:color w:val="000000" w:themeColor="text1"/>
          <w:szCs w:val="21"/>
        </w:rPr>
        <w:t>11</w:t>
      </w:r>
      <w:r>
        <w:rPr>
          <w:rFonts w:eastAsiaTheme="minorEastAsia"/>
          <w:color w:val="000000" w:themeColor="text1"/>
          <w:szCs w:val="21"/>
        </w:rPr>
        <w:t>月社会消费品零售总额同比增长</w:t>
      </w:r>
      <w:r>
        <w:rPr>
          <w:rFonts w:eastAsiaTheme="minorEastAsia"/>
          <w:color w:val="000000" w:themeColor="text1"/>
          <w:szCs w:val="21"/>
        </w:rPr>
        <w:t>7.6%</w:t>
      </w:r>
      <w:r>
        <w:rPr>
          <w:rFonts w:eastAsiaTheme="minorEastAsia"/>
          <w:color w:val="000000" w:themeColor="text1"/>
          <w:szCs w:val="21"/>
        </w:rPr>
        <w:t>、</w:t>
      </w:r>
      <w:r>
        <w:rPr>
          <w:rFonts w:eastAsiaTheme="minorEastAsia"/>
          <w:color w:val="000000" w:themeColor="text1"/>
          <w:szCs w:val="21"/>
        </w:rPr>
        <w:t>10.1%</w:t>
      </w:r>
      <w:r>
        <w:rPr>
          <w:rFonts w:eastAsiaTheme="minorEastAsia"/>
          <w:color w:val="000000" w:themeColor="text1"/>
          <w:szCs w:val="21"/>
        </w:rPr>
        <w:t>，高于三季度均值</w:t>
      </w:r>
      <w:r>
        <w:rPr>
          <w:rFonts w:eastAsiaTheme="minorEastAsia"/>
          <w:color w:val="000000" w:themeColor="text1"/>
          <w:szCs w:val="21"/>
        </w:rPr>
        <w:t>4.2%</w:t>
      </w:r>
      <w:r>
        <w:rPr>
          <w:rFonts w:eastAsiaTheme="minorEastAsia"/>
          <w:color w:val="000000" w:themeColor="text1"/>
          <w:szCs w:val="21"/>
        </w:rPr>
        <w:t>，但是消费者预期和信心偏弱，</w:t>
      </w:r>
      <w:r>
        <w:rPr>
          <w:rFonts w:eastAsiaTheme="minorEastAsia"/>
          <w:color w:val="000000" w:themeColor="text1"/>
          <w:szCs w:val="21"/>
        </w:rPr>
        <w:t>10</w:t>
      </w:r>
      <w:r>
        <w:rPr>
          <w:rFonts w:eastAsiaTheme="minorEastAsia"/>
          <w:color w:val="000000" w:themeColor="text1"/>
          <w:szCs w:val="21"/>
        </w:rPr>
        <w:t>、</w:t>
      </w:r>
      <w:r>
        <w:rPr>
          <w:rFonts w:eastAsiaTheme="minorEastAsia"/>
          <w:color w:val="000000" w:themeColor="text1"/>
          <w:szCs w:val="21"/>
        </w:rPr>
        <w:t>11</w:t>
      </w:r>
      <w:r>
        <w:rPr>
          <w:rFonts w:eastAsiaTheme="minorEastAsia"/>
          <w:color w:val="000000" w:themeColor="text1"/>
          <w:szCs w:val="21"/>
        </w:rPr>
        <w:t>月社会消费品零售总额环比增速分别为</w:t>
      </w:r>
      <w:r>
        <w:rPr>
          <w:rFonts w:eastAsiaTheme="minorEastAsia"/>
          <w:color w:val="000000" w:themeColor="text1"/>
          <w:szCs w:val="21"/>
        </w:rPr>
        <w:t>0.1%</w:t>
      </w:r>
      <w:r>
        <w:rPr>
          <w:rFonts w:eastAsiaTheme="minorEastAsia"/>
          <w:color w:val="000000" w:themeColor="text1"/>
          <w:szCs w:val="21"/>
        </w:rPr>
        <w:t>、</w:t>
      </w:r>
      <w:r>
        <w:rPr>
          <w:rFonts w:eastAsiaTheme="minorEastAsia"/>
          <w:color w:val="000000" w:themeColor="text1"/>
          <w:szCs w:val="21"/>
        </w:rPr>
        <w:t>-0.1%</w:t>
      </w:r>
      <w:r>
        <w:rPr>
          <w:rFonts w:eastAsiaTheme="minorEastAsia"/>
          <w:color w:val="000000" w:themeColor="text1"/>
          <w:szCs w:val="21"/>
        </w:rPr>
        <w:t>。需求弱于供给也导致了</w:t>
      </w:r>
      <w:r>
        <w:rPr>
          <w:rFonts w:eastAsiaTheme="minorEastAsia"/>
          <w:color w:val="000000" w:themeColor="text1"/>
          <w:szCs w:val="21"/>
        </w:rPr>
        <w:t>10</w:t>
      </w:r>
      <w:r>
        <w:rPr>
          <w:rFonts w:eastAsiaTheme="minorEastAsia"/>
          <w:color w:val="000000" w:themeColor="text1"/>
          <w:szCs w:val="21"/>
        </w:rPr>
        <w:t>、</w:t>
      </w:r>
      <w:r>
        <w:rPr>
          <w:rFonts w:eastAsiaTheme="minorEastAsia"/>
          <w:color w:val="000000" w:themeColor="text1"/>
          <w:szCs w:val="21"/>
        </w:rPr>
        <w:t>11</w:t>
      </w:r>
      <w:r>
        <w:rPr>
          <w:rFonts w:eastAsiaTheme="minorEastAsia"/>
          <w:color w:val="000000" w:themeColor="text1"/>
          <w:szCs w:val="21"/>
        </w:rPr>
        <w:t>月</w:t>
      </w:r>
      <w:r>
        <w:rPr>
          <w:rFonts w:eastAsiaTheme="minorEastAsia"/>
          <w:color w:val="000000" w:themeColor="text1"/>
          <w:szCs w:val="21"/>
        </w:rPr>
        <w:t>CPI</w:t>
      </w:r>
      <w:r>
        <w:rPr>
          <w:rFonts w:eastAsiaTheme="minorEastAsia"/>
          <w:color w:val="000000" w:themeColor="text1"/>
          <w:szCs w:val="21"/>
        </w:rPr>
        <w:t>和</w:t>
      </w:r>
      <w:r>
        <w:rPr>
          <w:rFonts w:eastAsiaTheme="minorEastAsia"/>
          <w:color w:val="000000" w:themeColor="text1"/>
          <w:szCs w:val="21"/>
        </w:rPr>
        <w:t>PPI</w:t>
      </w:r>
      <w:r>
        <w:rPr>
          <w:rFonts w:eastAsiaTheme="minorEastAsia"/>
          <w:color w:val="000000" w:themeColor="text1"/>
          <w:szCs w:val="21"/>
        </w:rPr>
        <w:t>同比降幅扩大。稳增长政策力度在第四季度有所加大，尤其是财政方面，增发一万亿元国债，将</w:t>
      </w:r>
      <w:r>
        <w:rPr>
          <w:rFonts w:eastAsiaTheme="minorEastAsia"/>
          <w:color w:val="000000" w:themeColor="text1"/>
          <w:szCs w:val="21"/>
        </w:rPr>
        <w:t>2023</w:t>
      </w:r>
      <w:r>
        <w:rPr>
          <w:rFonts w:eastAsiaTheme="minorEastAsia"/>
          <w:color w:val="000000" w:themeColor="text1"/>
          <w:szCs w:val="21"/>
        </w:rPr>
        <w:t>年预算赤字率从</w:t>
      </w:r>
      <w:r>
        <w:rPr>
          <w:rFonts w:eastAsiaTheme="minorEastAsia"/>
          <w:color w:val="000000" w:themeColor="text1"/>
          <w:szCs w:val="21"/>
        </w:rPr>
        <w:t>3%</w:t>
      </w:r>
      <w:r>
        <w:rPr>
          <w:rFonts w:eastAsiaTheme="minorEastAsia"/>
          <w:color w:val="000000" w:themeColor="text1"/>
          <w:szCs w:val="21"/>
        </w:rPr>
        <w:t>提升到</w:t>
      </w:r>
      <w:r>
        <w:rPr>
          <w:rFonts w:eastAsiaTheme="minorEastAsia"/>
          <w:color w:val="000000" w:themeColor="text1"/>
          <w:szCs w:val="21"/>
        </w:rPr>
        <w:t>3.8%</w:t>
      </w:r>
      <w:r>
        <w:rPr>
          <w:rFonts w:eastAsiaTheme="minorEastAsia"/>
          <w:color w:val="000000" w:themeColor="text1"/>
          <w:szCs w:val="21"/>
        </w:rPr>
        <w:t>，并且</w:t>
      </w:r>
      <w:r>
        <w:rPr>
          <w:rFonts w:eastAsiaTheme="minorEastAsia"/>
          <w:color w:val="000000" w:themeColor="text1"/>
          <w:szCs w:val="21"/>
        </w:rPr>
        <w:t>加大了地方债务化解力度。然而市场信心偏弱，北向资金整体流出，市场进一步调整。沪深</w:t>
      </w:r>
      <w:r>
        <w:rPr>
          <w:rFonts w:eastAsiaTheme="minorEastAsia"/>
          <w:color w:val="000000" w:themeColor="text1"/>
          <w:szCs w:val="21"/>
        </w:rPr>
        <w:t>300</w:t>
      </w:r>
      <w:r>
        <w:rPr>
          <w:rFonts w:eastAsiaTheme="minorEastAsia"/>
          <w:color w:val="000000" w:themeColor="text1"/>
          <w:szCs w:val="21"/>
        </w:rPr>
        <w:t>下跌</w:t>
      </w:r>
      <w:r>
        <w:rPr>
          <w:rFonts w:eastAsiaTheme="minorEastAsia"/>
          <w:color w:val="000000" w:themeColor="text1"/>
          <w:szCs w:val="21"/>
        </w:rPr>
        <w:t>7.0%</w:t>
      </w:r>
      <w:r>
        <w:rPr>
          <w:rFonts w:eastAsiaTheme="minorEastAsia"/>
          <w:color w:val="000000" w:themeColor="text1"/>
          <w:szCs w:val="21"/>
        </w:rPr>
        <w:t>，创业板指数下跌</w:t>
      </w:r>
      <w:r>
        <w:rPr>
          <w:rFonts w:eastAsiaTheme="minorEastAsia"/>
          <w:color w:val="000000" w:themeColor="text1"/>
          <w:szCs w:val="21"/>
        </w:rPr>
        <w:t>5.6%</w:t>
      </w:r>
      <w:r>
        <w:rPr>
          <w:rFonts w:eastAsiaTheme="minorEastAsia"/>
          <w:color w:val="000000" w:themeColor="text1"/>
          <w:szCs w:val="21"/>
        </w:rPr>
        <w:t>，从行业表现来看，综合、煤炭、电子等行业涨幅居前，房地产、建材、消费者服务等行业表现较为靠后。</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展望</w:t>
      </w:r>
      <w:r w:rsidRPr="00B27A29">
        <w:rPr>
          <w:rFonts w:eastAsiaTheme="minorEastAsia"/>
          <w:color w:val="000000" w:themeColor="text1"/>
          <w:szCs w:val="21"/>
        </w:rPr>
        <w:t>2024</w:t>
      </w:r>
      <w:r w:rsidRPr="00B27A29">
        <w:rPr>
          <w:rFonts w:eastAsiaTheme="minorEastAsia"/>
          <w:color w:val="000000" w:themeColor="text1"/>
          <w:szCs w:val="21"/>
        </w:rPr>
        <w:t>年第一季度，我们谨慎乐观。从外部来看，美联储已经停止加息，而</w:t>
      </w:r>
      <w:r w:rsidRPr="00B27A29">
        <w:rPr>
          <w:rFonts w:eastAsiaTheme="minorEastAsia"/>
          <w:color w:val="000000" w:themeColor="text1"/>
          <w:szCs w:val="21"/>
        </w:rPr>
        <w:t>2023</w:t>
      </w:r>
      <w:r w:rsidRPr="00B27A29">
        <w:rPr>
          <w:rFonts w:eastAsiaTheme="minorEastAsia"/>
          <w:color w:val="000000" w:themeColor="text1"/>
          <w:szCs w:val="21"/>
        </w:rPr>
        <w:t>年</w:t>
      </w:r>
      <w:r w:rsidRPr="00B27A29">
        <w:rPr>
          <w:rFonts w:eastAsiaTheme="minorEastAsia"/>
          <w:color w:val="000000" w:themeColor="text1"/>
          <w:szCs w:val="21"/>
        </w:rPr>
        <w:t>12</w:t>
      </w:r>
      <w:r w:rsidRPr="00B27A29">
        <w:rPr>
          <w:rFonts w:eastAsiaTheme="minorEastAsia"/>
          <w:color w:val="000000" w:themeColor="text1"/>
          <w:szCs w:val="21"/>
        </w:rPr>
        <w:t>月</w:t>
      </w:r>
      <w:r w:rsidRPr="00B27A29">
        <w:rPr>
          <w:rFonts w:eastAsiaTheme="minorEastAsia"/>
          <w:color w:val="000000" w:themeColor="text1"/>
          <w:szCs w:val="21"/>
        </w:rPr>
        <w:t>FOMC</w:t>
      </w:r>
      <w:r w:rsidRPr="00B27A29">
        <w:rPr>
          <w:rFonts w:eastAsiaTheme="minorEastAsia"/>
          <w:color w:val="000000" w:themeColor="text1"/>
          <w:szCs w:val="21"/>
        </w:rPr>
        <w:t>会议后鲍威尔发出</w:t>
      </w:r>
      <w:r w:rsidRPr="00B27A29">
        <w:rPr>
          <w:rFonts w:eastAsiaTheme="minorEastAsia"/>
          <w:color w:val="000000" w:themeColor="text1"/>
          <w:szCs w:val="21"/>
        </w:rPr>
        <w:t>“</w:t>
      </w:r>
      <w:r w:rsidRPr="00B27A29">
        <w:rPr>
          <w:rFonts w:eastAsiaTheme="minorEastAsia"/>
          <w:color w:val="000000" w:themeColor="text1"/>
          <w:szCs w:val="21"/>
        </w:rPr>
        <w:t>鸽派</w:t>
      </w:r>
      <w:r w:rsidRPr="00B27A29">
        <w:rPr>
          <w:rFonts w:eastAsiaTheme="minorEastAsia"/>
          <w:color w:val="000000" w:themeColor="text1"/>
          <w:szCs w:val="21"/>
        </w:rPr>
        <w:t>”</w:t>
      </w:r>
      <w:r w:rsidRPr="00B27A29">
        <w:rPr>
          <w:rFonts w:eastAsiaTheme="minorEastAsia"/>
          <w:color w:val="000000" w:themeColor="text1"/>
          <w:szCs w:val="21"/>
        </w:rPr>
        <w:t>信号，使得市场降息预期大幅升温。美国实体经济韧性仍强，其制造业可能会开始新一轮的补库存，支撑中国出口。从内部来看，内需的进一步修复很大程度上取决于政策，尤其是财政政策的对冲力度。中央经济工作会议要求</w:t>
      </w:r>
      <w:r w:rsidRPr="00B27A29">
        <w:rPr>
          <w:rFonts w:eastAsiaTheme="minorEastAsia"/>
          <w:color w:val="000000" w:themeColor="text1"/>
          <w:szCs w:val="21"/>
        </w:rPr>
        <w:t>“</w:t>
      </w:r>
      <w:r w:rsidRPr="00B27A29">
        <w:rPr>
          <w:rFonts w:eastAsiaTheme="minorEastAsia"/>
          <w:color w:val="000000" w:themeColor="text1"/>
          <w:szCs w:val="21"/>
        </w:rPr>
        <w:t>多出有利于稳预期、稳增长、稳就业的政策</w:t>
      </w:r>
      <w:r w:rsidRPr="00B27A29">
        <w:rPr>
          <w:rFonts w:eastAsiaTheme="minorEastAsia"/>
          <w:color w:val="000000" w:themeColor="text1"/>
          <w:szCs w:val="21"/>
        </w:rPr>
        <w:t>”</w:t>
      </w:r>
      <w:r w:rsidRPr="00B27A29">
        <w:rPr>
          <w:rFonts w:eastAsiaTheme="minorEastAsia"/>
          <w:color w:val="000000" w:themeColor="text1"/>
          <w:szCs w:val="21"/>
        </w:rPr>
        <w:t>，</w:t>
      </w:r>
      <w:r w:rsidRPr="00B27A29">
        <w:rPr>
          <w:rFonts w:eastAsiaTheme="minorEastAsia"/>
          <w:color w:val="000000" w:themeColor="text1"/>
          <w:szCs w:val="21"/>
        </w:rPr>
        <w:t>“</w:t>
      </w:r>
      <w:r w:rsidRPr="00B27A29">
        <w:rPr>
          <w:rFonts w:eastAsiaTheme="minorEastAsia"/>
          <w:color w:val="000000" w:themeColor="text1"/>
          <w:szCs w:val="21"/>
        </w:rPr>
        <w:t>积极的财政政策要适度加力、提质增效</w:t>
      </w:r>
      <w:r w:rsidRPr="00B27A29">
        <w:rPr>
          <w:rFonts w:eastAsiaTheme="minorEastAsia"/>
          <w:color w:val="000000" w:themeColor="text1"/>
          <w:szCs w:val="21"/>
        </w:rPr>
        <w:t>”</w:t>
      </w:r>
      <w:r w:rsidRPr="00B27A29">
        <w:rPr>
          <w:rFonts w:eastAsiaTheme="minorEastAsia"/>
          <w:color w:val="000000" w:themeColor="text1"/>
          <w:szCs w:val="21"/>
        </w:rPr>
        <w:t>，</w:t>
      </w:r>
      <w:r w:rsidRPr="00B27A29">
        <w:rPr>
          <w:rFonts w:eastAsiaTheme="minorEastAsia"/>
          <w:color w:val="000000" w:themeColor="text1"/>
          <w:szCs w:val="21"/>
        </w:rPr>
        <w:t>“</w:t>
      </w:r>
      <w:r w:rsidRPr="00B27A29">
        <w:rPr>
          <w:rFonts w:eastAsiaTheme="minorEastAsia"/>
          <w:color w:val="000000" w:themeColor="text1"/>
          <w:szCs w:val="21"/>
        </w:rPr>
        <w:t>稳健的货币政策要灵活适度、精准有效</w:t>
      </w:r>
      <w:r w:rsidRPr="00B27A29">
        <w:rPr>
          <w:rFonts w:eastAsiaTheme="minorEastAsia"/>
          <w:color w:val="000000" w:themeColor="text1"/>
          <w:szCs w:val="21"/>
        </w:rPr>
        <w:t>”</w:t>
      </w:r>
      <w:r w:rsidRPr="00B27A29">
        <w:rPr>
          <w:rFonts w:eastAsiaTheme="minorEastAsia"/>
          <w:color w:val="000000" w:themeColor="text1"/>
          <w:szCs w:val="21"/>
        </w:rPr>
        <w:t>。我们预计财政政策力度有望提升、支出结构进一步优化，同时减税降费政策力度也有望提高。投资层面基建投资或率先在</w:t>
      </w:r>
      <w:r w:rsidRPr="00B27A29">
        <w:rPr>
          <w:rFonts w:eastAsiaTheme="minorEastAsia"/>
          <w:color w:val="000000" w:themeColor="text1"/>
          <w:szCs w:val="21"/>
        </w:rPr>
        <w:t>2024</w:t>
      </w:r>
      <w:r w:rsidRPr="00B27A29">
        <w:rPr>
          <w:rFonts w:eastAsiaTheme="minorEastAsia"/>
          <w:color w:val="000000" w:themeColor="text1"/>
          <w:szCs w:val="21"/>
        </w:rPr>
        <w:t>年第一季度前置发力，制造业投资或仍将保持一定韧性，而地产投资虽仍处于低位，但或将边际改善。消费一方面或受益于消费品以旧换新等政策支持，另一方面或也将随着收入恢复而有所改善。在需求进一步修复的带动下，需求和供给之间的缺口或有所收窄，带动物价水平修复，改善市场预期。风险点主要仍然在于海外持续高利率背景下可能的金融风险以及国内房地产市场持续偏弱和债务风险。本基金继续看好并持有受益消费升级的各细分板块优质公司。未来我们亦将继续严格按照基金契约的要求重点投资品质消费相关行业中具</w:t>
      </w:r>
      <w:r w:rsidRPr="00B27A29">
        <w:rPr>
          <w:rFonts w:eastAsiaTheme="minorEastAsia"/>
          <w:color w:val="000000" w:themeColor="text1"/>
          <w:szCs w:val="21"/>
        </w:rPr>
        <w:lastRenderedPageBreak/>
        <w:t>有相对估值优势、增长前景确定的优质公司。我们将加强对上市公司基本面的研究力度，力争为持有人创造较好回报。</w:t>
      </w:r>
    </w:p>
    <w:p w:rsidR="005E6DF3" w:rsidRPr="00B27A29" w:rsidRDefault="005C671B">
      <w:pPr>
        <w:spacing w:line="360" w:lineRule="auto"/>
        <w:rPr>
          <w:rFonts w:eastAsiaTheme="minorEastAsia"/>
          <w:color w:val="000000" w:themeColor="text1"/>
          <w:szCs w:val="21"/>
        </w:rPr>
      </w:pPr>
      <w:r w:rsidRPr="00B27A29">
        <w:rPr>
          <w:rFonts w:eastAsiaTheme="minorEastAsia"/>
          <w:color w:val="000000" w:themeColor="text1"/>
          <w:szCs w:val="21"/>
        </w:rPr>
        <w:t>4.4.2</w:t>
      </w:r>
      <w:r w:rsidRPr="00B27A29">
        <w:rPr>
          <w:rFonts w:eastAsiaTheme="minorEastAsia"/>
          <w:color w:val="000000" w:themeColor="text1"/>
          <w:szCs w:val="21"/>
        </w:rPr>
        <w:t>报告期内基金的业绩表现</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本报告期摩根健康品质生活</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:9.85%</w:t>
      </w:r>
      <w:r>
        <w:rPr>
          <w:rFonts w:eastAsiaTheme="minorEastAsia"/>
          <w:color w:val="000000" w:themeColor="text1"/>
          <w:szCs w:val="21"/>
        </w:rPr>
        <w:t>，同期业绩比较基准收益率为</w:t>
      </w:r>
      <w:r>
        <w:rPr>
          <w:rFonts w:eastAsiaTheme="minorEastAsia"/>
          <w:color w:val="000000" w:themeColor="text1"/>
          <w:szCs w:val="21"/>
        </w:rPr>
        <w:t>:-5.84%</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摩根健康品质生活</w:t>
      </w:r>
      <w:r w:rsidRPr="00B27A29">
        <w:rPr>
          <w:rFonts w:eastAsiaTheme="minorEastAsia"/>
          <w:color w:val="000000" w:themeColor="text1"/>
          <w:szCs w:val="21"/>
        </w:rPr>
        <w:t>C</w:t>
      </w:r>
      <w:r w:rsidRPr="00B27A29">
        <w:rPr>
          <w:rFonts w:eastAsiaTheme="minorEastAsia"/>
          <w:color w:val="000000" w:themeColor="text1"/>
          <w:szCs w:val="21"/>
        </w:rPr>
        <w:t>份额净值增长率为</w:t>
      </w:r>
      <w:r w:rsidRPr="00B27A29">
        <w:rPr>
          <w:rFonts w:eastAsiaTheme="minorEastAsia"/>
          <w:color w:val="000000" w:themeColor="text1"/>
          <w:szCs w:val="21"/>
        </w:rPr>
        <w:t>:9.71%</w:t>
      </w:r>
      <w:r w:rsidRPr="00B27A29">
        <w:rPr>
          <w:rFonts w:eastAsiaTheme="minorEastAsia"/>
          <w:color w:val="000000" w:themeColor="text1"/>
          <w:szCs w:val="21"/>
        </w:rPr>
        <w:t>，同期业绩比较基准收益率为</w:t>
      </w:r>
      <w:r w:rsidRPr="00B27A29">
        <w:rPr>
          <w:rFonts w:eastAsiaTheme="minorEastAsia"/>
          <w:color w:val="000000" w:themeColor="text1"/>
          <w:szCs w:val="21"/>
        </w:rPr>
        <w:t>:-5.84%</w:t>
      </w:r>
      <w:r w:rsidRPr="00B27A29">
        <w:rPr>
          <w:rFonts w:eastAsiaTheme="minorEastAsia"/>
          <w:color w:val="000000" w:themeColor="text1"/>
          <w:szCs w:val="21"/>
        </w:rPr>
        <w:t>。</w:t>
      </w:r>
    </w:p>
    <w:p w:rsidR="005E6DF3" w:rsidRPr="00B27A29" w:rsidRDefault="005E6DF3">
      <w:pPr>
        <w:spacing w:line="360" w:lineRule="auto"/>
        <w:ind w:firstLineChars="200" w:firstLine="420"/>
        <w:rPr>
          <w:rFonts w:eastAsiaTheme="minorEastAsia"/>
          <w:color w:val="000000" w:themeColor="text1"/>
          <w:szCs w:val="21"/>
        </w:rPr>
      </w:pPr>
    </w:p>
    <w:p w:rsidR="005E6DF3" w:rsidRPr="00B27A29" w:rsidRDefault="005C671B">
      <w:pPr>
        <w:spacing w:line="360" w:lineRule="auto"/>
        <w:rPr>
          <w:rFonts w:eastAsiaTheme="minorEastAsia"/>
          <w:color w:val="000000" w:themeColor="text1"/>
          <w:szCs w:val="21"/>
        </w:rPr>
      </w:pPr>
      <w:r w:rsidRPr="00B27A29">
        <w:rPr>
          <w:rFonts w:eastAsiaTheme="minorEastAsia"/>
          <w:b/>
          <w:color w:val="000000" w:themeColor="text1"/>
          <w:kern w:val="0"/>
          <w:szCs w:val="21"/>
        </w:rPr>
        <w:t>4.5</w:t>
      </w:r>
      <w:r w:rsidRPr="00B27A29">
        <w:rPr>
          <w:rFonts w:eastAsiaTheme="minorEastAsia"/>
          <w:b/>
          <w:color w:val="000000" w:themeColor="text1"/>
          <w:kern w:val="0"/>
          <w:szCs w:val="21"/>
        </w:rPr>
        <w:t>报告期内基金持有人数或基金资产净值预警说明</w:t>
      </w:r>
    </w:p>
    <w:p w:rsidR="005E6DF3" w:rsidRPr="00B27A29" w:rsidRDefault="005C671B">
      <w:pPr>
        <w:spacing w:line="360" w:lineRule="auto"/>
        <w:ind w:firstLineChars="200" w:firstLine="420"/>
        <w:rPr>
          <w:rFonts w:eastAsiaTheme="minorEastAsia"/>
          <w:color w:val="000000" w:themeColor="text1"/>
          <w:kern w:val="0"/>
          <w:szCs w:val="21"/>
        </w:rPr>
      </w:pPr>
      <w:r w:rsidRPr="00B27A29">
        <w:rPr>
          <w:rFonts w:eastAsiaTheme="minorEastAsia"/>
          <w:color w:val="000000" w:themeColor="text1"/>
          <w:kern w:val="0"/>
          <w:szCs w:val="21"/>
        </w:rPr>
        <w:t>无。</w:t>
      </w:r>
    </w:p>
    <w:p w:rsidR="005E6DF3" w:rsidRPr="00B27A29" w:rsidRDefault="005E6DF3">
      <w:pPr>
        <w:spacing w:line="360" w:lineRule="auto"/>
        <w:ind w:firstLineChars="200" w:firstLine="420"/>
        <w:rPr>
          <w:rFonts w:eastAsiaTheme="minorEastAsia"/>
          <w:color w:val="000000" w:themeColor="text1"/>
          <w:szCs w:val="21"/>
        </w:rPr>
      </w:pP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§5  </w:t>
      </w:r>
      <w:r w:rsidRPr="00B27A29">
        <w:rPr>
          <w:rFonts w:eastAsiaTheme="minorEastAsia"/>
          <w:color w:val="000000" w:themeColor="text1"/>
          <w:kern w:val="0"/>
          <w:sz w:val="21"/>
          <w:szCs w:val="21"/>
        </w:rPr>
        <w:t>投资组合报告</w:t>
      </w:r>
    </w:p>
    <w:p w:rsidR="005E6DF3" w:rsidRPr="00B27A29" w:rsidRDefault="005C671B">
      <w:pPr>
        <w:autoSpaceDE w:val="0"/>
        <w:autoSpaceDN w:val="0"/>
        <w:adjustRightInd w:val="0"/>
        <w:spacing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5.1 </w:t>
      </w:r>
      <w:r w:rsidRPr="00B27A29">
        <w:rPr>
          <w:rFonts w:eastAsiaTheme="minorEastAsia"/>
          <w:b/>
          <w:color w:val="000000" w:themeColor="text1"/>
          <w:kern w:val="0"/>
          <w:szCs w:val="21"/>
        </w:rPr>
        <w:t>报告期末基金资产组合情况</w:t>
      </w:r>
    </w:p>
    <w:tbl>
      <w:tblPr>
        <w:tblStyle w:val="afa"/>
        <w:tblW w:w="8897" w:type="dxa"/>
        <w:tblInd w:w="108" w:type="dxa"/>
        <w:tblLayout w:type="fixed"/>
        <w:tblLook w:val="04A0" w:firstRow="1" w:lastRow="0" w:firstColumn="1" w:lastColumn="0" w:noHBand="0" w:noVBand="1"/>
      </w:tblPr>
      <w:tblGrid>
        <w:gridCol w:w="720"/>
        <w:gridCol w:w="3357"/>
        <w:gridCol w:w="2977"/>
        <w:gridCol w:w="1843"/>
      </w:tblGrid>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序号</w:t>
            </w:r>
          </w:p>
        </w:tc>
        <w:tc>
          <w:tcPr>
            <w:tcW w:w="335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项目</w:t>
            </w:r>
          </w:p>
        </w:tc>
        <w:tc>
          <w:tcPr>
            <w:tcW w:w="2977"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金额</w:t>
            </w:r>
            <w:r w:rsidRPr="00B27A29">
              <w:rPr>
                <w:rFonts w:eastAsiaTheme="minorEastAsia"/>
                <w:color w:val="000000" w:themeColor="text1"/>
                <w:szCs w:val="21"/>
              </w:rPr>
              <w:t>(</w:t>
            </w:r>
            <w:r w:rsidRPr="00B27A29">
              <w:rPr>
                <w:rFonts w:eastAsiaTheme="minorEastAsia"/>
                <w:color w:val="000000" w:themeColor="text1"/>
                <w:szCs w:val="21"/>
              </w:rPr>
              <w:t>元</w:t>
            </w: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占基金总资产的比例</w:t>
            </w: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1</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权益投资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1,430,316,253.50</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91.31</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其中：股票</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1,430,316,253.50</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91.31</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2</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固定收益投资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其中：债券</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autoSpaceDE w:val="0"/>
              <w:autoSpaceDN w:val="0"/>
              <w:adjustRightInd w:val="0"/>
              <w:spacing w:before="29" w:line="360" w:lineRule="auto"/>
              <w:ind w:left="17" w:firstLineChars="300" w:firstLine="630"/>
              <w:jc w:val="left"/>
              <w:rPr>
                <w:rFonts w:eastAsiaTheme="minorEastAsia"/>
                <w:color w:val="000000" w:themeColor="text1"/>
                <w:szCs w:val="21"/>
              </w:rPr>
            </w:pPr>
            <w:r w:rsidRPr="00B27A29">
              <w:rPr>
                <w:rFonts w:eastAsiaTheme="minorEastAsia"/>
                <w:color w:val="000000" w:themeColor="text1"/>
                <w:szCs w:val="21"/>
              </w:rPr>
              <w:t>资产支持证券</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3</w:t>
            </w:r>
          </w:p>
        </w:tc>
        <w:tc>
          <w:tcPr>
            <w:tcW w:w="3357" w:type="dxa"/>
          </w:tcPr>
          <w:p w:rsidR="005E6DF3" w:rsidRPr="00B27A29" w:rsidRDefault="005C671B">
            <w:pPr>
              <w:spacing w:before="29" w:line="360" w:lineRule="auto"/>
              <w:ind w:leftChars="50" w:left="105"/>
              <w:rPr>
                <w:rFonts w:eastAsiaTheme="minorEastAsia"/>
                <w:color w:val="000000" w:themeColor="text1"/>
                <w:szCs w:val="21"/>
              </w:rPr>
            </w:pPr>
            <w:r w:rsidRPr="00B27A29">
              <w:rPr>
                <w:rFonts w:eastAsiaTheme="minorEastAsia"/>
                <w:color w:val="000000" w:themeColor="text1"/>
                <w:szCs w:val="21"/>
              </w:rPr>
              <w:t>贵金属投资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4</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金融衍生品投资</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5</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买入返售金融资产</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E6DF3">
            <w:pPr>
              <w:spacing w:before="29" w:line="360" w:lineRule="auto"/>
              <w:ind w:left="17"/>
              <w:jc w:val="center"/>
              <w:rPr>
                <w:rFonts w:eastAsiaTheme="minorEastAsia"/>
                <w:color w:val="000000" w:themeColor="text1"/>
                <w:szCs w:val="21"/>
              </w:rPr>
            </w:pP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其中：买断式回购的买入返售金融资产</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6</w:t>
            </w:r>
          </w:p>
        </w:tc>
        <w:tc>
          <w:tcPr>
            <w:tcW w:w="3357" w:type="dxa"/>
            <w:vAlign w:val="center"/>
          </w:tcPr>
          <w:p w:rsidR="005E6DF3" w:rsidRPr="00B27A29" w:rsidRDefault="005C671B">
            <w:pPr>
              <w:spacing w:before="29" w:line="360" w:lineRule="auto"/>
              <w:ind w:left="17"/>
              <w:jc w:val="left"/>
              <w:rPr>
                <w:rFonts w:eastAsiaTheme="minorEastAsia"/>
                <w:color w:val="000000" w:themeColor="text1"/>
                <w:szCs w:val="21"/>
              </w:rPr>
            </w:pPr>
            <w:r w:rsidRPr="00B27A29">
              <w:rPr>
                <w:rFonts w:eastAsiaTheme="minorEastAsia"/>
                <w:color w:val="000000" w:themeColor="text1"/>
                <w:szCs w:val="21"/>
              </w:rPr>
              <w:t>银行存款和结算备付金合计</w:t>
            </w:r>
          </w:p>
        </w:tc>
        <w:tc>
          <w:tcPr>
            <w:tcW w:w="2977"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127,764,312.54</w:t>
            </w:r>
          </w:p>
        </w:tc>
        <w:tc>
          <w:tcPr>
            <w:tcW w:w="1843" w:type="dxa"/>
            <w:vAlign w:val="center"/>
          </w:tcPr>
          <w:p w:rsidR="005E6DF3" w:rsidRPr="00B27A29" w:rsidRDefault="005C671B">
            <w:pPr>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8.16</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7</w:t>
            </w:r>
          </w:p>
        </w:tc>
        <w:tc>
          <w:tcPr>
            <w:tcW w:w="3357"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其他各项资产</w:t>
            </w:r>
          </w:p>
        </w:tc>
        <w:tc>
          <w:tcPr>
            <w:tcW w:w="2977"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8,385,741.70</w:t>
            </w:r>
          </w:p>
        </w:tc>
        <w:tc>
          <w:tcPr>
            <w:tcW w:w="1843"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0.54</w:t>
            </w:r>
          </w:p>
        </w:tc>
      </w:tr>
      <w:tr w:rsidR="005E6DF3" w:rsidRPr="00B27A29">
        <w:tc>
          <w:tcPr>
            <w:tcW w:w="720" w:type="dxa"/>
            <w:vAlign w:val="center"/>
          </w:tcPr>
          <w:p w:rsidR="005E6DF3" w:rsidRPr="00B27A29" w:rsidRDefault="005C671B">
            <w:pPr>
              <w:spacing w:before="29" w:line="360" w:lineRule="auto"/>
              <w:ind w:left="17"/>
              <w:jc w:val="center"/>
              <w:rPr>
                <w:rFonts w:eastAsiaTheme="minorEastAsia"/>
                <w:color w:val="000000" w:themeColor="text1"/>
                <w:szCs w:val="21"/>
              </w:rPr>
            </w:pPr>
            <w:r w:rsidRPr="00B27A29">
              <w:rPr>
                <w:rFonts w:eastAsiaTheme="minorEastAsia"/>
                <w:color w:val="000000" w:themeColor="text1"/>
                <w:szCs w:val="21"/>
              </w:rPr>
              <w:t>8</w:t>
            </w:r>
          </w:p>
        </w:tc>
        <w:tc>
          <w:tcPr>
            <w:tcW w:w="3357" w:type="dxa"/>
            <w:vAlign w:val="center"/>
          </w:tcPr>
          <w:p w:rsidR="005E6DF3" w:rsidRPr="00B27A29" w:rsidRDefault="005C671B">
            <w:pPr>
              <w:rPr>
                <w:rFonts w:eastAsiaTheme="minorEastAsia"/>
                <w:color w:val="000000" w:themeColor="text1"/>
                <w:szCs w:val="21"/>
              </w:rPr>
            </w:pPr>
            <w:r w:rsidRPr="00B27A29">
              <w:rPr>
                <w:rFonts w:eastAsiaTheme="minorEastAsia"/>
                <w:color w:val="000000" w:themeColor="text1"/>
                <w:szCs w:val="21"/>
              </w:rPr>
              <w:t>合计</w:t>
            </w:r>
          </w:p>
        </w:tc>
        <w:tc>
          <w:tcPr>
            <w:tcW w:w="2977"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1,566,466,307.74</w:t>
            </w:r>
          </w:p>
        </w:tc>
        <w:tc>
          <w:tcPr>
            <w:tcW w:w="1843" w:type="dxa"/>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100.00</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lastRenderedPageBreak/>
        <w:t xml:space="preserve">5.2 </w:t>
      </w:r>
      <w:r w:rsidRPr="00B27A29">
        <w:rPr>
          <w:rFonts w:eastAsiaTheme="minorEastAsia"/>
          <w:b/>
          <w:color w:val="000000" w:themeColor="text1"/>
          <w:kern w:val="0"/>
          <w:szCs w:val="21"/>
        </w:rPr>
        <w:t>报告期末按行业分类的股票投资组合</w:t>
      </w:r>
    </w:p>
    <w:p w:rsidR="005E6DF3" w:rsidRPr="00B27A29" w:rsidRDefault="005C671B">
      <w:pPr>
        <w:rPr>
          <w:b/>
        </w:rPr>
      </w:pPr>
      <w:r w:rsidRPr="00B27A29">
        <w:rPr>
          <w:b/>
        </w:rPr>
        <w:t xml:space="preserve"> </w:t>
      </w:r>
      <w:r w:rsidRPr="00B27A29">
        <w:rPr>
          <w:rFonts w:eastAsiaTheme="minorEastAsia"/>
          <w:b/>
          <w:color w:val="000000" w:themeColor="text1"/>
          <w:kern w:val="0"/>
          <w:szCs w:val="21"/>
        </w:rPr>
        <w:t>5.2.1</w:t>
      </w:r>
      <w:r w:rsidRPr="00B27A29">
        <w:rPr>
          <w:rFonts w:eastAsiaTheme="minorEastAsia"/>
          <w:b/>
          <w:color w:val="000000" w:themeColor="text1"/>
          <w:kern w:val="0"/>
          <w:szCs w:val="21"/>
        </w:rPr>
        <w:t>报告期末按行业分类的境内股票投资组合</w:t>
      </w:r>
    </w:p>
    <w:tbl>
      <w:tblPr>
        <w:tblW w:w="87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3691"/>
        <w:gridCol w:w="2852"/>
        <w:gridCol w:w="1648"/>
      </w:tblGrid>
      <w:tr w:rsidR="005E6DF3" w:rsidRPr="00B27A29">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占基金资产净值比例（％）</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452,261,321.25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29.75</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p w:rsidR="005E6DF3" w:rsidRPr="00B27A29" w:rsidRDefault="005E6DF3">
            <w:pPr>
              <w:jc w:val="right"/>
              <w:rPr>
                <w:rFonts w:eastAsiaTheme="minorEastAsia"/>
                <w:color w:val="000000" w:themeColor="text1"/>
                <w:szCs w:val="21"/>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p w:rsidR="005E6DF3" w:rsidRPr="00B27A29" w:rsidRDefault="005E6DF3">
            <w:pPr>
              <w:jc w:val="right"/>
              <w:rPr>
                <w:rFonts w:eastAsiaTheme="minorEastAsia"/>
                <w:color w:val="000000" w:themeColor="text1"/>
                <w:szCs w:val="21"/>
              </w:rPr>
            </w:pP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978,054,932.25</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64.34</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adjustRightInd w:val="0"/>
              <w:snapToGrid w:val="0"/>
              <w:spacing w:line="400" w:lineRule="exact"/>
              <w:jc w:val="center"/>
              <w:rPr>
                <w:rFonts w:eastAsiaTheme="minorEastAsia"/>
                <w:color w:val="000000" w:themeColor="text1"/>
                <w:szCs w:val="21"/>
              </w:rPr>
            </w:pPr>
            <w:r w:rsidRPr="00B27A29">
              <w:rPr>
                <w:rFonts w:eastAsiaTheme="minorEastAsia"/>
                <w:color w:val="000000" w:themeColor="text1"/>
                <w:szCs w:val="21"/>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E6DF3">
            <w:pPr>
              <w:adjustRightInd w:val="0"/>
              <w:snapToGrid w:val="0"/>
              <w:spacing w:line="400" w:lineRule="exact"/>
              <w:jc w:val="center"/>
              <w:rPr>
                <w:rFonts w:eastAsiaTheme="minorEastAsia"/>
                <w:color w:val="000000" w:themeColor="text1"/>
                <w:szCs w:val="21"/>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E6DF3" w:rsidRPr="00B27A29" w:rsidRDefault="005C671B">
            <w:pPr>
              <w:adjustRightInd w:val="0"/>
              <w:snapToGrid w:val="0"/>
              <w:spacing w:line="400" w:lineRule="exact"/>
              <w:rPr>
                <w:rFonts w:eastAsiaTheme="minorEastAsia"/>
                <w:color w:val="000000" w:themeColor="text1"/>
                <w:szCs w:val="21"/>
              </w:rPr>
            </w:pPr>
            <w:r w:rsidRPr="00B27A29">
              <w:rPr>
                <w:rFonts w:eastAsiaTheme="minorEastAsia"/>
                <w:color w:val="000000" w:themeColor="text1"/>
                <w:szCs w:val="21"/>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1,430,316,253.50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94.09</w:t>
            </w:r>
          </w:p>
        </w:tc>
      </w:tr>
    </w:tbl>
    <w:p w:rsidR="00B27A29" w:rsidRPr="00B27A29" w:rsidRDefault="00B27A29" w:rsidP="00B27A29">
      <w:pPr>
        <w:spacing w:line="360" w:lineRule="auto"/>
        <w:rPr>
          <w:rFonts w:eastAsiaTheme="minorEastAsia"/>
          <w:szCs w:val="21"/>
        </w:rPr>
      </w:pPr>
      <w:bookmarkStart w:id="1" w:name="_Hlk73460790"/>
      <w:r w:rsidRPr="00B27A29">
        <w:rPr>
          <w:rFonts w:eastAsiaTheme="minorEastAsia"/>
          <w:b/>
          <w:bCs/>
          <w:kern w:val="0"/>
          <w:szCs w:val="21"/>
        </w:rPr>
        <w:t>5.3</w:t>
      </w:r>
      <w:r w:rsidRPr="00B27A29">
        <w:rPr>
          <w:rFonts w:asciiTheme="minorEastAsia" w:eastAsiaTheme="minorEastAsia" w:hAnsiTheme="minorEastAsia" w:hint="eastAsia"/>
          <w:b/>
          <w:bCs/>
          <w:kern w:val="0"/>
          <w:szCs w:val="21"/>
        </w:rPr>
        <w:t>报告期末按公允价值占基金资产净值比例大小排序的前十名股票投资明细</w:t>
      </w:r>
    </w:p>
    <w:tbl>
      <w:tblPr>
        <w:tblStyle w:val="afa"/>
        <w:tblW w:w="0" w:type="auto"/>
        <w:tblLayout w:type="fixed"/>
        <w:tblLook w:val="04A0" w:firstRow="1" w:lastRow="0" w:firstColumn="1" w:lastColumn="0" w:noHBand="0" w:noVBand="1"/>
      </w:tblPr>
      <w:tblGrid>
        <w:gridCol w:w="817"/>
        <w:gridCol w:w="1276"/>
        <w:gridCol w:w="1701"/>
        <w:gridCol w:w="1276"/>
        <w:gridCol w:w="1842"/>
        <w:gridCol w:w="1616"/>
      </w:tblGrid>
      <w:tr w:rsidR="00B27A29" w:rsidRPr="00B27A29" w:rsidTr="00D913A1">
        <w:tc>
          <w:tcPr>
            <w:tcW w:w="817"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序号</w:t>
            </w:r>
          </w:p>
        </w:tc>
        <w:tc>
          <w:tcPr>
            <w:tcW w:w="127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股票代码</w:t>
            </w:r>
          </w:p>
        </w:tc>
        <w:tc>
          <w:tcPr>
            <w:tcW w:w="1701"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股票名称</w:t>
            </w:r>
          </w:p>
        </w:tc>
        <w:tc>
          <w:tcPr>
            <w:tcW w:w="127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数量</w:t>
            </w:r>
            <w:r w:rsidRPr="00B27A29">
              <w:rPr>
                <w:rFonts w:eastAsiaTheme="minorEastAsia"/>
                <w:kern w:val="0"/>
                <w:szCs w:val="21"/>
              </w:rPr>
              <w:t>(</w:t>
            </w:r>
            <w:r w:rsidRPr="00B27A29">
              <w:rPr>
                <w:rFonts w:eastAsiaTheme="minorEastAsia"/>
                <w:kern w:val="0"/>
                <w:szCs w:val="21"/>
              </w:rPr>
              <w:t>股</w:t>
            </w:r>
            <w:r w:rsidRPr="00B27A29">
              <w:rPr>
                <w:rFonts w:eastAsiaTheme="minorEastAsia"/>
                <w:kern w:val="0"/>
                <w:szCs w:val="21"/>
              </w:rPr>
              <w:t>)</w:t>
            </w:r>
          </w:p>
        </w:tc>
        <w:tc>
          <w:tcPr>
            <w:tcW w:w="1842" w:type="dxa"/>
            <w:vAlign w:val="center"/>
          </w:tcPr>
          <w:p w:rsidR="00B27A29" w:rsidRPr="00B27A29" w:rsidRDefault="00B27A29" w:rsidP="00D913A1">
            <w:pPr>
              <w:autoSpaceDE w:val="0"/>
              <w:autoSpaceDN w:val="0"/>
              <w:adjustRightInd w:val="0"/>
              <w:spacing w:before="29" w:line="360" w:lineRule="auto"/>
              <w:ind w:left="17"/>
              <w:jc w:val="center"/>
              <w:rPr>
                <w:rFonts w:eastAsiaTheme="minorEastAsia"/>
                <w:kern w:val="0"/>
                <w:szCs w:val="21"/>
              </w:rPr>
            </w:pPr>
            <w:r w:rsidRPr="00B27A29">
              <w:rPr>
                <w:rFonts w:eastAsiaTheme="minorEastAsia"/>
                <w:kern w:val="0"/>
                <w:szCs w:val="21"/>
              </w:rPr>
              <w:t>公允价值</w:t>
            </w:r>
            <w:r w:rsidRPr="00B27A29">
              <w:rPr>
                <w:rFonts w:eastAsiaTheme="minorEastAsia"/>
                <w:kern w:val="0"/>
                <w:szCs w:val="21"/>
              </w:rPr>
              <w:t>(</w:t>
            </w:r>
            <w:r w:rsidRPr="00B27A29">
              <w:rPr>
                <w:rFonts w:eastAsiaTheme="minorEastAsia"/>
                <w:kern w:val="0"/>
                <w:szCs w:val="21"/>
              </w:rPr>
              <w:t>元</w:t>
            </w:r>
            <w:r w:rsidRPr="00B27A29">
              <w:rPr>
                <w:rFonts w:eastAsiaTheme="minorEastAsia"/>
                <w:kern w:val="0"/>
                <w:szCs w:val="21"/>
              </w:rPr>
              <w:t>)</w:t>
            </w:r>
          </w:p>
        </w:tc>
        <w:tc>
          <w:tcPr>
            <w:tcW w:w="1616" w:type="dxa"/>
            <w:vAlign w:val="center"/>
          </w:tcPr>
          <w:p w:rsidR="00B27A29" w:rsidRPr="00B27A29" w:rsidRDefault="00B27A29" w:rsidP="00D913A1">
            <w:pPr>
              <w:spacing w:before="29" w:line="360" w:lineRule="auto"/>
              <w:ind w:left="17"/>
              <w:jc w:val="center"/>
              <w:rPr>
                <w:rFonts w:eastAsiaTheme="minorEastAsia"/>
                <w:kern w:val="0"/>
                <w:szCs w:val="21"/>
              </w:rPr>
            </w:pPr>
            <w:r w:rsidRPr="00B27A29">
              <w:rPr>
                <w:rFonts w:eastAsiaTheme="minorEastAsia"/>
                <w:kern w:val="0"/>
                <w:szCs w:val="21"/>
              </w:rPr>
              <w:t>占基金资产净值比例</w:t>
            </w:r>
            <w:r w:rsidRPr="00B27A29">
              <w:rPr>
                <w:rFonts w:eastAsiaTheme="minorEastAsia"/>
                <w:kern w:val="0"/>
                <w:szCs w:val="21"/>
              </w:rPr>
              <w:t>(</w:t>
            </w:r>
            <w:r w:rsidRPr="00B27A29">
              <w:rPr>
                <w:rFonts w:eastAsiaTheme="minorEastAsia"/>
                <w:kern w:val="0"/>
                <w:szCs w:val="21"/>
              </w:rPr>
              <w:t>％</w:t>
            </w:r>
            <w:r w:rsidRPr="00B27A29">
              <w:rPr>
                <w:rFonts w:eastAsiaTheme="minorEastAsia"/>
                <w:kern w:val="0"/>
                <w:szCs w:val="21"/>
              </w:rPr>
              <w:t>)</w:t>
            </w:r>
          </w:p>
        </w:tc>
      </w:tr>
      <w:tr w:rsidR="00061C7C">
        <w:tc>
          <w:tcPr>
            <w:tcW w:w="817" w:type="dxa"/>
            <w:vAlign w:val="center"/>
          </w:tcPr>
          <w:p w:rsidR="00061C7C" w:rsidRDefault="008E5A63">
            <w:pPr>
              <w:jc w:val="center"/>
            </w:pPr>
            <w:r>
              <w:rPr>
                <w:rFonts w:eastAsiaTheme="minorEastAsia"/>
                <w:kern w:val="0"/>
                <w:szCs w:val="21"/>
              </w:rPr>
              <w:t>1</w:t>
            </w:r>
          </w:p>
        </w:tc>
        <w:tc>
          <w:tcPr>
            <w:tcW w:w="1276" w:type="dxa"/>
            <w:vAlign w:val="center"/>
          </w:tcPr>
          <w:p w:rsidR="00061C7C" w:rsidRDefault="008E5A63">
            <w:pPr>
              <w:jc w:val="center"/>
            </w:pPr>
            <w:r>
              <w:rPr>
                <w:rFonts w:eastAsiaTheme="minorEastAsia"/>
                <w:kern w:val="0"/>
                <w:szCs w:val="21"/>
              </w:rPr>
              <w:t>000568</w:t>
            </w:r>
          </w:p>
        </w:tc>
        <w:tc>
          <w:tcPr>
            <w:tcW w:w="1701" w:type="dxa"/>
            <w:vAlign w:val="center"/>
          </w:tcPr>
          <w:p w:rsidR="00061C7C" w:rsidRDefault="008E5A63">
            <w:pPr>
              <w:jc w:val="center"/>
            </w:pPr>
            <w:r>
              <w:rPr>
                <w:rFonts w:eastAsiaTheme="minorEastAsia"/>
                <w:kern w:val="0"/>
                <w:szCs w:val="21"/>
              </w:rPr>
              <w:t>泸州老窖</w:t>
            </w:r>
          </w:p>
        </w:tc>
        <w:tc>
          <w:tcPr>
            <w:tcW w:w="1276" w:type="dxa"/>
            <w:vAlign w:val="center"/>
          </w:tcPr>
          <w:p w:rsidR="00061C7C" w:rsidRDefault="008E5A63">
            <w:pPr>
              <w:jc w:val="right"/>
            </w:pPr>
            <w:r>
              <w:rPr>
                <w:rFonts w:eastAsiaTheme="minorEastAsia"/>
                <w:kern w:val="0"/>
                <w:szCs w:val="21"/>
              </w:rPr>
              <w:t>814,785</w:t>
            </w:r>
          </w:p>
        </w:tc>
        <w:tc>
          <w:tcPr>
            <w:tcW w:w="1842" w:type="dxa"/>
            <w:vAlign w:val="center"/>
          </w:tcPr>
          <w:p w:rsidR="00061C7C" w:rsidRDefault="008E5A63">
            <w:pPr>
              <w:jc w:val="right"/>
            </w:pPr>
            <w:r>
              <w:rPr>
                <w:rFonts w:eastAsiaTheme="minorEastAsia"/>
                <w:kern w:val="0"/>
                <w:szCs w:val="21"/>
              </w:rPr>
              <w:t>146,188,724.70</w:t>
            </w:r>
          </w:p>
        </w:tc>
        <w:tc>
          <w:tcPr>
            <w:tcW w:w="1616" w:type="dxa"/>
            <w:vAlign w:val="center"/>
          </w:tcPr>
          <w:p w:rsidR="00061C7C" w:rsidRDefault="008E5A63">
            <w:pPr>
              <w:jc w:val="right"/>
            </w:pPr>
            <w:r>
              <w:rPr>
                <w:rFonts w:eastAsiaTheme="minorEastAsia"/>
                <w:kern w:val="0"/>
                <w:szCs w:val="21"/>
              </w:rPr>
              <w:t>9.62</w:t>
            </w:r>
          </w:p>
        </w:tc>
      </w:tr>
      <w:tr w:rsidR="00061C7C">
        <w:tc>
          <w:tcPr>
            <w:tcW w:w="817" w:type="dxa"/>
            <w:vAlign w:val="center"/>
          </w:tcPr>
          <w:p w:rsidR="00061C7C" w:rsidRDefault="008E5A63">
            <w:pPr>
              <w:jc w:val="center"/>
            </w:pPr>
            <w:r>
              <w:rPr>
                <w:rFonts w:eastAsiaTheme="minorEastAsia"/>
                <w:kern w:val="0"/>
                <w:szCs w:val="21"/>
              </w:rPr>
              <w:t>2</w:t>
            </w:r>
          </w:p>
        </w:tc>
        <w:tc>
          <w:tcPr>
            <w:tcW w:w="1276" w:type="dxa"/>
            <w:vAlign w:val="center"/>
          </w:tcPr>
          <w:p w:rsidR="00061C7C" w:rsidRDefault="008E5A63">
            <w:pPr>
              <w:jc w:val="center"/>
            </w:pPr>
            <w:r>
              <w:rPr>
                <w:rFonts w:eastAsiaTheme="minorEastAsia"/>
                <w:kern w:val="0"/>
                <w:szCs w:val="21"/>
              </w:rPr>
              <w:t>603477</w:t>
            </w:r>
          </w:p>
        </w:tc>
        <w:tc>
          <w:tcPr>
            <w:tcW w:w="1701" w:type="dxa"/>
            <w:vAlign w:val="center"/>
          </w:tcPr>
          <w:p w:rsidR="00061C7C" w:rsidRDefault="008E5A63">
            <w:pPr>
              <w:jc w:val="center"/>
            </w:pPr>
            <w:r>
              <w:rPr>
                <w:rFonts w:eastAsiaTheme="minorEastAsia"/>
                <w:kern w:val="0"/>
                <w:szCs w:val="21"/>
              </w:rPr>
              <w:t>巨星农牧</w:t>
            </w:r>
          </w:p>
        </w:tc>
        <w:tc>
          <w:tcPr>
            <w:tcW w:w="1276" w:type="dxa"/>
            <w:vAlign w:val="center"/>
          </w:tcPr>
          <w:p w:rsidR="00061C7C" w:rsidRDefault="008E5A63">
            <w:pPr>
              <w:jc w:val="right"/>
            </w:pPr>
            <w:r>
              <w:rPr>
                <w:rFonts w:eastAsiaTheme="minorEastAsia"/>
                <w:kern w:val="0"/>
                <w:szCs w:val="21"/>
              </w:rPr>
              <w:t>3,884,616</w:t>
            </w:r>
          </w:p>
        </w:tc>
        <w:tc>
          <w:tcPr>
            <w:tcW w:w="1842" w:type="dxa"/>
            <w:vAlign w:val="center"/>
          </w:tcPr>
          <w:p w:rsidR="00061C7C" w:rsidRDefault="008E5A63">
            <w:pPr>
              <w:jc w:val="right"/>
            </w:pPr>
            <w:r>
              <w:rPr>
                <w:rFonts w:eastAsiaTheme="minorEastAsia"/>
                <w:kern w:val="0"/>
                <w:szCs w:val="21"/>
              </w:rPr>
              <w:t>145,556,561.52</w:t>
            </w:r>
          </w:p>
        </w:tc>
        <w:tc>
          <w:tcPr>
            <w:tcW w:w="1616" w:type="dxa"/>
            <w:vAlign w:val="center"/>
          </w:tcPr>
          <w:p w:rsidR="00061C7C" w:rsidRDefault="008E5A63">
            <w:pPr>
              <w:jc w:val="right"/>
            </w:pPr>
            <w:r>
              <w:rPr>
                <w:rFonts w:eastAsiaTheme="minorEastAsia"/>
                <w:kern w:val="0"/>
                <w:szCs w:val="21"/>
              </w:rPr>
              <w:t>9.57</w:t>
            </w:r>
          </w:p>
        </w:tc>
      </w:tr>
      <w:tr w:rsidR="00061C7C">
        <w:tc>
          <w:tcPr>
            <w:tcW w:w="817" w:type="dxa"/>
            <w:vAlign w:val="center"/>
          </w:tcPr>
          <w:p w:rsidR="00061C7C" w:rsidRDefault="008E5A63">
            <w:pPr>
              <w:jc w:val="center"/>
            </w:pPr>
            <w:r>
              <w:rPr>
                <w:rFonts w:eastAsiaTheme="minorEastAsia"/>
                <w:kern w:val="0"/>
                <w:szCs w:val="21"/>
              </w:rPr>
              <w:t>3</w:t>
            </w:r>
          </w:p>
        </w:tc>
        <w:tc>
          <w:tcPr>
            <w:tcW w:w="1276" w:type="dxa"/>
            <w:vAlign w:val="center"/>
          </w:tcPr>
          <w:p w:rsidR="00061C7C" w:rsidRDefault="008E5A63">
            <w:pPr>
              <w:jc w:val="center"/>
            </w:pPr>
            <w:r>
              <w:rPr>
                <w:rFonts w:eastAsiaTheme="minorEastAsia"/>
                <w:kern w:val="0"/>
                <w:szCs w:val="21"/>
              </w:rPr>
              <w:t>000858</w:t>
            </w:r>
          </w:p>
        </w:tc>
        <w:tc>
          <w:tcPr>
            <w:tcW w:w="1701" w:type="dxa"/>
            <w:vAlign w:val="center"/>
          </w:tcPr>
          <w:p w:rsidR="00061C7C" w:rsidRDefault="008E5A63">
            <w:pPr>
              <w:jc w:val="center"/>
            </w:pPr>
            <w:r>
              <w:rPr>
                <w:rFonts w:eastAsiaTheme="minorEastAsia"/>
                <w:kern w:val="0"/>
                <w:szCs w:val="21"/>
              </w:rPr>
              <w:t>五</w:t>
            </w:r>
            <w:r>
              <w:rPr>
                <w:rFonts w:eastAsiaTheme="minorEastAsia"/>
                <w:kern w:val="0"/>
                <w:szCs w:val="21"/>
              </w:rPr>
              <w:t xml:space="preserve"> </w:t>
            </w:r>
            <w:r>
              <w:rPr>
                <w:rFonts w:eastAsiaTheme="minorEastAsia"/>
                <w:kern w:val="0"/>
                <w:szCs w:val="21"/>
              </w:rPr>
              <w:t>粮</w:t>
            </w:r>
            <w:r>
              <w:rPr>
                <w:rFonts w:eastAsiaTheme="minorEastAsia"/>
                <w:kern w:val="0"/>
                <w:szCs w:val="21"/>
              </w:rPr>
              <w:t xml:space="preserve"> </w:t>
            </w:r>
            <w:r>
              <w:rPr>
                <w:rFonts w:eastAsiaTheme="minorEastAsia"/>
                <w:kern w:val="0"/>
                <w:szCs w:val="21"/>
              </w:rPr>
              <w:t>液</w:t>
            </w:r>
          </w:p>
        </w:tc>
        <w:tc>
          <w:tcPr>
            <w:tcW w:w="1276" w:type="dxa"/>
            <w:vAlign w:val="center"/>
          </w:tcPr>
          <w:p w:rsidR="00061C7C" w:rsidRDefault="008E5A63">
            <w:pPr>
              <w:jc w:val="right"/>
            </w:pPr>
            <w:r>
              <w:rPr>
                <w:rFonts w:eastAsiaTheme="minorEastAsia"/>
                <w:kern w:val="0"/>
                <w:szCs w:val="21"/>
              </w:rPr>
              <w:t>1,035,903</w:t>
            </w:r>
          </w:p>
        </w:tc>
        <w:tc>
          <w:tcPr>
            <w:tcW w:w="1842" w:type="dxa"/>
            <w:vAlign w:val="center"/>
          </w:tcPr>
          <w:p w:rsidR="00061C7C" w:rsidRDefault="008E5A63">
            <w:pPr>
              <w:jc w:val="right"/>
            </w:pPr>
            <w:r>
              <w:rPr>
                <w:rFonts w:eastAsiaTheme="minorEastAsia"/>
                <w:kern w:val="0"/>
                <w:szCs w:val="21"/>
              </w:rPr>
              <w:t>145,347,549.93</w:t>
            </w:r>
          </w:p>
        </w:tc>
        <w:tc>
          <w:tcPr>
            <w:tcW w:w="1616" w:type="dxa"/>
            <w:vAlign w:val="center"/>
          </w:tcPr>
          <w:p w:rsidR="00061C7C" w:rsidRDefault="008E5A63">
            <w:pPr>
              <w:jc w:val="right"/>
            </w:pPr>
            <w:r>
              <w:rPr>
                <w:rFonts w:eastAsiaTheme="minorEastAsia"/>
                <w:kern w:val="0"/>
                <w:szCs w:val="21"/>
              </w:rPr>
              <w:t>9.56</w:t>
            </w:r>
          </w:p>
        </w:tc>
      </w:tr>
      <w:tr w:rsidR="00061C7C">
        <w:tc>
          <w:tcPr>
            <w:tcW w:w="817" w:type="dxa"/>
            <w:vAlign w:val="center"/>
          </w:tcPr>
          <w:p w:rsidR="00061C7C" w:rsidRDefault="008E5A63">
            <w:pPr>
              <w:jc w:val="center"/>
            </w:pPr>
            <w:r>
              <w:rPr>
                <w:rFonts w:eastAsiaTheme="minorEastAsia"/>
                <w:kern w:val="0"/>
                <w:szCs w:val="21"/>
              </w:rPr>
              <w:t>4</w:t>
            </w:r>
          </w:p>
        </w:tc>
        <w:tc>
          <w:tcPr>
            <w:tcW w:w="1276" w:type="dxa"/>
            <w:vAlign w:val="center"/>
          </w:tcPr>
          <w:p w:rsidR="00061C7C" w:rsidRDefault="008E5A63">
            <w:pPr>
              <w:jc w:val="center"/>
            </w:pPr>
            <w:r>
              <w:rPr>
                <w:rFonts w:eastAsiaTheme="minorEastAsia"/>
                <w:kern w:val="0"/>
                <w:szCs w:val="21"/>
              </w:rPr>
              <w:t>002840</w:t>
            </w:r>
          </w:p>
        </w:tc>
        <w:tc>
          <w:tcPr>
            <w:tcW w:w="1701" w:type="dxa"/>
            <w:vAlign w:val="center"/>
          </w:tcPr>
          <w:p w:rsidR="00061C7C" w:rsidRDefault="008E5A63">
            <w:pPr>
              <w:jc w:val="center"/>
            </w:pPr>
            <w:r>
              <w:rPr>
                <w:rFonts w:eastAsiaTheme="minorEastAsia"/>
                <w:kern w:val="0"/>
                <w:szCs w:val="21"/>
              </w:rPr>
              <w:t>华统股份</w:t>
            </w:r>
          </w:p>
        </w:tc>
        <w:tc>
          <w:tcPr>
            <w:tcW w:w="1276" w:type="dxa"/>
            <w:vAlign w:val="center"/>
          </w:tcPr>
          <w:p w:rsidR="00061C7C" w:rsidRDefault="008E5A63">
            <w:pPr>
              <w:jc w:val="right"/>
            </w:pPr>
            <w:r>
              <w:rPr>
                <w:rFonts w:eastAsiaTheme="minorEastAsia"/>
                <w:kern w:val="0"/>
                <w:szCs w:val="21"/>
              </w:rPr>
              <w:t>6,965,087</w:t>
            </w:r>
          </w:p>
        </w:tc>
        <w:tc>
          <w:tcPr>
            <w:tcW w:w="1842" w:type="dxa"/>
            <w:vAlign w:val="center"/>
          </w:tcPr>
          <w:p w:rsidR="00061C7C" w:rsidRDefault="008E5A63">
            <w:pPr>
              <w:jc w:val="right"/>
            </w:pPr>
            <w:r>
              <w:rPr>
                <w:rFonts w:eastAsiaTheme="minorEastAsia"/>
                <w:kern w:val="0"/>
                <w:szCs w:val="21"/>
              </w:rPr>
              <w:t>144,804,158.73</w:t>
            </w:r>
          </w:p>
        </w:tc>
        <w:tc>
          <w:tcPr>
            <w:tcW w:w="1616" w:type="dxa"/>
            <w:vAlign w:val="center"/>
          </w:tcPr>
          <w:p w:rsidR="00061C7C" w:rsidRDefault="008E5A63">
            <w:pPr>
              <w:jc w:val="right"/>
            </w:pPr>
            <w:r>
              <w:rPr>
                <w:rFonts w:eastAsiaTheme="minorEastAsia"/>
                <w:kern w:val="0"/>
                <w:szCs w:val="21"/>
              </w:rPr>
              <w:t>9.53</w:t>
            </w:r>
          </w:p>
        </w:tc>
      </w:tr>
      <w:tr w:rsidR="00061C7C">
        <w:tc>
          <w:tcPr>
            <w:tcW w:w="817" w:type="dxa"/>
            <w:vAlign w:val="center"/>
          </w:tcPr>
          <w:p w:rsidR="00061C7C" w:rsidRDefault="008E5A63">
            <w:pPr>
              <w:jc w:val="center"/>
            </w:pPr>
            <w:r>
              <w:rPr>
                <w:rFonts w:eastAsiaTheme="minorEastAsia"/>
                <w:kern w:val="0"/>
                <w:szCs w:val="21"/>
              </w:rPr>
              <w:t>5</w:t>
            </w:r>
          </w:p>
        </w:tc>
        <w:tc>
          <w:tcPr>
            <w:tcW w:w="1276" w:type="dxa"/>
            <w:vAlign w:val="center"/>
          </w:tcPr>
          <w:p w:rsidR="00061C7C" w:rsidRDefault="008E5A63">
            <w:pPr>
              <w:jc w:val="center"/>
            </w:pPr>
            <w:r>
              <w:rPr>
                <w:rFonts w:eastAsiaTheme="minorEastAsia"/>
                <w:kern w:val="0"/>
                <w:szCs w:val="21"/>
              </w:rPr>
              <w:t>002567</w:t>
            </w:r>
          </w:p>
        </w:tc>
        <w:tc>
          <w:tcPr>
            <w:tcW w:w="1701" w:type="dxa"/>
            <w:vAlign w:val="center"/>
          </w:tcPr>
          <w:p w:rsidR="00061C7C" w:rsidRDefault="008E5A63">
            <w:pPr>
              <w:jc w:val="center"/>
            </w:pPr>
            <w:r>
              <w:rPr>
                <w:rFonts w:eastAsiaTheme="minorEastAsia"/>
                <w:kern w:val="0"/>
                <w:szCs w:val="21"/>
              </w:rPr>
              <w:t>唐人神</w:t>
            </w:r>
          </w:p>
        </w:tc>
        <w:tc>
          <w:tcPr>
            <w:tcW w:w="1276" w:type="dxa"/>
            <w:vAlign w:val="center"/>
          </w:tcPr>
          <w:p w:rsidR="00061C7C" w:rsidRDefault="008E5A63">
            <w:pPr>
              <w:jc w:val="right"/>
            </w:pPr>
            <w:r>
              <w:rPr>
                <w:rFonts w:eastAsiaTheme="minorEastAsia"/>
                <w:kern w:val="0"/>
                <w:szCs w:val="21"/>
              </w:rPr>
              <w:t>18,699,181</w:t>
            </w:r>
          </w:p>
        </w:tc>
        <w:tc>
          <w:tcPr>
            <w:tcW w:w="1842" w:type="dxa"/>
            <w:vAlign w:val="center"/>
          </w:tcPr>
          <w:p w:rsidR="00061C7C" w:rsidRDefault="008E5A63">
            <w:pPr>
              <w:jc w:val="right"/>
            </w:pPr>
            <w:r>
              <w:rPr>
                <w:rFonts w:eastAsiaTheme="minorEastAsia"/>
                <w:kern w:val="0"/>
                <w:szCs w:val="21"/>
              </w:rPr>
              <w:t>140,243,857.50</w:t>
            </w:r>
          </w:p>
        </w:tc>
        <w:tc>
          <w:tcPr>
            <w:tcW w:w="1616" w:type="dxa"/>
            <w:vAlign w:val="center"/>
          </w:tcPr>
          <w:p w:rsidR="00061C7C" w:rsidRDefault="008E5A63">
            <w:pPr>
              <w:jc w:val="right"/>
            </w:pPr>
            <w:r>
              <w:rPr>
                <w:rFonts w:eastAsiaTheme="minorEastAsia"/>
                <w:kern w:val="0"/>
                <w:szCs w:val="21"/>
              </w:rPr>
              <w:t>9.23</w:t>
            </w:r>
          </w:p>
        </w:tc>
      </w:tr>
      <w:tr w:rsidR="00061C7C">
        <w:tc>
          <w:tcPr>
            <w:tcW w:w="817" w:type="dxa"/>
            <w:vAlign w:val="center"/>
          </w:tcPr>
          <w:p w:rsidR="00061C7C" w:rsidRDefault="008E5A63">
            <w:pPr>
              <w:jc w:val="center"/>
            </w:pPr>
            <w:r>
              <w:rPr>
                <w:rFonts w:eastAsiaTheme="minorEastAsia"/>
                <w:kern w:val="0"/>
                <w:szCs w:val="21"/>
              </w:rPr>
              <w:t>6</w:t>
            </w:r>
          </w:p>
        </w:tc>
        <w:tc>
          <w:tcPr>
            <w:tcW w:w="1276" w:type="dxa"/>
            <w:vAlign w:val="center"/>
          </w:tcPr>
          <w:p w:rsidR="00061C7C" w:rsidRDefault="008E5A63">
            <w:pPr>
              <w:jc w:val="center"/>
            </w:pPr>
            <w:r>
              <w:rPr>
                <w:rFonts w:eastAsiaTheme="minorEastAsia"/>
                <w:kern w:val="0"/>
                <w:szCs w:val="21"/>
              </w:rPr>
              <w:t>600779</w:t>
            </w:r>
          </w:p>
        </w:tc>
        <w:tc>
          <w:tcPr>
            <w:tcW w:w="1701" w:type="dxa"/>
            <w:vAlign w:val="center"/>
          </w:tcPr>
          <w:p w:rsidR="00061C7C" w:rsidRDefault="008E5A63">
            <w:pPr>
              <w:jc w:val="center"/>
            </w:pPr>
            <w:r>
              <w:rPr>
                <w:rFonts w:eastAsiaTheme="minorEastAsia"/>
                <w:kern w:val="0"/>
                <w:szCs w:val="21"/>
              </w:rPr>
              <w:t>水井坊</w:t>
            </w:r>
          </w:p>
        </w:tc>
        <w:tc>
          <w:tcPr>
            <w:tcW w:w="1276" w:type="dxa"/>
            <w:vAlign w:val="center"/>
          </w:tcPr>
          <w:p w:rsidR="00061C7C" w:rsidRDefault="008E5A63">
            <w:pPr>
              <w:jc w:val="right"/>
            </w:pPr>
            <w:r>
              <w:rPr>
                <w:rFonts w:eastAsiaTheme="minorEastAsia"/>
                <w:kern w:val="0"/>
                <w:szCs w:val="21"/>
              </w:rPr>
              <w:t>2,383,524</w:t>
            </w:r>
          </w:p>
        </w:tc>
        <w:tc>
          <w:tcPr>
            <w:tcW w:w="1842" w:type="dxa"/>
            <w:vAlign w:val="center"/>
          </w:tcPr>
          <w:p w:rsidR="00061C7C" w:rsidRDefault="008E5A63">
            <w:pPr>
              <w:jc w:val="right"/>
            </w:pPr>
            <w:r>
              <w:rPr>
                <w:rFonts w:eastAsiaTheme="minorEastAsia"/>
                <w:kern w:val="0"/>
                <w:szCs w:val="21"/>
              </w:rPr>
              <w:t>140,079,705.48</w:t>
            </w:r>
          </w:p>
        </w:tc>
        <w:tc>
          <w:tcPr>
            <w:tcW w:w="1616" w:type="dxa"/>
            <w:vAlign w:val="center"/>
          </w:tcPr>
          <w:p w:rsidR="00061C7C" w:rsidRDefault="008E5A63">
            <w:pPr>
              <w:jc w:val="right"/>
            </w:pPr>
            <w:r>
              <w:rPr>
                <w:rFonts w:eastAsiaTheme="minorEastAsia"/>
                <w:kern w:val="0"/>
                <w:szCs w:val="21"/>
              </w:rPr>
              <w:t>9.21</w:t>
            </w:r>
          </w:p>
        </w:tc>
      </w:tr>
      <w:tr w:rsidR="00061C7C">
        <w:tc>
          <w:tcPr>
            <w:tcW w:w="817" w:type="dxa"/>
            <w:vAlign w:val="center"/>
          </w:tcPr>
          <w:p w:rsidR="00061C7C" w:rsidRDefault="008E5A63">
            <w:pPr>
              <w:jc w:val="center"/>
            </w:pPr>
            <w:r>
              <w:rPr>
                <w:rFonts w:eastAsiaTheme="minorEastAsia"/>
                <w:kern w:val="0"/>
                <w:szCs w:val="21"/>
              </w:rPr>
              <w:lastRenderedPageBreak/>
              <w:t>7</w:t>
            </w:r>
          </w:p>
        </w:tc>
        <w:tc>
          <w:tcPr>
            <w:tcW w:w="1276" w:type="dxa"/>
            <w:vAlign w:val="center"/>
          </w:tcPr>
          <w:p w:rsidR="00061C7C" w:rsidRDefault="008E5A63">
            <w:pPr>
              <w:jc w:val="center"/>
            </w:pPr>
            <w:r>
              <w:rPr>
                <w:rFonts w:eastAsiaTheme="minorEastAsia"/>
                <w:kern w:val="0"/>
                <w:szCs w:val="21"/>
              </w:rPr>
              <w:t>002100</w:t>
            </w:r>
          </w:p>
        </w:tc>
        <w:tc>
          <w:tcPr>
            <w:tcW w:w="1701" w:type="dxa"/>
            <w:vAlign w:val="center"/>
          </w:tcPr>
          <w:p w:rsidR="00061C7C" w:rsidRDefault="008E5A63">
            <w:pPr>
              <w:jc w:val="center"/>
            </w:pPr>
            <w:r>
              <w:rPr>
                <w:rFonts w:eastAsiaTheme="minorEastAsia"/>
                <w:kern w:val="0"/>
                <w:szCs w:val="21"/>
              </w:rPr>
              <w:t>天康生物</w:t>
            </w:r>
          </w:p>
        </w:tc>
        <w:tc>
          <w:tcPr>
            <w:tcW w:w="1276" w:type="dxa"/>
            <w:vAlign w:val="center"/>
          </w:tcPr>
          <w:p w:rsidR="00061C7C" w:rsidRDefault="008E5A63">
            <w:pPr>
              <w:jc w:val="right"/>
            </w:pPr>
            <w:r>
              <w:rPr>
                <w:rFonts w:eastAsiaTheme="minorEastAsia"/>
                <w:kern w:val="0"/>
                <w:szCs w:val="21"/>
              </w:rPr>
              <w:t>15,888,683</w:t>
            </w:r>
          </w:p>
        </w:tc>
        <w:tc>
          <w:tcPr>
            <w:tcW w:w="1842" w:type="dxa"/>
            <w:vAlign w:val="center"/>
          </w:tcPr>
          <w:p w:rsidR="00061C7C" w:rsidRDefault="008E5A63">
            <w:pPr>
              <w:jc w:val="right"/>
            </w:pPr>
            <w:r>
              <w:rPr>
                <w:rFonts w:eastAsiaTheme="minorEastAsia"/>
                <w:kern w:val="0"/>
                <w:szCs w:val="21"/>
              </w:rPr>
              <w:t>139,343,749.91</w:t>
            </w:r>
          </w:p>
        </w:tc>
        <w:tc>
          <w:tcPr>
            <w:tcW w:w="1616" w:type="dxa"/>
            <w:vAlign w:val="center"/>
          </w:tcPr>
          <w:p w:rsidR="00061C7C" w:rsidRDefault="008E5A63">
            <w:pPr>
              <w:jc w:val="right"/>
            </w:pPr>
            <w:r>
              <w:rPr>
                <w:rFonts w:eastAsiaTheme="minorEastAsia"/>
                <w:kern w:val="0"/>
                <w:szCs w:val="21"/>
              </w:rPr>
              <w:t>9.17</w:t>
            </w:r>
          </w:p>
        </w:tc>
      </w:tr>
      <w:tr w:rsidR="00061C7C">
        <w:tc>
          <w:tcPr>
            <w:tcW w:w="817" w:type="dxa"/>
            <w:vAlign w:val="center"/>
          </w:tcPr>
          <w:p w:rsidR="00061C7C" w:rsidRDefault="008E5A63">
            <w:pPr>
              <w:jc w:val="center"/>
            </w:pPr>
            <w:r>
              <w:rPr>
                <w:rFonts w:eastAsiaTheme="minorEastAsia"/>
                <w:kern w:val="0"/>
                <w:szCs w:val="21"/>
              </w:rPr>
              <w:t>8</w:t>
            </w:r>
          </w:p>
        </w:tc>
        <w:tc>
          <w:tcPr>
            <w:tcW w:w="1276" w:type="dxa"/>
            <w:vAlign w:val="center"/>
          </w:tcPr>
          <w:p w:rsidR="00061C7C" w:rsidRDefault="008E5A63">
            <w:pPr>
              <w:jc w:val="center"/>
            </w:pPr>
            <w:r>
              <w:rPr>
                <w:rFonts w:eastAsiaTheme="minorEastAsia"/>
                <w:kern w:val="0"/>
                <w:szCs w:val="21"/>
              </w:rPr>
              <w:t>600519</w:t>
            </w:r>
          </w:p>
        </w:tc>
        <w:tc>
          <w:tcPr>
            <w:tcW w:w="1701" w:type="dxa"/>
            <w:vAlign w:val="center"/>
          </w:tcPr>
          <w:p w:rsidR="00061C7C" w:rsidRDefault="008E5A63">
            <w:pPr>
              <w:jc w:val="center"/>
            </w:pPr>
            <w:r>
              <w:rPr>
                <w:rFonts w:eastAsiaTheme="minorEastAsia"/>
                <w:kern w:val="0"/>
                <w:szCs w:val="21"/>
              </w:rPr>
              <w:t>贵州茅台</w:t>
            </w:r>
          </w:p>
        </w:tc>
        <w:tc>
          <w:tcPr>
            <w:tcW w:w="1276" w:type="dxa"/>
            <w:vAlign w:val="center"/>
          </w:tcPr>
          <w:p w:rsidR="00061C7C" w:rsidRDefault="008E5A63">
            <w:pPr>
              <w:jc w:val="right"/>
            </w:pPr>
            <w:r>
              <w:rPr>
                <w:rFonts w:eastAsiaTheme="minorEastAsia"/>
                <w:kern w:val="0"/>
                <w:szCs w:val="21"/>
              </w:rPr>
              <w:t>70,711</w:t>
            </w:r>
          </w:p>
        </w:tc>
        <w:tc>
          <w:tcPr>
            <w:tcW w:w="1842" w:type="dxa"/>
            <w:vAlign w:val="center"/>
          </w:tcPr>
          <w:p w:rsidR="00061C7C" w:rsidRDefault="008E5A63">
            <w:pPr>
              <w:jc w:val="right"/>
            </w:pPr>
            <w:r>
              <w:rPr>
                <w:rFonts w:eastAsiaTheme="minorEastAsia"/>
                <w:kern w:val="0"/>
                <w:szCs w:val="21"/>
              </w:rPr>
              <w:t>122,047,186.00</w:t>
            </w:r>
          </w:p>
        </w:tc>
        <w:tc>
          <w:tcPr>
            <w:tcW w:w="1616" w:type="dxa"/>
            <w:vAlign w:val="center"/>
          </w:tcPr>
          <w:p w:rsidR="00061C7C" w:rsidRDefault="008E5A63">
            <w:pPr>
              <w:jc w:val="right"/>
            </w:pPr>
            <w:r>
              <w:rPr>
                <w:rFonts w:eastAsiaTheme="minorEastAsia"/>
                <w:kern w:val="0"/>
                <w:szCs w:val="21"/>
              </w:rPr>
              <w:t>8.03</w:t>
            </w:r>
          </w:p>
        </w:tc>
      </w:tr>
      <w:tr w:rsidR="00061C7C">
        <w:tc>
          <w:tcPr>
            <w:tcW w:w="817" w:type="dxa"/>
            <w:vAlign w:val="center"/>
          </w:tcPr>
          <w:p w:rsidR="00061C7C" w:rsidRDefault="008E5A63">
            <w:pPr>
              <w:jc w:val="center"/>
            </w:pPr>
            <w:r>
              <w:rPr>
                <w:rFonts w:eastAsiaTheme="minorEastAsia"/>
                <w:kern w:val="0"/>
                <w:szCs w:val="21"/>
              </w:rPr>
              <w:t>9</w:t>
            </w:r>
          </w:p>
        </w:tc>
        <w:tc>
          <w:tcPr>
            <w:tcW w:w="1276" w:type="dxa"/>
            <w:vAlign w:val="center"/>
          </w:tcPr>
          <w:p w:rsidR="00061C7C" w:rsidRDefault="008E5A63">
            <w:pPr>
              <w:jc w:val="center"/>
            </w:pPr>
            <w:r>
              <w:rPr>
                <w:rFonts w:eastAsiaTheme="minorEastAsia"/>
                <w:kern w:val="0"/>
                <w:szCs w:val="21"/>
              </w:rPr>
              <w:t>600975</w:t>
            </w:r>
          </w:p>
        </w:tc>
        <w:tc>
          <w:tcPr>
            <w:tcW w:w="1701" w:type="dxa"/>
            <w:vAlign w:val="center"/>
          </w:tcPr>
          <w:p w:rsidR="00061C7C" w:rsidRDefault="008E5A63">
            <w:pPr>
              <w:jc w:val="center"/>
            </w:pPr>
            <w:r>
              <w:rPr>
                <w:rFonts w:eastAsiaTheme="minorEastAsia"/>
                <w:kern w:val="0"/>
                <w:szCs w:val="21"/>
              </w:rPr>
              <w:t>新五丰</w:t>
            </w:r>
          </w:p>
        </w:tc>
        <w:tc>
          <w:tcPr>
            <w:tcW w:w="1276" w:type="dxa"/>
            <w:vAlign w:val="center"/>
          </w:tcPr>
          <w:p w:rsidR="00061C7C" w:rsidRDefault="008E5A63">
            <w:pPr>
              <w:jc w:val="right"/>
            </w:pPr>
            <w:r>
              <w:rPr>
                <w:rFonts w:eastAsiaTheme="minorEastAsia"/>
                <w:kern w:val="0"/>
                <w:szCs w:val="21"/>
              </w:rPr>
              <w:t>11,485,137</w:t>
            </w:r>
          </w:p>
        </w:tc>
        <w:tc>
          <w:tcPr>
            <w:tcW w:w="1842" w:type="dxa"/>
            <w:vAlign w:val="center"/>
          </w:tcPr>
          <w:p w:rsidR="00061C7C" w:rsidRDefault="008E5A63">
            <w:pPr>
              <w:jc w:val="right"/>
            </w:pPr>
            <w:r>
              <w:rPr>
                <w:rFonts w:eastAsiaTheme="minorEastAsia"/>
                <w:kern w:val="0"/>
                <w:szCs w:val="21"/>
              </w:rPr>
              <w:t>120,019,681.65</w:t>
            </w:r>
          </w:p>
        </w:tc>
        <w:tc>
          <w:tcPr>
            <w:tcW w:w="1616" w:type="dxa"/>
            <w:vAlign w:val="center"/>
          </w:tcPr>
          <w:p w:rsidR="00061C7C" w:rsidRDefault="008E5A63">
            <w:pPr>
              <w:jc w:val="right"/>
            </w:pPr>
            <w:r>
              <w:rPr>
                <w:rFonts w:eastAsiaTheme="minorEastAsia"/>
                <w:kern w:val="0"/>
                <w:szCs w:val="21"/>
              </w:rPr>
              <w:t>7.89</w:t>
            </w:r>
          </w:p>
        </w:tc>
      </w:tr>
      <w:tr w:rsidR="00061C7C">
        <w:tc>
          <w:tcPr>
            <w:tcW w:w="817" w:type="dxa"/>
            <w:vAlign w:val="center"/>
          </w:tcPr>
          <w:p w:rsidR="00061C7C" w:rsidRDefault="008E5A63">
            <w:pPr>
              <w:jc w:val="center"/>
            </w:pPr>
            <w:r>
              <w:rPr>
                <w:rFonts w:eastAsiaTheme="minorEastAsia"/>
                <w:kern w:val="0"/>
                <w:szCs w:val="21"/>
              </w:rPr>
              <w:t>10</w:t>
            </w:r>
          </w:p>
        </w:tc>
        <w:tc>
          <w:tcPr>
            <w:tcW w:w="1276" w:type="dxa"/>
            <w:vAlign w:val="center"/>
          </w:tcPr>
          <w:p w:rsidR="00061C7C" w:rsidRDefault="008E5A63">
            <w:pPr>
              <w:jc w:val="center"/>
            </w:pPr>
            <w:r>
              <w:rPr>
                <w:rFonts w:eastAsiaTheme="minorEastAsia"/>
                <w:kern w:val="0"/>
                <w:szCs w:val="21"/>
              </w:rPr>
              <w:t>002714</w:t>
            </w:r>
          </w:p>
        </w:tc>
        <w:tc>
          <w:tcPr>
            <w:tcW w:w="1701" w:type="dxa"/>
            <w:vAlign w:val="center"/>
          </w:tcPr>
          <w:p w:rsidR="00061C7C" w:rsidRDefault="008E5A63">
            <w:pPr>
              <w:jc w:val="center"/>
            </w:pPr>
            <w:r>
              <w:rPr>
                <w:rFonts w:eastAsiaTheme="minorEastAsia"/>
                <w:kern w:val="0"/>
                <w:szCs w:val="21"/>
              </w:rPr>
              <w:t>牧原股份</w:t>
            </w:r>
          </w:p>
        </w:tc>
        <w:tc>
          <w:tcPr>
            <w:tcW w:w="1276" w:type="dxa"/>
            <w:vAlign w:val="center"/>
          </w:tcPr>
          <w:p w:rsidR="00061C7C" w:rsidRDefault="008E5A63">
            <w:pPr>
              <w:jc w:val="right"/>
            </w:pPr>
            <w:r>
              <w:rPr>
                <w:rFonts w:eastAsiaTheme="minorEastAsia"/>
                <w:kern w:val="0"/>
                <w:szCs w:val="21"/>
              </w:rPr>
              <w:t>2,778,081</w:t>
            </w:r>
          </w:p>
        </w:tc>
        <w:tc>
          <w:tcPr>
            <w:tcW w:w="1842" w:type="dxa"/>
            <w:vAlign w:val="center"/>
          </w:tcPr>
          <w:p w:rsidR="00061C7C" w:rsidRDefault="008E5A63">
            <w:pPr>
              <w:jc w:val="right"/>
            </w:pPr>
            <w:r>
              <w:rPr>
                <w:rFonts w:eastAsiaTheme="minorEastAsia"/>
                <w:kern w:val="0"/>
                <w:szCs w:val="21"/>
              </w:rPr>
              <w:t>114,401,375.58</w:t>
            </w:r>
          </w:p>
        </w:tc>
        <w:tc>
          <w:tcPr>
            <w:tcW w:w="1616" w:type="dxa"/>
            <w:vAlign w:val="center"/>
          </w:tcPr>
          <w:p w:rsidR="00061C7C" w:rsidRDefault="008E5A63">
            <w:pPr>
              <w:jc w:val="right"/>
            </w:pPr>
            <w:r>
              <w:rPr>
                <w:rFonts w:eastAsiaTheme="minorEastAsia"/>
                <w:kern w:val="0"/>
                <w:szCs w:val="21"/>
              </w:rPr>
              <w:t>7.53</w:t>
            </w:r>
          </w:p>
        </w:tc>
      </w:tr>
    </w:tbl>
    <w:bookmarkEnd w:id="1"/>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5.4 </w:t>
      </w:r>
      <w:r w:rsidRPr="00B27A29">
        <w:rPr>
          <w:rFonts w:eastAsiaTheme="minorEastAsia"/>
          <w:b/>
          <w:color w:val="000000" w:themeColor="text1"/>
          <w:kern w:val="0"/>
          <w:szCs w:val="21"/>
        </w:rPr>
        <w:t>报告期末按债券品种分类的债券投资组合</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本基金本报告期末未持有债券。</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 xml:space="preserve">5.5 </w:t>
      </w:r>
      <w:r w:rsidRPr="00B27A29">
        <w:rPr>
          <w:rFonts w:eastAsiaTheme="minorEastAsia"/>
          <w:b/>
          <w:color w:val="000000" w:themeColor="text1"/>
          <w:kern w:val="0"/>
          <w:szCs w:val="21"/>
        </w:rPr>
        <w:t>报告期末按公允价值占基金资产净值比例大小排序的前五名债券投资明细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本基金本报告期末未持有债券。</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5.6</w:t>
      </w:r>
      <w:r w:rsidRPr="00B27A29">
        <w:rPr>
          <w:rFonts w:eastAsiaTheme="minorEastAsia"/>
          <w:b/>
          <w:color w:val="000000" w:themeColor="text1"/>
          <w:kern w:val="0"/>
          <w:szCs w:val="21"/>
        </w:rPr>
        <w:t xml:space="preserve">　报告期末按公允价值占基金资产净值比例大小排序的前十名资产支持证券投资明细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本基金本报告期末未持有资产支持证券。</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 xml:space="preserve">5.7 </w:t>
      </w:r>
      <w:r w:rsidRPr="00B27A29">
        <w:rPr>
          <w:rFonts w:eastAsiaTheme="minorEastAsia"/>
          <w:b/>
          <w:bCs/>
          <w:color w:val="000000" w:themeColor="text1"/>
          <w:kern w:val="0"/>
          <w:szCs w:val="21"/>
        </w:rPr>
        <w:t>报告期末按公允价值占基金资产净值比例大小排序的前五名贵金属投资明细</w:t>
      </w:r>
    </w:p>
    <w:p w:rsidR="005E6DF3" w:rsidRPr="00B27A29" w:rsidRDefault="005C671B">
      <w:pPr>
        <w:widowControl/>
        <w:spacing w:line="360" w:lineRule="auto"/>
        <w:ind w:firstLineChars="200" w:firstLine="420"/>
        <w:jc w:val="left"/>
        <w:rPr>
          <w:color w:val="000000" w:themeColor="text1"/>
          <w:szCs w:val="21"/>
        </w:rPr>
      </w:pPr>
      <w:r w:rsidRPr="00B27A29">
        <w:rPr>
          <w:color w:val="000000" w:themeColor="text1"/>
          <w:szCs w:val="21"/>
        </w:rPr>
        <w:t>本基金本报告期末未持有贵金属。</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5.8</w:t>
      </w:r>
      <w:r w:rsidRPr="00B27A29">
        <w:rPr>
          <w:rFonts w:eastAsiaTheme="minorEastAsia"/>
          <w:b/>
          <w:color w:val="000000" w:themeColor="text1"/>
          <w:kern w:val="0"/>
          <w:szCs w:val="21"/>
        </w:rPr>
        <w:t>报告期末按公允价值占基金资产净值比例大小排序的前五名权证投资明细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本基金本报告期末未持有权证。</w:t>
      </w:r>
    </w:p>
    <w:p w:rsidR="005E6DF3" w:rsidRPr="00B27A29" w:rsidRDefault="005C671B">
      <w:pPr>
        <w:adjustRightInd w:val="0"/>
        <w:snapToGrid w:val="0"/>
        <w:spacing w:beforeLines="100" w:before="312" w:line="360" w:lineRule="auto"/>
        <w:rPr>
          <w:rFonts w:eastAsiaTheme="minorEastAsia"/>
          <w:b/>
          <w:color w:val="000000" w:themeColor="text1"/>
          <w:szCs w:val="21"/>
        </w:rPr>
      </w:pPr>
      <w:r w:rsidRPr="00B27A29">
        <w:rPr>
          <w:rFonts w:eastAsiaTheme="minorEastAsia"/>
          <w:b/>
          <w:color w:val="000000" w:themeColor="text1"/>
          <w:szCs w:val="21"/>
        </w:rPr>
        <w:t xml:space="preserve">5.9 </w:t>
      </w:r>
      <w:r w:rsidRPr="00B27A29">
        <w:rPr>
          <w:rFonts w:eastAsiaTheme="minorEastAsia"/>
          <w:b/>
          <w:color w:val="000000" w:themeColor="text1"/>
          <w:szCs w:val="21"/>
        </w:rPr>
        <w:t>报告期末本基金投资的股指期货交易情况说明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本基金本报告期末未持有股指期货。</w:t>
      </w:r>
    </w:p>
    <w:p w:rsidR="005E6DF3" w:rsidRPr="00B27A29" w:rsidRDefault="005C671B">
      <w:pPr>
        <w:adjustRightInd w:val="0"/>
        <w:snapToGrid w:val="0"/>
        <w:spacing w:beforeLines="100" w:before="312" w:line="360" w:lineRule="auto"/>
        <w:rPr>
          <w:rFonts w:eastAsiaTheme="minorEastAsia"/>
          <w:b/>
          <w:color w:val="000000" w:themeColor="text1"/>
          <w:szCs w:val="21"/>
        </w:rPr>
      </w:pPr>
      <w:r w:rsidRPr="00B27A29">
        <w:rPr>
          <w:rFonts w:eastAsiaTheme="minorEastAsia"/>
          <w:b/>
          <w:color w:val="000000" w:themeColor="text1"/>
          <w:szCs w:val="21"/>
        </w:rPr>
        <w:t>5.10</w:t>
      </w:r>
      <w:r w:rsidRPr="00B27A29">
        <w:rPr>
          <w:rFonts w:eastAsiaTheme="minorEastAsia"/>
          <w:b/>
          <w:color w:val="000000" w:themeColor="text1"/>
          <w:szCs w:val="21"/>
        </w:rPr>
        <w:t>报告期末本基金投资的国债期货交易情况说明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本基金本报告期末未持有国债期货。</w:t>
      </w:r>
    </w:p>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5.11</w:t>
      </w:r>
      <w:r w:rsidRPr="00B27A29">
        <w:rPr>
          <w:rFonts w:eastAsiaTheme="minorEastAsia"/>
          <w:b/>
          <w:color w:val="000000" w:themeColor="text1"/>
          <w:kern w:val="0"/>
          <w:szCs w:val="21"/>
        </w:rPr>
        <w:t>投资组合报告附注</w:t>
      </w:r>
    </w:p>
    <w:p w:rsidR="005E6DF3" w:rsidRPr="00B27A29" w:rsidRDefault="005C671B">
      <w:pPr>
        <w:widowControl/>
        <w:spacing w:line="360" w:lineRule="auto"/>
        <w:rPr>
          <w:rFonts w:eastAsiaTheme="minorEastAsia"/>
          <w:color w:val="000000" w:themeColor="text1"/>
          <w:szCs w:val="21"/>
        </w:rPr>
      </w:pPr>
      <w:r w:rsidRPr="00B27A29">
        <w:rPr>
          <w:rFonts w:eastAsiaTheme="minorEastAsia"/>
          <w:color w:val="000000" w:themeColor="text1"/>
          <w:szCs w:val="21"/>
        </w:rPr>
        <w:t>5.11.1</w:t>
      </w:r>
      <w:r w:rsidRPr="00B27A29">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5E6DF3" w:rsidRPr="00B27A29" w:rsidRDefault="005C671B">
      <w:pPr>
        <w:widowControl/>
        <w:spacing w:line="360" w:lineRule="auto"/>
        <w:rPr>
          <w:rFonts w:eastAsiaTheme="minorEastAsia"/>
          <w:color w:val="000000" w:themeColor="text1"/>
          <w:szCs w:val="21"/>
        </w:rPr>
      </w:pPr>
      <w:r w:rsidRPr="00B27A29">
        <w:rPr>
          <w:rFonts w:eastAsiaTheme="minorEastAsia"/>
          <w:color w:val="000000" w:themeColor="text1"/>
          <w:szCs w:val="21"/>
        </w:rPr>
        <w:t>5.11.2</w:t>
      </w:r>
      <w:r w:rsidRPr="00B27A29">
        <w:rPr>
          <w:rFonts w:eastAsiaTheme="minorEastAsia"/>
          <w:color w:val="000000" w:themeColor="text1"/>
          <w:szCs w:val="21"/>
        </w:rPr>
        <w:t>报告期内本基金投资的前十名股票中没有在基金合同规定备选股票库之外的股票。</w:t>
      </w:r>
    </w:p>
    <w:p w:rsidR="005E6DF3" w:rsidRPr="00B27A29" w:rsidRDefault="005C671B">
      <w:pPr>
        <w:autoSpaceDE w:val="0"/>
        <w:autoSpaceDN w:val="0"/>
        <w:adjustRightInd w:val="0"/>
        <w:spacing w:line="360" w:lineRule="auto"/>
        <w:rPr>
          <w:rFonts w:eastAsiaTheme="minorEastAsia"/>
          <w:b/>
          <w:color w:val="000000" w:themeColor="text1"/>
          <w:kern w:val="0"/>
          <w:szCs w:val="21"/>
        </w:rPr>
      </w:pPr>
      <w:r w:rsidRPr="00B27A29">
        <w:rPr>
          <w:rFonts w:eastAsiaTheme="minorEastAsia"/>
          <w:b/>
          <w:color w:val="000000" w:themeColor="text1"/>
          <w:kern w:val="0"/>
          <w:szCs w:val="21"/>
        </w:rPr>
        <w:t>5.11.3</w:t>
      </w:r>
      <w:r w:rsidRPr="00B27A29">
        <w:rPr>
          <w:rFonts w:eastAsiaTheme="minorEastAsia"/>
          <w:b/>
          <w:color w:val="000000" w:themeColor="text1"/>
          <w:kern w:val="0"/>
          <w:szCs w:val="21"/>
        </w:rPr>
        <w:t>其他资产构成</w:t>
      </w:r>
    </w:p>
    <w:tbl>
      <w:tblPr>
        <w:tblStyle w:val="afa"/>
        <w:tblW w:w="8679" w:type="dxa"/>
        <w:tblInd w:w="108" w:type="dxa"/>
        <w:tblLayout w:type="fixed"/>
        <w:tblLook w:val="04A0" w:firstRow="1" w:lastRow="0" w:firstColumn="1" w:lastColumn="0" w:noHBand="0" w:noVBand="1"/>
      </w:tblPr>
      <w:tblGrid>
        <w:gridCol w:w="1110"/>
        <w:gridCol w:w="2761"/>
        <w:gridCol w:w="4808"/>
      </w:tblGrid>
      <w:tr w:rsidR="005E6DF3" w:rsidRPr="00B27A29">
        <w:tc>
          <w:tcPr>
            <w:tcW w:w="1110"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序号</w:t>
            </w:r>
          </w:p>
        </w:tc>
        <w:tc>
          <w:tcPr>
            <w:tcW w:w="2761"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名称</w:t>
            </w:r>
          </w:p>
        </w:tc>
        <w:tc>
          <w:tcPr>
            <w:tcW w:w="4808" w:type="dxa"/>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金额</w:t>
            </w:r>
            <w:r w:rsidRPr="00B27A29">
              <w:rPr>
                <w:rFonts w:eastAsiaTheme="minorEastAsia"/>
                <w:color w:val="000000" w:themeColor="text1"/>
                <w:kern w:val="0"/>
                <w:szCs w:val="21"/>
              </w:rPr>
              <w:t>(</w:t>
            </w:r>
            <w:r w:rsidRPr="00B27A29">
              <w:rPr>
                <w:rFonts w:eastAsiaTheme="minorEastAsia"/>
                <w:color w:val="000000" w:themeColor="text1"/>
                <w:kern w:val="0"/>
                <w:szCs w:val="21"/>
              </w:rPr>
              <w:t>元</w:t>
            </w: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kern w:val="0"/>
                <w:szCs w:val="21"/>
              </w:rPr>
            </w:pPr>
            <w:r w:rsidRPr="00B27A29">
              <w:rPr>
                <w:rFonts w:eastAsiaTheme="minorEastAsia"/>
                <w:color w:val="000000" w:themeColor="text1"/>
                <w:szCs w:val="21"/>
              </w:rPr>
              <w:t>1</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存出保证金</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421,637.66</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lastRenderedPageBreak/>
              <w:t>2</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应收证券清算款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7,487,244.34</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3</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应收股利</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4</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应收利息</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5</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应收申购款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476,859.70</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6</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其他应收款</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7</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szCs w:val="21"/>
              </w:rPr>
            </w:pPr>
            <w:r w:rsidRPr="00B27A29">
              <w:rPr>
                <w:rFonts w:eastAsiaTheme="minorEastAsia"/>
                <w:color w:val="000000" w:themeColor="text1"/>
                <w:szCs w:val="21"/>
              </w:rPr>
              <w:t>待摊费用</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8</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其他</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w:t>
            </w:r>
          </w:p>
        </w:tc>
      </w:tr>
      <w:tr w:rsidR="005E6DF3" w:rsidRPr="00B27A29">
        <w:tc>
          <w:tcPr>
            <w:tcW w:w="1110" w:type="dxa"/>
            <w:vAlign w:val="center"/>
          </w:tcPr>
          <w:p w:rsidR="005E6DF3" w:rsidRPr="00B27A29" w:rsidRDefault="005C671B">
            <w:pPr>
              <w:autoSpaceDE w:val="0"/>
              <w:autoSpaceDN w:val="0"/>
              <w:adjustRightInd w:val="0"/>
              <w:spacing w:before="29" w:line="360" w:lineRule="auto"/>
              <w:ind w:left="15"/>
              <w:jc w:val="center"/>
              <w:rPr>
                <w:rFonts w:eastAsiaTheme="minorEastAsia"/>
                <w:color w:val="000000" w:themeColor="text1"/>
                <w:szCs w:val="21"/>
              </w:rPr>
            </w:pPr>
            <w:r w:rsidRPr="00B27A29">
              <w:rPr>
                <w:rFonts w:eastAsiaTheme="minorEastAsia"/>
                <w:color w:val="000000" w:themeColor="text1"/>
                <w:szCs w:val="21"/>
              </w:rPr>
              <w:t>9</w:t>
            </w:r>
          </w:p>
        </w:tc>
        <w:tc>
          <w:tcPr>
            <w:tcW w:w="2761" w:type="dxa"/>
            <w:vAlign w:val="center"/>
          </w:tcPr>
          <w:p w:rsidR="005E6DF3" w:rsidRPr="00B27A29" w:rsidRDefault="005C671B">
            <w:pPr>
              <w:autoSpaceDE w:val="0"/>
              <w:autoSpaceDN w:val="0"/>
              <w:adjustRightInd w:val="0"/>
              <w:spacing w:before="29" w:line="360" w:lineRule="auto"/>
              <w:ind w:left="15"/>
              <w:jc w:val="left"/>
              <w:rPr>
                <w:rFonts w:eastAsiaTheme="minorEastAsia"/>
                <w:color w:val="000000" w:themeColor="text1"/>
                <w:kern w:val="0"/>
                <w:szCs w:val="21"/>
              </w:rPr>
            </w:pPr>
            <w:r w:rsidRPr="00B27A29">
              <w:rPr>
                <w:rFonts w:eastAsiaTheme="minorEastAsia"/>
                <w:color w:val="000000" w:themeColor="text1"/>
                <w:kern w:val="0"/>
                <w:szCs w:val="21"/>
              </w:rPr>
              <w:t>合计</w:t>
            </w:r>
          </w:p>
        </w:tc>
        <w:tc>
          <w:tcPr>
            <w:tcW w:w="4808" w:type="dxa"/>
            <w:vAlign w:val="center"/>
          </w:tcPr>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8,385,741.70</w:t>
            </w:r>
          </w:p>
        </w:tc>
      </w:tr>
    </w:tbl>
    <w:p w:rsidR="005E6DF3" w:rsidRPr="00B27A29" w:rsidRDefault="005C671B">
      <w:pPr>
        <w:autoSpaceDE w:val="0"/>
        <w:autoSpaceDN w:val="0"/>
        <w:adjustRightInd w:val="0"/>
        <w:spacing w:beforeLines="100" w:before="312" w:line="360" w:lineRule="auto"/>
        <w:jc w:val="left"/>
        <w:rPr>
          <w:rFonts w:eastAsiaTheme="minorEastAsia"/>
          <w:b/>
          <w:color w:val="000000" w:themeColor="text1"/>
          <w:kern w:val="0"/>
          <w:szCs w:val="21"/>
        </w:rPr>
      </w:pPr>
      <w:r w:rsidRPr="00B27A29">
        <w:rPr>
          <w:rFonts w:eastAsiaTheme="minorEastAsia"/>
          <w:b/>
          <w:color w:val="000000" w:themeColor="text1"/>
          <w:kern w:val="0"/>
          <w:szCs w:val="21"/>
        </w:rPr>
        <w:t>5.11.4</w:t>
      </w:r>
      <w:r w:rsidRPr="00B27A29">
        <w:rPr>
          <w:rFonts w:eastAsiaTheme="minorEastAsia"/>
          <w:b/>
          <w:color w:val="000000" w:themeColor="text1"/>
          <w:kern w:val="0"/>
          <w:szCs w:val="21"/>
        </w:rPr>
        <w:t>报告期末持有的处于转股期的可转换债券明细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本基金本报告期末未持有处于转股期的可转换债券。</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szCs w:val="21"/>
        </w:rPr>
      </w:pPr>
      <w:r w:rsidRPr="00B27A29">
        <w:rPr>
          <w:rFonts w:eastAsiaTheme="minorEastAsia"/>
          <w:b/>
          <w:color w:val="000000" w:themeColor="text1"/>
          <w:kern w:val="0"/>
          <w:szCs w:val="21"/>
        </w:rPr>
        <w:t>5.11.5</w:t>
      </w:r>
      <w:r w:rsidRPr="00B27A29">
        <w:rPr>
          <w:rFonts w:eastAsiaTheme="minorEastAsia"/>
          <w:b/>
          <w:bCs/>
          <w:color w:val="000000" w:themeColor="text1"/>
          <w:szCs w:val="21"/>
        </w:rPr>
        <w:t>报告期末前十名股票中存在流通受限情况的说明</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本基金本报告期末前十名股票中不存在流通受限情况。</w:t>
      </w:r>
    </w:p>
    <w:p w:rsidR="005E6DF3" w:rsidRPr="00B27A29" w:rsidRDefault="005C671B">
      <w:pPr>
        <w:spacing w:beforeLines="100" w:before="312" w:line="360" w:lineRule="auto"/>
        <w:rPr>
          <w:rFonts w:eastAsiaTheme="minorEastAsia"/>
          <w:b/>
          <w:color w:val="000000" w:themeColor="text1"/>
          <w:kern w:val="0"/>
          <w:szCs w:val="21"/>
        </w:rPr>
      </w:pPr>
      <w:r w:rsidRPr="00B27A29">
        <w:rPr>
          <w:rFonts w:eastAsiaTheme="minorEastAsia"/>
          <w:b/>
          <w:color w:val="000000" w:themeColor="text1"/>
          <w:kern w:val="0"/>
          <w:szCs w:val="21"/>
        </w:rPr>
        <w:t>5.11.6</w:t>
      </w:r>
      <w:r w:rsidRPr="00B27A29">
        <w:rPr>
          <w:rFonts w:eastAsiaTheme="minorEastAsia"/>
          <w:b/>
          <w:color w:val="000000" w:themeColor="text1"/>
          <w:kern w:val="0"/>
          <w:szCs w:val="21"/>
        </w:rPr>
        <w:t>投资组合报告附注的其他文字描述部分</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因四舍五入原因，投资组合报告中分项之和与合计可能存在尾差。</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§6  </w:t>
      </w:r>
      <w:r w:rsidRPr="00B27A29">
        <w:rPr>
          <w:rFonts w:eastAsiaTheme="minorEastAsia"/>
          <w:color w:val="000000" w:themeColor="text1"/>
          <w:kern w:val="0"/>
          <w:sz w:val="21"/>
          <w:szCs w:val="21"/>
        </w:rPr>
        <w:t>开放式基金份额变动</w:t>
      </w:r>
    </w:p>
    <w:p w:rsidR="005E6DF3" w:rsidRPr="00B27A29" w:rsidRDefault="005C671B">
      <w:pPr>
        <w:autoSpaceDE w:val="0"/>
        <w:autoSpaceDN w:val="0"/>
        <w:adjustRightInd w:val="0"/>
        <w:spacing w:before="29" w:line="288" w:lineRule="auto"/>
        <w:ind w:left="15" w:right="480"/>
        <w:jc w:val="right"/>
        <w:rPr>
          <w:rFonts w:eastAsiaTheme="minorEastAsia"/>
          <w:color w:val="000000" w:themeColor="text1"/>
          <w:kern w:val="0"/>
          <w:szCs w:val="21"/>
        </w:rPr>
      </w:pPr>
      <w:r w:rsidRPr="00B27A29">
        <w:rPr>
          <w:rFonts w:eastAsiaTheme="minorEastAsia"/>
          <w:color w:val="000000" w:themeColor="text1"/>
          <w:kern w:val="0"/>
          <w:szCs w:val="21"/>
        </w:rPr>
        <w:t>单位：份</w:t>
      </w:r>
    </w:p>
    <w:tbl>
      <w:tblPr>
        <w:tblW w:w="8634" w:type="dxa"/>
        <w:tblInd w:w="108" w:type="dxa"/>
        <w:tblLayout w:type="fixed"/>
        <w:tblLook w:val="04A0" w:firstRow="1" w:lastRow="0" w:firstColumn="1" w:lastColumn="0" w:noHBand="0" w:noVBand="1"/>
      </w:tblPr>
      <w:tblGrid>
        <w:gridCol w:w="3900"/>
        <w:gridCol w:w="2367"/>
        <w:gridCol w:w="2367"/>
      </w:tblGrid>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C</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251,751,455.45</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145,985,963.26</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报告期期间基金总申购份额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25,314,862.38</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29,067,474.18</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减：报告期期间基金总赎回份额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10,023,322.36</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36,570,374.41</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报告期期间基金拆分变动份额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3900"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left"/>
              <w:rPr>
                <w:rFonts w:eastAsiaTheme="minorEastAsia"/>
                <w:color w:val="000000" w:themeColor="text1"/>
                <w:kern w:val="0"/>
                <w:szCs w:val="21"/>
              </w:rPr>
            </w:pPr>
            <w:r w:rsidRPr="00B27A29">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267,042,995.47</w:t>
            </w:r>
          </w:p>
        </w:tc>
        <w:tc>
          <w:tcPr>
            <w:tcW w:w="236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138,483,063.03</w:t>
            </w:r>
          </w:p>
        </w:tc>
      </w:tr>
    </w:tbl>
    <w:p w:rsidR="005E6DF3" w:rsidRPr="00B27A29" w:rsidRDefault="005C671B">
      <w:pPr>
        <w:pStyle w:val="1"/>
        <w:tabs>
          <w:tab w:val="center" w:pos="4156"/>
          <w:tab w:val="right" w:pos="8312"/>
        </w:tabs>
        <w:spacing w:beforeLines="100" w:before="312" w:afterLines="100" w:after="312" w:line="360" w:lineRule="auto"/>
        <w:jc w:val="center"/>
        <w:rPr>
          <w:color w:val="000000" w:themeColor="text1"/>
          <w:sz w:val="21"/>
          <w:szCs w:val="21"/>
        </w:rPr>
      </w:pPr>
      <w:r w:rsidRPr="00B27A29">
        <w:rPr>
          <w:rFonts w:eastAsiaTheme="minorEastAsia"/>
          <w:color w:val="000000" w:themeColor="text1"/>
          <w:kern w:val="0"/>
          <w:sz w:val="21"/>
          <w:szCs w:val="21"/>
        </w:rPr>
        <w:lastRenderedPageBreak/>
        <w:t>§7</w:t>
      </w:r>
      <w:r w:rsidRPr="00B27A29">
        <w:rPr>
          <w:color w:val="000000"/>
          <w:sz w:val="21"/>
          <w:szCs w:val="21"/>
          <w:shd w:val="clear" w:color="auto" w:fill="FFFFFF"/>
        </w:rPr>
        <w:t>基金管理人运用固有资金投资本基金情况</w:t>
      </w:r>
    </w:p>
    <w:p w:rsidR="005E6DF3" w:rsidRPr="00B27A29" w:rsidRDefault="005C671B">
      <w:pPr>
        <w:spacing w:line="360" w:lineRule="auto"/>
        <w:jc w:val="left"/>
        <w:rPr>
          <w:color w:val="000000" w:themeColor="text1"/>
          <w:szCs w:val="21"/>
        </w:rPr>
      </w:pPr>
      <w:r w:rsidRPr="00B27A29">
        <w:rPr>
          <w:b/>
          <w:color w:val="000000" w:themeColor="text1"/>
          <w:szCs w:val="21"/>
        </w:rPr>
        <w:t>7.1</w:t>
      </w:r>
      <w:r w:rsidRPr="00B27A29">
        <w:rPr>
          <w:rFonts w:eastAsiaTheme="minorEastAsia"/>
          <w:b/>
          <w:bCs/>
          <w:color w:val="000000" w:themeColor="text1"/>
          <w:kern w:val="44"/>
          <w:szCs w:val="21"/>
        </w:rPr>
        <w:t>基金管理人持有本基金份额变动情况</w:t>
      </w:r>
    </w:p>
    <w:p w:rsidR="005E6DF3" w:rsidRPr="00B27A29" w:rsidRDefault="005C671B">
      <w:pPr>
        <w:autoSpaceDE w:val="0"/>
        <w:autoSpaceDN w:val="0"/>
        <w:adjustRightInd w:val="0"/>
        <w:spacing w:before="29" w:line="360" w:lineRule="auto"/>
        <w:ind w:left="15"/>
        <w:jc w:val="right"/>
        <w:rPr>
          <w:rFonts w:eastAsiaTheme="minorEastAsia"/>
          <w:color w:val="000000" w:themeColor="text1"/>
          <w:kern w:val="0"/>
          <w:szCs w:val="21"/>
        </w:rPr>
      </w:pPr>
      <w:r w:rsidRPr="00B27A29">
        <w:rPr>
          <w:rFonts w:eastAsiaTheme="minorEastAsia"/>
          <w:color w:val="000000" w:themeColor="text1"/>
          <w:kern w:val="0"/>
          <w:szCs w:val="21"/>
        </w:rPr>
        <w:t>单位：份</w:t>
      </w:r>
    </w:p>
    <w:tbl>
      <w:tblPr>
        <w:tblW w:w="8363" w:type="dxa"/>
        <w:tblInd w:w="108" w:type="dxa"/>
        <w:tblLayout w:type="fixed"/>
        <w:tblLook w:val="04A0" w:firstRow="1" w:lastRow="0" w:firstColumn="1" w:lastColumn="0" w:noHBand="0" w:noVBand="1"/>
      </w:tblPr>
      <w:tblGrid>
        <w:gridCol w:w="2977"/>
        <w:gridCol w:w="2693"/>
        <w:gridCol w:w="2693"/>
      </w:tblGrid>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center"/>
              <w:rPr>
                <w:rFonts w:eastAsiaTheme="minorEastAsia"/>
                <w:color w:val="000000" w:themeColor="text1"/>
                <w:kern w:val="0"/>
                <w:szCs w:val="21"/>
              </w:rPr>
            </w:pPr>
            <w:r w:rsidRPr="00B27A29">
              <w:rPr>
                <w:rFonts w:eastAsiaTheme="minorEastAsia"/>
                <w:color w:val="000000" w:themeColor="text1"/>
                <w:kern w:val="0"/>
                <w:szCs w:val="21"/>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A</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utoSpaceDE w:val="0"/>
              <w:autoSpaceDN w:val="0"/>
              <w:adjustRightInd w:val="0"/>
              <w:spacing w:before="29" w:line="360" w:lineRule="auto"/>
              <w:ind w:left="17"/>
              <w:jc w:val="right"/>
              <w:rPr>
                <w:rFonts w:eastAsiaTheme="minorEastAsia"/>
                <w:color w:val="000000" w:themeColor="text1"/>
                <w:szCs w:val="21"/>
              </w:rPr>
            </w:pPr>
            <w:r w:rsidRPr="00B27A29">
              <w:rPr>
                <w:rFonts w:eastAsiaTheme="minorEastAsia"/>
                <w:color w:val="000000" w:themeColor="text1"/>
                <w:szCs w:val="21"/>
              </w:rPr>
              <w:t>摩根健康品质生活混合</w:t>
            </w:r>
            <w:r w:rsidRPr="00B27A29">
              <w:rPr>
                <w:rFonts w:eastAsiaTheme="minorEastAsia"/>
                <w:color w:val="000000" w:themeColor="text1"/>
                <w:szCs w:val="21"/>
              </w:rPr>
              <w:t>C</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pStyle w:val="ab"/>
              <w:adjustRightInd w:val="0"/>
              <w:snapToGrid w:val="0"/>
              <w:spacing w:line="360" w:lineRule="exact"/>
              <w:rPr>
                <w:rFonts w:eastAsia="方正仿宋简体"/>
                <w:color w:val="000000" w:themeColor="text1"/>
                <w:sz w:val="21"/>
                <w:szCs w:val="21"/>
              </w:rPr>
            </w:pPr>
            <w:r w:rsidRPr="00B27A29">
              <w:rPr>
                <w:color w:val="000000" w:themeColor="text1"/>
                <w:sz w:val="21"/>
                <w:szCs w:val="21"/>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59,896.68</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rFonts w:eastAsiaTheme="minorEastAsia"/>
                <w:color w:val="000000" w:themeColor="text1"/>
                <w:kern w:val="0"/>
                <w:szCs w:val="21"/>
              </w:rPr>
              <w:t>报告期期间</w:t>
            </w:r>
            <w:r w:rsidRPr="00B27A29">
              <w:rPr>
                <w:color w:val="000000" w:themeColor="text1"/>
                <w:szCs w:val="21"/>
              </w:rPr>
              <w:t>买入</w:t>
            </w:r>
            <w:r w:rsidRPr="00B27A29">
              <w:rPr>
                <w:color w:val="000000" w:themeColor="text1"/>
                <w:szCs w:val="21"/>
              </w:rPr>
              <w:t>/</w:t>
            </w:r>
            <w:r w:rsidRPr="00B27A29">
              <w:rPr>
                <w:color w:val="000000" w:themeColor="text1"/>
                <w:szCs w:val="21"/>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rFonts w:eastAsiaTheme="minorEastAsia"/>
                <w:color w:val="000000" w:themeColor="text1"/>
                <w:kern w:val="0"/>
                <w:szCs w:val="21"/>
              </w:rPr>
              <w:t>报告期期间</w:t>
            </w:r>
            <w:r w:rsidRPr="00B27A29">
              <w:rPr>
                <w:color w:val="000000" w:themeColor="text1"/>
                <w:szCs w:val="21"/>
              </w:rPr>
              <w:t>卖出</w:t>
            </w:r>
            <w:r w:rsidRPr="00B27A29">
              <w:rPr>
                <w:color w:val="000000" w:themeColor="text1"/>
                <w:szCs w:val="21"/>
              </w:rPr>
              <w:t>/</w:t>
            </w:r>
            <w:r w:rsidRPr="00B27A29">
              <w:rPr>
                <w:color w:val="000000" w:themeColor="text1"/>
                <w:szCs w:val="21"/>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color w:val="000000" w:themeColor="text1"/>
                <w:szCs w:val="21"/>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59,896.68</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szCs w:val="21"/>
              </w:rPr>
            </w:pPr>
            <w:r w:rsidRPr="00B27A29">
              <w:rPr>
                <w:rFonts w:eastAsiaTheme="minorEastAsia"/>
                <w:color w:val="000000" w:themeColor="text1"/>
                <w:szCs w:val="21"/>
              </w:rPr>
              <w:t>-</w:t>
            </w:r>
          </w:p>
        </w:tc>
      </w:tr>
      <w:tr w:rsidR="005E6DF3" w:rsidRPr="00B27A29">
        <w:tc>
          <w:tcPr>
            <w:tcW w:w="2977"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adjustRightInd w:val="0"/>
              <w:snapToGrid w:val="0"/>
              <w:spacing w:line="360" w:lineRule="exact"/>
              <w:rPr>
                <w:color w:val="000000" w:themeColor="text1"/>
                <w:szCs w:val="21"/>
              </w:rPr>
            </w:pPr>
            <w:r w:rsidRPr="00B27A29">
              <w:rPr>
                <w:color w:val="000000" w:themeColor="text1"/>
                <w:szCs w:val="21"/>
              </w:rPr>
              <w:t>报告期期末持有的本基金份额占基金总份额比例（</w:t>
            </w:r>
            <w:r w:rsidRPr="00B27A29">
              <w:rPr>
                <w:color w:val="000000" w:themeColor="text1"/>
                <w:szCs w:val="21"/>
              </w:rPr>
              <w:t>%</w:t>
            </w:r>
            <w:r w:rsidRPr="00B27A29">
              <w:rPr>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0.01</w:t>
            </w:r>
          </w:p>
        </w:tc>
        <w:tc>
          <w:tcPr>
            <w:tcW w:w="2693" w:type="dxa"/>
            <w:tcBorders>
              <w:top w:val="single" w:sz="8" w:space="0" w:color="000000"/>
              <w:left w:val="single" w:sz="8" w:space="0" w:color="000000"/>
              <w:bottom w:val="single" w:sz="8" w:space="0" w:color="000000"/>
              <w:right w:val="single" w:sz="8" w:space="0" w:color="000000"/>
            </w:tcBorders>
            <w:vAlign w:val="center"/>
          </w:tcPr>
          <w:p w:rsidR="005E6DF3" w:rsidRPr="00B27A29" w:rsidRDefault="005C671B">
            <w:pPr>
              <w:jc w:val="right"/>
              <w:rPr>
                <w:rFonts w:eastAsiaTheme="minorEastAsia"/>
                <w:color w:val="000000" w:themeColor="text1"/>
                <w:kern w:val="0"/>
                <w:szCs w:val="21"/>
              </w:rPr>
            </w:pPr>
            <w:r w:rsidRPr="00B27A29">
              <w:rPr>
                <w:rFonts w:eastAsiaTheme="minorEastAsia"/>
                <w:color w:val="000000" w:themeColor="text1"/>
                <w:szCs w:val="21"/>
              </w:rPr>
              <w:t>-</w:t>
            </w:r>
          </w:p>
        </w:tc>
      </w:tr>
    </w:tbl>
    <w:p w:rsidR="005E6DF3" w:rsidRPr="00B27A29" w:rsidRDefault="005C671B">
      <w:pPr>
        <w:spacing w:beforeLines="100" w:before="312" w:line="360" w:lineRule="auto"/>
        <w:jc w:val="left"/>
        <w:rPr>
          <w:color w:val="000000" w:themeColor="text1"/>
          <w:szCs w:val="21"/>
        </w:rPr>
      </w:pPr>
      <w:r w:rsidRPr="00B27A29">
        <w:rPr>
          <w:b/>
          <w:color w:val="000000" w:themeColor="text1"/>
          <w:szCs w:val="21"/>
        </w:rPr>
        <w:t>7.2</w:t>
      </w:r>
      <w:r w:rsidRPr="00B27A29">
        <w:rPr>
          <w:b/>
          <w:color w:val="000000"/>
          <w:szCs w:val="21"/>
          <w:shd w:val="clear" w:color="auto" w:fill="FFFFFF"/>
        </w:rPr>
        <w:t>基金管理人运用固有资金投资本基金交易明细</w:t>
      </w:r>
    </w:p>
    <w:p w:rsidR="005E6DF3" w:rsidRPr="00B27A29" w:rsidRDefault="005C671B">
      <w:pPr>
        <w:autoSpaceDE w:val="0"/>
        <w:autoSpaceDN w:val="0"/>
        <w:adjustRightInd w:val="0"/>
        <w:spacing w:line="360" w:lineRule="auto"/>
        <w:ind w:firstLineChars="200" w:firstLine="420"/>
        <w:jc w:val="left"/>
        <w:rPr>
          <w:rFonts w:eastAsiaTheme="minorEastAsia"/>
          <w:color w:val="000000" w:themeColor="text1"/>
          <w:szCs w:val="21"/>
        </w:rPr>
      </w:pPr>
      <w:r w:rsidRPr="00B27A29">
        <w:rPr>
          <w:rFonts w:eastAsiaTheme="minorEastAsia"/>
          <w:color w:val="000000" w:themeColor="text1"/>
          <w:szCs w:val="21"/>
        </w:rPr>
        <w:t>无。</w:t>
      </w:r>
    </w:p>
    <w:p w:rsidR="005E6DF3" w:rsidRPr="00B27A29" w:rsidRDefault="005C671B">
      <w:pPr>
        <w:pStyle w:val="1"/>
        <w:spacing w:beforeLines="100" w:before="312" w:afterLines="100" w:after="312" w:line="360" w:lineRule="auto"/>
        <w:jc w:val="center"/>
        <w:rPr>
          <w:rFonts w:eastAsiaTheme="minorEastAsia"/>
          <w:color w:val="000000" w:themeColor="text1"/>
          <w:kern w:val="0"/>
          <w:sz w:val="21"/>
          <w:szCs w:val="21"/>
        </w:rPr>
      </w:pPr>
      <w:r w:rsidRPr="00B27A29">
        <w:rPr>
          <w:rFonts w:eastAsiaTheme="minorEastAsia"/>
          <w:color w:val="000000" w:themeColor="text1"/>
          <w:kern w:val="0"/>
          <w:sz w:val="21"/>
          <w:szCs w:val="21"/>
        </w:rPr>
        <w:t xml:space="preserve">§8 </w:t>
      </w:r>
      <w:r w:rsidRPr="00B27A29">
        <w:rPr>
          <w:rFonts w:eastAsiaTheme="minorEastAsia"/>
          <w:color w:val="000000" w:themeColor="text1"/>
          <w:kern w:val="0"/>
          <w:sz w:val="21"/>
          <w:szCs w:val="21"/>
        </w:rPr>
        <w:t>备查文件目录</w:t>
      </w:r>
    </w:p>
    <w:p w:rsidR="005E6DF3" w:rsidRPr="00B27A29" w:rsidRDefault="005C671B">
      <w:pPr>
        <w:autoSpaceDE w:val="0"/>
        <w:autoSpaceDN w:val="0"/>
        <w:adjustRightInd w:val="0"/>
        <w:spacing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8.1</w:t>
      </w:r>
      <w:r w:rsidRPr="00B27A29">
        <w:rPr>
          <w:rFonts w:eastAsiaTheme="minorEastAsia"/>
          <w:b/>
          <w:bCs/>
          <w:color w:val="000000" w:themeColor="text1"/>
          <w:kern w:val="0"/>
          <w:szCs w:val="21"/>
        </w:rPr>
        <w:t>备查文件目录</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一</w:t>
      </w:r>
      <w:r>
        <w:rPr>
          <w:rFonts w:eastAsiaTheme="minorEastAsia"/>
          <w:color w:val="000000" w:themeColor="text1"/>
          <w:szCs w:val="21"/>
        </w:rPr>
        <w:t xml:space="preserve">) </w:t>
      </w:r>
      <w:r>
        <w:rPr>
          <w:rFonts w:eastAsiaTheme="minorEastAsia"/>
          <w:color w:val="000000" w:themeColor="text1"/>
          <w:szCs w:val="21"/>
        </w:rPr>
        <w:t>中国证监会批准本基金募集的文件</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二</w:t>
      </w:r>
      <w:r>
        <w:rPr>
          <w:rFonts w:eastAsiaTheme="minorEastAsia"/>
          <w:color w:val="000000" w:themeColor="text1"/>
          <w:szCs w:val="21"/>
        </w:rPr>
        <w:t xml:space="preserve">) </w:t>
      </w:r>
      <w:r>
        <w:rPr>
          <w:rFonts w:eastAsiaTheme="minorEastAsia"/>
          <w:color w:val="000000" w:themeColor="text1"/>
          <w:szCs w:val="21"/>
        </w:rPr>
        <w:t>摩根健康品质生活混合型证券投资基金基金合同</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三</w:t>
      </w:r>
      <w:r>
        <w:rPr>
          <w:rFonts w:eastAsiaTheme="minorEastAsia"/>
          <w:color w:val="000000" w:themeColor="text1"/>
          <w:szCs w:val="21"/>
        </w:rPr>
        <w:t xml:space="preserve">) </w:t>
      </w:r>
      <w:r>
        <w:rPr>
          <w:rFonts w:eastAsiaTheme="minorEastAsia"/>
          <w:color w:val="000000" w:themeColor="text1"/>
          <w:szCs w:val="21"/>
        </w:rPr>
        <w:t>摩根健康品质生活混合型证券投资基金托管协议</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四</w:t>
      </w:r>
      <w:r>
        <w:rPr>
          <w:rFonts w:eastAsiaTheme="minorEastAsia"/>
          <w:color w:val="000000" w:themeColor="text1"/>
          <w:szCs w:val="21"/>
        </w:rPr>
        <w:t xml:space="preserve">) </w:t>
      </w:r>
      <w:r>
        <w:rPr>
          <w:rFonts w:eastAsiaTheme="minorEastAsia"/>
          <w:color w:val="000000" w:themeColor="text1"/>
          <w:szCs w:val="21"/>
        </w:rPr>
        <w:t>法律意见书</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五</w:t>
      </w:r>
      <w:r>
        <w:rPr>
          <w:rFonts w:eastAsiaTheme="minorEastAsia"/>
          <w:color w:val="000000" w:themeColor="text1"/>
          <w:szCs w:val="21"/>
        </w:rPr>
        <w:t xml:space="preserve">) </w:t>
      </w:r>
      <w:r>
        <w:rPr>
          <w:rFonts w:eastAsiaTheme="minorEastAsia"/>
          <w:color w:val="000000" w:themeColor="text1"/>
          <w:szCs w:val="21"/>
        </w:rPr>
        <w:t>基金管理人业务资格批件、营业执照</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六</w:t>
      </w:r>
      <w:r>
        <w:rPr>
          <w:rFonts w:eastAsiaTheme="minorEastAsia"/>
          <w:color w:val="000000" w:themeColor="text1"/>
          <w:szCs w:val="21"/>
        </w:rPr>
        <w:t xml:space="preserve">) </w:t>
      </w:r>
      <w:r>
        <w:rPr>
          <w:rFonts w:eastAsiaTheme="minorEastAsia"/>
          <w:color w:val="000000" w:themeColor="text1"/>
          <w:szCs w:val="21"/>
        </w:rPr>
        <w:t>基金托管人业务资格批件、营业执照</w:t>
      </w:r>
    </w:p>
    <w:p w:rsidR="00061C7C" w:rsidRDefault="008E5A63">
      <w:pPr>
        <w:spacing w:line="360" w:lineRule="auto"/>
        <w:ind w:firstLineChars="200" w:firstLine="420"/>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七</w:t>
      </w:r>
      <w:r>
        <w:rPr>
          <w:rFonts w:eastAsiaTheme="minorEastAsia"/>
          <w:color w:val="000000" w:themeColor="text1"/>
          <w:szCs w:val="21"/>
        </w:rPr>
        <w:t xml:space="preserve">) </w:t>
      </w:r>
      <w:r>
        <w:rPr>
          <w:rFonts w:eastAsiaTheme="minorEastAsia"/>
          <w:color w:val="000000" w:themeColor="text1"/>
          <w:szCs w:val="21"/>
        </w:rPr>
        <w:t>摩根基金管理（中国）有限公司开放式基金业务规则</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w:t>
      </w:r>
      <w:r w:rsidRPr="00B27A29">
        <w:rPr>
          <w:rFonts w:eastAsiaTheme="minorEastAsia"/>
          <w:color w:val="000000" w:themeColor="text1"/>
          <w:szCs w:val="21"/>
        </w:rPr>
        <w:t>八</w:t>
      </w:r>
      <w:r w:rsidRPr="00B27A29">
        <w:rPr>
          <w:rFonts w:eastAsiaTheme="minorEastAsia"/>
          <w:color w:val="000000" w:themeColor="text1"/>
          <w:szCs w:val="21"/>
        </w:rPr>
        <w:t xml:space="preserve">) </w:t>
      </w:r>
      <w:r w:rsidRPr="00B27A29">
        <w:rPr>
          <w:rFonts w:eastAsiaTheme="minorEastAsia"/>
          <w:color w:val="000000" w:themeColor="text1"/>
          <w:szCs w:val="21"/>
        </w:rPr>
        <w:t>中国证监会要求的其他文件</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8.2</w:t>
      </w:r>
      <w:r w:rsidRPr="00B27A29">
        <w:rPr>
          <w:rFonts w:eastAsiaTheme="minorEastAsia"/>
          <w:b/>
          <w:bCs/>
          <w:color w:val="000000" w:themeColor="text1"/>
          <w:kern w:val="0"/>
          <w:szCs w:val="21"/>
        </w:rPr>
        <w:t>存放地点</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t>基金管理人或基金托管人住所。</w:t>
      </w:r>
    </w:p>
    <w:p w:rsidR="005E6DF3" w:rsidRPr="00B27A29" w:rsidRDefault="005C671B">
      <w:pPr>
        <w:autoSpaceDE w:val="0"/>
        <w:autoSpaceDN w:val="0"/>
        <w:adjustRightInd w:val="0"/>
        <w:spacing w:beforeLines="100" w:before="312" w:line="360" w:lineRule="auto"/>
        <w:jc w:val="left"/>
        <w:rPr>
          <w:rFonts w:eastAsiaTheme="minorEastAsia"/>
          <w:b/>
          <w:bCs/>
          <w:color w:val="000000" w:themeColor="text1"/>
          <w:kern w:val="0"/>
          <w:szCs w:val="21"/>
        </w:rPr>
      </w:pPr>
      <w:r w:rsidRPr="00B27A29">
        <w:rPr>
          <w:rFonts w:eastAsiaTheme="minorEastAsia"/>
          <w:b/>
          <w:bCs/>
          <w:color w:val="000000" w:themeColor="text1"/>
          <w:kern w:val="0"/>
          <w:szCs w:val="21"/>
        </w:rPr>
        <w:t>8.3</w:t>
      </w:r>
      <w:r w:rsidRPr="00B27A29">
        <w:rPr>
          <w:rFonts w:eastAsiaTheme="minorEastAsia"/>
          <w:b/>
          <w:bCs/>
          <w:color w:val="000000" w:themeColor="text1"/>
          <w:kern w:val="0"/>
          <w:szCs w:val="21"/>
        </w:rPr>
        <w:t>查阅方式</w:t>
      </w:r>
    </w:p>
    <w:p w:rsidR="005E6DF3" w:rsidRPr="00B27A29" w:rsidRDefault="005C671B">
      <w:pPr>
        <w:spacing w:line="360" w:lineRule="auto"/>
        <w:ind w:firstLineChars="200" w:firstLine="420"/>
        <w:rPr>
          <w:rFonts w:eastAsiaTheme="minorEastAsia"/>
          <w:color w:val="000000" w:themeColor="text1"/>
          <w:szCs w:val="21"/>
        </w:rPr>
      </w:pPr>
      <w:r w:rsidRPr="00B27A29">
        <w:rPr>
          <w:rFonts w:eastAsiaTheme="minorEastAsia"/>
          <w:color w:val="000000" w:themeColor="text1"/>
          <w:szCs w:val="21"/>
        </w:rPr>
        <w:lastRenderedPageBreak/>
        <w:t>投资者可在营业时间免费查阅，也可按工本费购买复印件。</w:t>
      </w:r>
    </w:p>
    <w:p w:rsidR="005E6DF3" w:rsidRPr="00B27A29" w:rsidRDefault="005E6DF3">
      <w:pPr>
        <w:spacing w:line="360" w:lineRule="auto"/>
        <w:ind w:left="840"/>
        <w:jc w:val="right"/>
        <w:rPr>
          <w:rFonts w:eastAsiaTheme="minorEastAsia"/>
          <w:color w:val="000000" w:themeColor="text1"/>
          <w:szCs w:val="21"/>
        </w:rPr>
      </w:pPr>
    </w:p>
    <w:p w:rsidR="005E6DF3" w:rsidRPr="00B27A29" w:rsidRDefault="005E6DF3">
      <w:pPr>
        <w:spacing w:line="360" w:lineRule="auto"/>
        <w:ind w:left="840"/>
        <w:jc w:val="center"/>
        <w:rPr>
          <w:rFonts w:eastAsiaTheme="minorEastAsia"/>
          <w:b/>
          <w:color w:val="000000" w:themeColor="text1"/>
          <w:szCs w:val="21"/>
        </w:rPr>
      </w:pPr>
    </w:p>
    <w:p w:rsidR="005E6DF3" w:rsidRPr="00B27A29" w:rsidRDefault="005C671B">
      <w:pPr>
        <w:spacing w:line="360" w:lineRule="auto"/>
        <w:jc w:val="right"/>
        <w:rPr>
          <w:rFonts w:eastAsiaTheme="minorEastAsia"/>
          <w:b/>
          <w:bCs/>
          <w:color w:val="000000" w:themeColor="text1"/>
          <w:szCs w:val="21"/>
        </w:rPr>
      </w:pPr>
      <w:r w:rsidRPr="00B27A29">
        <w:rPr>
          <w:rFonts w:eastAsiaTheme="minorEastAsia"/>
          <w:b/>
          <w:bCs/>
          <w:color w:val="000000" w:themeColor="text1"/>
          <w:szCs w:val="21"/>
        </w:rPr>
        <w:t>摩根基金管理（中国）有限公司</w:t>
      </w:r>
    </w:p>
    <w:p w:rsidR="005E6DF3" w:rsidRPr="00B27A29" w:rsidRDefault="005C671B">
      <w:pPr>
        <w:spacing w:line="360" w:lineRule="auto"/>
        <w:jc w:val="right"/>
        <w:rPr>
          <w:rFonts w:eastAsiaTheme="minorEastAsia"/>
          <w:b/>
          <w:bCs/>
          <w:color w:val="000000" w:themeColor="text1"/>
          <w:szCs w:val="21"/>
        </w:rPr>
      </w:pPr>
      <w:r w:rsidRPr="00B27A29">
        <w:rPr>
          <w:rFonts w:eastAsiaTheme="minorEastAsia"/>
          <w:b/>
          <w:bCs/>
          <w:color w:val="000000" w:themeColor="text1"/>
          <w:szCs w:val="21"/>
        </w:rPr>
        <w:t>二〇二四年一月二十二日</w:t>
      </w:r>
    </w:p>
    <w:sectPr w:rsidR="005E6DF3" w:rsidRPr="00B27A29">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87" w:rsidRDefault="005B0387">
      <w:r>
        <w:separator/>
      </w:r>
    </w:p>
  </w:endnote>
  <w:endnote w:type="continuationSeparator" w:id="0">
    <w:p w:rsidR="005B0387" w:rsidRDefault="005B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E5A63">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E5A63">
      <w:rPr>
        <w:noProof/>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C671B" w:rsidRDefault="005C671B">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8E5A63">
      <w:rPr>
        <w:rStyle w:val="af6"/>
        <w:noProof/>
      </w:rPr>
      <w:t>14</w:t>
    </w:r>
    <w:r>
      <w:rPr>
        <w:rStyle w:val="af6"/>
      </w:rPr>
      <w:fldChar w:fldCharType="end"/>
    </w:r>
  </w:p>
  <w:p w:rsidR="005C671B" w:rsidRDefault="005C671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87" w:rsidRDefault="005B0387">
      <w:r>
        <w:separator/>
      </w:r>
    </w:p>
  </w:footnote>
  <w:footnote w:type="continuationSeparator" w:id="0">
    <w:p w:rsidR="005B0387" w:rsidRDefault="005B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1B" w:rsidRDefault="005C671B">
    <w:pPr>
      <w:pStyle w:val="af"/>
      <w:pBdr>
        <w:bottom w:val="single" w:sz="6" w:space="0" w:color="auto"/>
      </w:pBdr>
      <w:jc w:val="right"/>
    </w:pPr>
    <w:r>
      <w:t>摩根健康品质生活混合型证券投资基金</w:t>
    </w:r>
    <w:r>
      <w:t>2023</w:t>
    </w:r>
    <w:r>
      <w:t>年第</w:t>
    </w:r>
    <w:r>
      <w:t>4</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C7C"/>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3196"/>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14B9"/>
    <w:rsid w:val="005A46FF"/>
    <w:rsid w:val="005A557E"/>
    <w:rsid w:val="005A63FD"/>
    <w:rsid w:val="005B0387"/>
    <w:rsid w:val="005B462A"/>
    <w:rsid w:val="005B5137"/>
    <w:rsid w:val="005B6047"/>
    <w:rsid w:val="005C0ED7"/>
    <w:rsid w:val="005C5409"/>
    <w:rsid w:val="005C62A5"/>
    <w:rsid w:val="005C671B"/>
    <w:rsid w:val="005C6FF7"/>
    <w:rsid w:val="005C7C75"/>
    <w:rsid w:val="005C7D00"/>
    <w:rsid w:val="005D01A4"/>
    <w:rsid w:val="005D0BAB"/>
    <w:rsid w:val="005D1893"/>
    <w:rsid w:val="005D26E9"/>
    <w:rsid w:val="005D2CAA"/>
    <w:rsid w:val="005D4CBA"/>
    <w:rsid w:val="005E01A3"/>
    <w:rsid w:val="005E0354"/>
    <w:rsid w:val="005E4F74"/>
    <w:rsid w:val="005E6C62"/>
    <w:rsid w:val="005E6DF3"/>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E5A63"/>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27A29"/>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34D"/>
    <w:rsid w:val="00D3194F"/>
    <w:rsid w:val="00D33751"/>
    <w:rsid w:val="00D37343"/>
    <w:rsid w:val="00D37495"/>
    <w:rsid w:val="00D41727"/>
    <w:rsid w:val="00D427E4"/>
    <w:rsid w:val="00D45058"/>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4E0E"/>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07B"/>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18E9033-CCD3-4D67-A782-7E62245B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aa"/>
    <w:uiPriority w:val="99"/>
    <w:qFormat/>
    <w:rPr>
      <w:rFonts w:ascii="宋体" w:hAnsi="Courier New"/>
      <w:szCs w:val="21"/>
    </w:rPr>
  </w:style>
  <w:style w:type="paragraph" w:styleId="ab">
    <w:name w:val="Date"/>
    <w:basedOn w:val="a"/>
    <w:next w:val="a"/>
    <w:link w:val="ac"/>
    <w:qFormat/>
    <w:rPr>
      <w:sz w:val="24"/>
      <w:szCs w:val="20"/>
    </w:rPr>
  </w:style>
  <w:style w:type="paragraph" w:styleId="20">
    <w:name w:val="Body Text Indent 2"/>
    <w:basedOn w:val="a"/>
    <w:qFormat/>
    <w:pPr>
      <w:spacing w:line="560" w:lineRule="exact"/>
      <w:ind w:firstLineChars="200" w:firstLine="480"/>
    </w:pPr>
    <w:rPr>
      <w:rFonts w:ascii="宋体" w:hAnsi="宋体"/>
      <w:color w:val="FF0000"/>
      <w:sz w:val="24"/>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List"/>
    <w:basedOn w:val="a7"/>
    <w:qFormat/>
    <w:pPr>
      <w:spacing w:after="220" w:line="220" w:lineRule="atLeast"/>
      <w:ind w:left="1440" w:hanging="360"/>
    </w:pPr>
    <w:rPr>
      <w:szCs w:val="20"/>
    </w:rPr>
  </w:style>
  <w:style w:type="paragraph" w:styleId="af2">
    <w:name w:val="footnote text"/>
    <w:basedOn w:val="a"/>
    <w:link w:val="af3"/>
    <w:qFormat/>
    <w:pPr>
      <w:snapToGrid w:val="0"/>
      <w:jc w:val="left"/>
    </w:pPr>
    <w:rPr>
      <w:sz w:val="18"/>
      <w:szCs w:val="18"/>
    </w:rPr>
  </w:style>
  <w:style w:type="paragraph" w:styleId="31">
    <w:name w:val="Body Text Indent 3"/>
    <w:basedOn w:val="a"/>
    <w:qFormat/>
    <w:pPr>
      <w:spacing w:line="560" w:lineRule="exact"/>
      <w:ind w:firstLineChars="200" w:firstLine="420"/>
    </w:pPr>
    <w:rPr>
      <w:rFonts w:ascii="Arial" w:hAnsi="Arial" w:cs="Arial"/>
      <w:color w:val="FF0000"/>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jc w:val="right"/>
    </w:pPr>
    <w:rPr>
      <w:color w:val="008000"/>
    </w:rPr>
  </w:style>
  <w:style w:type="character" w:styleId="af5">
    <w:name w:val="Strong"/>
    <w:basedOn w:val="a1"/>
    <w:uiPriority w:val="22"/>
    <w:qFormat/>
    <w:rPr>
      <w:b/>
      <w:bCs/>
    </w:rPr>
  </w:style>
  <w:style w:type="character" w:styleId="af6">
    <w:name w:val="page number"/>
    <w:basedOn w:val="a1"/>
    <w:qFormat/>
  </w:style>
  <w:style w:type="character" w:styleId="af7">
    <w:name w:val="Hyperlink"/>
    <w:basedOn w:val="a1"/>
    <w:qFormat/>
    <w:rPr>
      <w:color w:val="0000FF"/>
      <w:u w:val="single"/>
    </w:rPr>
  </w:style>
  <w:style w:type="character" w:styleId="af8">
    <w:name w:val="annotation reference"/>
    <w:basedOn w:val="a1"/>
    <w:semiHidden/>
    <w:qFormat/>
    <w:rPr>
      <w:sz w:val="21"/>
      <w:szCs w:val="21"/>
    </w:rPr>
  </w:style>
  <w:style w:type="character" w:styleId="af9">
    <w:name w:val="footnote reference"/>
    <w:basedOn w:val="a1"/>
    <w:qFormat/>
    <w:rPr>
      <w:vertAlign w:val="superscript"/>
    </w:r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已访问的超链接1"/>
    <w:basedOn w:val="a1"/>
    <w:qFormat/>
    <w:rPr>
      <w:color w:val="800080"/>
      <w:u w:val="single"/>
    </w:rPr>
  </w:style>
  <w:style w:type="character" w:customStyle="1" w:styleId="c1">
    <w:name w:val="c1"/>
    <w:basedOn w:val="a1"/>
    <w:qFormat/>
    <w:rPr>
      <w:color w:val="00000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
    <w:name w:val="Char"/>
    <w:basedOn w:val="a"/>
    <w:qFormat/>
  </w:style>
  <w:style w:type="paragraph" w:customStyle="1" w:styleId="Char1">
    <w:name w:val="Char1"/>
    <w:basedOn w:val="a"/>
    <w:qFormat/>
  </w:style>
  <w:style w:type="character" w:customStyle="1" w:styleId="t1">
    <w:name w:val="t1"/>
    <w:basedOn w:val="a1"/>
    <w:rPr>
      <w:color w:val="990000"/>
    </w:rPr>
  </w:style>
  <w:style w:type="character" w:customStyle="1" w:styleId="aa">
    <w:name w:val="纯文本 字符"/>
    <w:basedOn w:val="a1"/>
    <w:link w:val="a9"/>
    <w:uiPriority w:val="99"/>
    <w:rPr>
      <w:rFonts w:ascii="宋体" w:hAnsi="Courier New"/>
      <w:kern w:val="2"/>
      <w:sz w:val="21"/>
      <w:szCs w:val="21"/>
    </w:rPr>
  </w:style>
  <w:style w:type="character" w:customStyle="1" w:styleId="af3">
    <w:name w:val="脚注文本 字符"/>
    <w:basedOn w:val="a1"/>
    <w:link w:val="af2"/>
    <w:rPr>
      <w:kern w:val="2"/>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af0">
    <w:name w:val="页眉 字符"/>
    <w:basedOn w:val="a1"/>
    <w:link w:val="af"/>
    <w:uiPriority w:val="99"/>
    <w:rPr>
      <w:kern w:val="2"/>
      <w:sz w:val="18"/>
      <w:szCs w:val="18"/>
    </w:rPr>
  </w:style>
  <w:style w:type="character" w:customStyle="1" w:styleId="10">
    <w:name w:val="标题 1 字符"/>
    <w:basedOn w:val="a1"/>
    <w:link w:val="1"/>
    <w:rPr>
      <w:b/>
      <w:bCs/>
      <w:kern w:val="44"/>
      <w:sz w:val="44"/>
      <w:szCs w:val="44"/>
    </w:rPr>
  </w:style>
  <w:style w:type="character" w:customStyle="1" w:styleId="ac">
    <w:name w:val="日期 字符"/>
    <w:basedOn w:val="a1"/>
    <w:link w:val="ab"/>
    <w:rPr>
      <w:kern w:val="2"/>
      <w:sz w:val="24"/>
    </w:rPr>
  </w:style>
  <w:style w:type="character" w:customStyle="1" w:styleId="30">
    <w:name w:val="标题 3 字符"/>
    <w:basedOn w:val="a1"/>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814176">
      <w:bodyDiv w:val="1"/>
      <w:marLeft w:val="0"/>
      <w:marRight w:val="0"/>
      <w:marTop w:val="0"/>
      <w:marBottom w:val="0"/>
      <w:divBdr>
        <w:top w:val="none" w:sz="0" w:space="0" w:color="auto"/>
        <w:left w:val="none" w:sz="0" w:space="0" w:color="auto"/>
        <w:bottom w:val="none" w:sz="0" w:space="0" w:color="auto"/>
        <w:right w:val="none" w:sz="0" w:space="0" w:color="auto"/>
      </w:divBdr>
    </w:div>
    <w:div w:id="129617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45686-33DE-4EE0-A0EA-57AB7B18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TotalTime>
  <Pages>15</Pages>
  <Words>1316</Words>
  <Characters>7502</Characters>
  <Application>Microsoft Office Word</Application>
  <DocSecurity>0</DocSecurity>
  <Lines>62</Lines>
  <Paragraphs>17</Paragraphs>
  <ScaleCrop>false</ScaleCrop>
  <Company>TRT. Ltd. Co.</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Niki.Jiang@GMC</cp:lastModifiedBy>
  <cp:revision>220</cp:revision>
  <cp:lastPrinted>2007-07-19T00:46:00Z</cp:lastPrinted>
  <dcterms:created xsi:type="dcterms:W3CDTF">2013-06-21T06:56:00Z</dcterms:created>
  <dcterms:modified xsi:type="dcterms:W3CDTF">2024-01-19T05:49:00Z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