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上投摩根健康品质生活混合型证券投资基金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上投摩根健康品质生活混合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377150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120,188,202.68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E1A93" w:rsidRDefault="00327A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E1A93" w:rsidRDefault="00327A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BE1A93" w:rsidRDefault="00327A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rsidR="00BE1A93" w:rsidRDefault="00327A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BE1A93" w:rsidRDefault="00327A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rsidR="00BE1A93" w:rsidRDefault="00327A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BE1A93" w:rsidRDefault="00327A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包括可转换债券投资策略、权证投资策略、存托凭证投资策略。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E1A93" w:rsidRDefault="00327A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377150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015346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115,958,200.81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4,230,001.87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-106,131,153.60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-165,483.49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-143,844,661.83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-58,049.97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1E408B">
            <w:pPr>
              <w:adjustRightInd w:val="0"/>
              <w:spacing w:before="29" w:line="360" w:lineRule="auto"/>
              <w:ind w:left="17"/>
              <w:jc w:val="right"/>
              <w:rPr>
                <w:rFonts w:eastAsiaTheme="minorEastAsia"/>
                <w:color w:val="000000" w:themeColor="text1"/>
                <w:szCs w:val="21"/>
              </w:rPr>
            </w:pPr>
            <w:r w:rsidRPr="001E408B">
              <w:rPr>
                <w:rFonts w:eastAsiaTheme="minorEastAsia"/>
                <w:color w:val="000000" w:themeColor="text1"/>
                <w:szCs w:val="21"/>
              </w:rPr>
              <w:t>-1.0944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409,658,385.04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14,941,960.03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3.5324</w:t>
            </w:r>
          </w:p>
        </w:tc>
      </w:tr>
    </w:tbl>
    <w:p w:rsidR="00BE1A93" w:rsidRDefault="00327A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BE1A93" w:rsidRDefault="00327A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上投摩根健康品质生活混合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E1A93">
        <w:tc>
          <w:tcPr>
            <w:tcW w:w="1290" w:type="dxa"/>
            <w:vAlign w:val="center"/>
          </w:tcPr>
          <w:p w:rsidR="00BE1A93" w:rsidRDefault="00327A46">
            <w:pPr>
              <w:jc w:val="left"/>
            </w:pPr>
            <w:r>
              <w:rPr>
                <w:rFonts w:eastAsiaTheme="minorEastAsia"/>
                <w:color w:val="000000" w:themeColor="text1"/>
                <w:szCs w:val="21"/>
              </w:rPr>
              <w:t>过去三个月</w:t>
            </w:r>
          </w:p>
        </w:tc>
        <w:tc>
          <w:tcPr>
            <w:tcW w:w="1291" w:type="dxa"/>
            <w:vAlign w:val="center"/>
          </w:tcPr>
          <w:p w:rsidR="00BE1A93" w:rsidRDefault="00327A46">
            <w:pPr>
              <w:jc w:val="right"/>
            </w:pPr>
            <w:r>
              <w:rPr>
                <w:rFonts w:eastAsiaTheme="minorEastAsia"/>
                <w:color w:val="000000" w:themeColor="text1"/>
                <w:szCs w:val="21"/>
              </w:rPr>
              <w:t>-22.83%</w:t>
            </w:r>
          </w:p>
        </w:tc>
        <w:tc>
          <w:tcPr>
            <w:tcW w:w="1291" w:type="dxa"/>
            <w:vAlign w:val="center"/>
          </w:tcPr>
          <w:p w:rsidR="00BE1A93" w:rsidRDefault="00327A46">
            <w:pPr>
              <w:jc w:val="right"/>
            </w:pPr>
            <w:r>
              <w:rPr>
                <w:rFonts w:eastAsiaTheme="minorEastAsia"/>
                <w:color w:val="000000" w:themeColor="text1"/>
                <w:szCs w:val="21"/>
              </w:rPr>
              <w:t>1.83%</w:t>
            </w:r>
          </w:p>
        </w:tc>
        <w:tc>
          <w:tcPr>
            <w:tcW w:w="1291" w:type="dxa"/>
            <w:vAlign w:val="center"/>
          </w:tcPr>
          <w:p w:rsidR="00BE1A93" w:rsidRDefault="00327A46">
            <w:pPr>
              <w:jc w:val="right"/>
            </w:pPr>
            <w:r>
              <w:rPr>
                <w:rFonts w:eastAsiaTheme="minorEastAsia"/>
                <w:color w:val="000000" w:themeColor="text1"/>
                <w:szCs w:val="21"/>
              </w:rPr>
              <w:t>-12.21%</w:t>
            </w:r>
          </w:p>
        </w:tc>
        <w:tc>
          <w:tcPr>
            <w:tcW w:w="1291" w:type="dxa"/>
            <w:vAlign w:val="center"/>
          </w:tcPr>
          <w:p w:rsidR="00BE1A93" w:rsidRDefault="00327A46">
            <w:pPr>
              <w:jc w:val="right"/>
            </w:pPr>
            <w:r>
              <w:rPr>
                <w:rFonts w:eastAsiaTheme="minorEastAsia"/>
                <w:color w:val="000000" w:themeColor="text1"/>
                <w:szCs w:val="21"/>
              </w:rPr>
              <w:t>1.24%</w:t>
            </w:r>
          </w:p>
        </w:tc>
        <w:tc>
          <w:tcPr>
            <w:tcW w:w="1291" w:type="dxa"/>
            <w:vAlign w:val="center"/>
          </w:tcPr>
          <w:p w:rsidR="00BE1A93" w:rsidRDefault="00327A46">
            <w:pPr>
              <w:jc w:val="right"/>
            </w:pPr>
            <w:r>
              <w:rPr>
                <w:rFonts w:eastAsiaTheme="minorEastAsia"/>
                <w:color w:val="000000" w:themeColor="text1"/>
                <w:szCs w:val="21"/>
              </w:rPr>
              <w:t>-10.62%</w:t>
            </w:r>
          </w:p>
        </w:tc>
        <w:tc>
          <w:tcPr>
            <w:tcW w:w="1291" w:type="dxa"/>
            <w:vAlign w:val="center"/>
          </w:tcPr>
          <w:p w:rsidR="00BE1A93" w:rsidRDefault="00327A46">
            <w:pPr>
              <w:jc w:val="right"/>
            </w:pPr>
            <w:r>
              <w:rPr>
                <w:rFonts w:eastAsiaTheme="minorEastAsia"/>
                <w:color w:val="000000" w:themeColor="text1"/>
                <w:szCs w:val="21"/>
              </w:rPr>
              <w:t>0.59%</w:t>
            </w:r>
          </w:p>
        </w:tc>
      </w:tr>
      <w:tr w:rsidR="00BE1A93">
        <w:tc>
          <w:tcPr>
            <w:tcW w:w="1290" w:type="dxa"/>
            <w:vAlign w:val="center"/>
          </w:tcPr>
          <w:p w:rsidR="00BE1A93" w:rsidRDefault="00327A46">
            <w:pPr>
              <w:jc w:val="left"/>
            </w:pPr>
            <w:r>
              <w:rPr>
                <w:rFonts w:eastAsiaTheme="minorEastAsia"/>
                <w:color w:val="000000" w:themeColor="text1"/>
                <w:szCs w:val="21"/>
              </w:rPr>
              <w:t>过去六个月</w:t>
            </w:r>
          </w:p>
        </w:tc>
        <w:tc>
          <w:tcPr>
            <w:tcW w:w="1291" w:type="dxa"/>
            <w:vAlign w:val="center"/>
          </w:tcPr>
          <w:p w:rsidR="00BE1A93" w:rsidRDefault="00327A46">
            <w:pPr>
              <w:jc w:val="right"/>
            </w:pPr>
            <w:r>
              <w:rPr>
                <w:rFonts w:eastAsiaTheme="minorEastAsia"/>
                <w:color w:val="000000" w:themeColor="text1"/>
                <w:szCs w:val="21"/>
              </w:rPr>
              <w:t>-15.72%</w:t>
            </w:r>
          </w:p>
        </w:tc>
        <w:tc>
          <w:tcPr>
            <w:tcW w:w="1291" w:type="dxa"/>
            <w:vAlign w:val="center"/>
          </w:tcPr>
          <w:p w:rsidR="00BE1A93" w:rsidRDefault="00327A46">
            <w:pPr>
              <w:jc w:val="right"/>
            </w:pPr>
            <w:r>
              <w:rPr>
                <w:rFonts w:eastAsiaTheme="minorEastAsia"/>
                <w:color w:val="000000" w:themeColor="text1"/>
                <w:szCs w:val="21"/>
              </w:rPr>
              <w:t>1.54%</w:t>
            </w:r>
          </w:p>
        </w:tc>
        <w:tc>
          <w:tcPr>
            <w:tcW w:w="1291" w:type="dxa"/>
            <w:vAlign w:val="center"/>
          </w:tcPr>
          <w:p w:rsidR="00BE1A93" w:rsidRDefault="00327A46">
            <w:pPr>
              <w:jc w:val="right"/>
            </w:pPr>
            <w:r>
              <w:rPr>
                <w:rFonts w:eastAsiaTheme="minorEastAsia"/>
                <w:color w:val="000000" w:themeColor="text1"/>
                <w:szCs w:val="21"/>
              </w:rPr>
              <w:t>-10.95%</w:t>
            </w:r>
          </w:p>
        </w:tc>
        <w:tc>
          <w:tcPr>
            <w:tcW w:w="1291" w:type="dxa"/>
            <w:vAlign w:val="center"/>
          </w:tcPr>
          <w:p w:rsidR="00BE1A93" w:rsidRDefault="00327A46">
            <w:pPr>
              <w:jc w:val="right"/>
            </w:pPr>
            <w:r>
              <w:rPr>
                <w:rFonts w:eastAsiaTheme="minorEastAsia"/>
                <w:color w:val="000000" w:themeColor="text1"/>
                <w:szCs w:val="21"/>
              </w:rPr>
              <w:t>0.99%</w:t>
            </w:r>
          </w:p>
        </w:tc>
        <w:tc>
          <w:tcPr>
            <w:tcW w:w="1291" w:type="dxa"/>
            <w:vAlign w:val="center"/>
          </w:tcPr>
          <w:p w:rsidR="00BE1A93" w:rsidRDefault="00327A46">
            <w:pPr>
              <w:jc w:val="right"/>
            </w:pPr>
            <w:r>
              <w:rPr>
                <w:rFonts w:eastAsiaTheme="minorEastAsia"/>
                <w:color w:val="000000" w:themeColor="text1"/>
                <w:szCs w:val="21"/>
              </w:rPr>
              <w:t>-4.77%</w:t>
            </w:r>
          </w:p>
        </w:tc>
        <w:tc>
          <w:tcPr>
            <w:tcW w:w="1291" w:type="dxa"/>
            <w:vAlign w:val="center"/>
          </w:tcPr>
          <w:p w:rsidR="00BE1A93" w:rsidRDefault="00327A46">
            <w:pPr>
              <w:jc w:val="right"/>
            </w:pPr>
            <w:r>
              <w:rPr>
                <w:rFonts w:eastAsiaTheme="minorEastAsia"/>
                <w:color w:val="000000" w:themeColor="text1"/>
                <w:szCs w:val="21"/>
              </w:rPr>
              <w:t>0.55%</w:t>
            </w:r>
          </w:p>
        </w:tc>
      </w:tr>
      <w:tr w:rsidR="00BE1A93">
        <w:tc>
          <w:tcPr>
            <w:tcW w:w="1290" w:type="dxa"/>
            <w:vAlign w:val="center"/>
          </w:tcPr>
          <w:p w:rsidR="00BE1A93" w:rsidRDefault="00327A46">
            <w:pPr>
              <w:jc w:val="left"/>
            </w:pPr>
            <w:r>
              <w:rPr>
                <w:rFonts w:eastAsiaTheme="minorEastAsia"/>
                <w:color w:val="000000" w:themeColor="text1"/>
                <w:szCs w:val="21"/>
              </w:rPr>
              <w:t>过去一年</w:t>
            </w:r>
          </w:p>
        </w:tc>
        <w:tc>
          <w:tcPr>
            <w:tcW w:w="1291" w:type="dxa"/>
            <w:vAlign w:val="center"/>
          </w:tcPr>
          <w:p w:rsidR="00BE1A93" w:rsidRDefault="00327A46">
            <w:pPr>
              <w:jc w:val="right"/>
            </w:pPr>
            <w:r>
              <w:rPr>
                <w:rFonts w:eastAsiaTheme="minorEastAsia"/>
                <w:color w:val="000000" w:themeColor="text1"/>
                <w:szCs w:val="21"/>
              </w:rPr>
              <w:t>-16.46%</w:t>
            </w:r>
          </w:p>
        </w:tc>
        <w:tc>
          <w:tcPr>
            <w:tcW w:w="1291" w:type="dxa"/>
            <w:vAlign w:val="center"/>
          </w:tcPr>
          <w:p w:rsidR="00BE1A93" w:rsidRDefault="00327A46">
            <w:pPr>
              <w:jc w:val="right"/>
            </w:pPr>
            <w:r>
              <w:rPr>
                <w:rFonts w:eastAsiaTheme="minorEastAsia"/>
                <w:color w:val="000000" w:themeColor="text1"/>
                <w:szCs w:val="21"/>
              </w:rPr>
              <w:t>1.53%</w:t>
            </w:r>
          </w:p>
        </w:tc>
        <w:tc>
          <w:tcPr>
            <w:tcW w:w="1291" w:type="dxa"/>
            <w:vAlign w:val="center"/>
          </w:tcPr>
          <w:p w:rsidR="00BE1A93" w:rsidRDefault="00327A46">
            <w:pPr>
              <w:jc w:val="right"/>
            </w:pPr>
            <w:r>
              <w:rPr>
                <w:rFonts w:eastAsiaTheme="minorEastAsia"/>
                <w:color w:val="000000" w:themeColor="text1"/>
                <w:szCs w:val="21"/>
              </w:rPr>
              <w:t>-13.25%</w:t>
            </w:r>
          </w:p>
        </w:tc>
        <w:tc>
          <w:tcPr>
            <w:tcW w:w="1291" w:type="dxa"/>
            <w:vAlign w:val="center"/>
          </w:tcPr>
          <w:p w:rsidR="00BE1A93" w:rsidRDefault="00327A46">
            <w:pPr>
              <w:jc w:val="right"/>
            </w:pPr>
            <w:r>
              <w:rPr>
                <w:rFonts w:eastAsiaTheme="minorEastAsia"/>
                <w:color w:val="000000" w:themeColor="text1"/>
                <w:szCs w:val="21"/>
              </w:rPr>
              <w:t>0.96%</w:t>
            </w:r>
          </w:p>
        </w:tc>
        <w:tc>
          <w:tcPr>
            <w:tcW w:w="1291" w:type="dxa"/>
            <w:vAlign w:val="center"/>
          </w:tcPr>
          <w:p w:rsidR="00BE1A93" w:rsidRDefault="00327A46">
            <w:pPr>
              <w:jc w:val="right"/>
            </w:pPr>
            <w:r>
              <w:rPr>
                <w:rFonts w:eastAsiaTheme="minorEastAsia"/>
                <w:color w:val="000000" w:themeColor="text1"/>
                <w:szCs w:val="21"/>
              </w:rPr>
              <w:t>-3.21%</w:t>
            </w:r>
          </w:p>
        </w:tc>
        <w:tc>
          <w:tcPr>
            <w:tcW w:w="1291" w:type="dxa"/>
            <w:vAlign w:val="center"/>
          </w:tcPr>
          <w:p w:rsidR="00BE1A93" w:rsidRDefault="00327A46">
            <w:pPr>
              <w:jc w:val="right"/>
            </w:pPr>
            <w:r>
              <w:rPr>
                <w:rFonts w:eastAsiaTheme="minorEastAsia"/>
                <w:color w:val="000000" w:themeColor="text1"/>
                <w:szCs w:val="21"/>
              </w:rPr>
              <w:t>0.57%</w:t>
            </w:r>
          </w:p>
        </w:tc>
      </w:tr>
      <w:tr w:rsidR="00BE1A93">
        <w:tc>
          <w:tcPr>
            <w:tcW w:w="1290" w:type="dxa"/>
            <w:vAlign w:val="center"/>
          </w:tcPr>
          <w:p w:rsidR="00BE1A93" w:rsidRDefault="00327A46">
            <w:pPr>
              <w:jc w:val="left"/>
            </w:pPr>
            <w:r>
              <w:rPr>
                <w:rFonts w:eastAsiaTheme="minorEastAsia"/>
                <w:color w:val="000000" w:themeColor="text1"/>
                <w:szCs w:val="21"/>
              </w:rPr>
              <w:t>过去三年</w:t>
            </w:r>
          </w:p>
        </w:tc>
        <w:tc>
          <w:tcPr>
            <w:tcW w:w="1291" w:type="dxa"/>
            <w:vAlign w:val="center"/>
          </w:tcPr>
          <w:p w:rsidR="00BE1A93" w:rsidRDefault="00327A46">
            <w:pPr>
              <w:jc w:val="right"/>
            </w:pPr>
            <w:r>
              <w:rPr>
                <w:rFonts w:eastAsiaTheme="minorEastAsia"/>
                <w:color w:val="000000" w:themeColor="text1"/>
                <w:szCs w:val="21"/>
              </w:rPr>
              <w:t>64.24%</w:t>
            </w:r>
          </w:p>
        </w:tc>
        <w:tc>
          <w:tcPr>
            <w:tcW w:w="1291" w:type="dxa"/>
            <w:vAlign w:val="center"/>
          </w:tcPr>
          <w:p w:rsidR="00BE1A93" w:rsidRDefault="00327A46">
            <w:pPr>
              <w:jc w:val="right"/>
            </w:pPr>
            <w:r>
              <w:rPr>
                <w:rFonts w:eastAsiaTheme="minorEastAsia"/>
                <w:color w:val="000000" w:themeColor="text1"/>
                <w:szCs w:val="21"/>
              </w:rPr>
              <w:t>1.58%</w:t>
            </w:r>
          </w:p>
        </w:tc>
        <w:tc>
          <w:tcPr>
            <w:tcW w:w="1291" w:type="dxa"/>
            <w:vAlign w:val="center"/>
          </w:tcPr>
          <w:p w:rsidR="00BE1A93" w:rsidRDefault="00327A46">
            <w:pPr>
              <w:jc w:val="right"/>
            </w:pPr>
            <w:r>
              <w:rPr>
                <w:rFonts w:eastAsiaTheme="minorEastAsia"/>
                <w:color w:val="000000" w:themeColor="text1"/>
                <w:szCs w:val="21"/>
              </w:rPr>
              <w:t>9.55%</w:t>
            </w:r>
          </w:p>
        </w:tc>
        <w:tc>
          <w:tcPr>
            <w:tcW w:w="1291" w:type="dxa"/>
            <w:vAlign w:val="center"/>
          </w:tcPr>
          <w:p w:rsidR="00BE1A93" w:rsidRDefault="00327A46">
            <w:pPr>
              <w:jc w:val="right"/>
            </w:pPr>
            <w:r>
              <w:rPr>
                <w:rFonts w:eastAsiaTheme="minorEastAsia"/>
                <w:color w:val="000000" w:themeColor="text1"/>
                <w:szCs w:val="21"/>
              </w:rPr>
              <w:t>1.08%</w:t>
            </w:r>
          </w:p>
        </w:tc>
        <w:tc>
          <w:tcPr>
            <w:tcW w:w="1291" w:type="dxa"/>
            <w:vAlign w:val="center"/>
          </w:tcPr>
          <w:p w:rsidR="00BE1A93" w:rsidRDefault="00327A46">
            <w:pPr>
              <w:jc w:val="right"/>
            </w:pPr>
            <w:r>
              <w:rPr>
                <w:rFonts w:eastAsiaTheme="minorEastAsia"/>
                <w:color w:val="000000" w:themeColor="text1"/>
                <w:szCs w:val="21"/>
              </w:rPr>
              <w:t>54.69%</w:t>
            </w:r>
          </w:p>
        </w:tc>
        <w:tc>
          <w:tcPr>
            <w:tcW w:w="1291" w:type="dxa"/>
            <w:vAlign w:val="center"/>
          </w:tcPr>
          <w:p w:rsidR="00BE1A93" w:rsidRDefault="00327A46">
            <w:pPr>
              <w:jc w:val="right"/>
            </w:pPr>
            <w:r>
              <w:rPr>
                <w:rFonts w:eastAsiaTheme="minorEastAsia"/>
                <w:color w:val="000000" w:themeColor="text1"/>
                <w:szCs w:val="21"/>
              </w:rPr>
              <w:t>0.50%</w:t>
            </w:r>
          </w:p>
        </w:tc>
      </w:tr>
      <w:tr w:rsidR="00BE1A93">
        <w:tc>
          <w:tcPr>
            <w:tcW w:w="1290" w:type="dxa"/>
            <w:vAlign w:val="center"/>
          </w:tcPr>
          <w:p w:rsidR="00BE1A93" w:rsidRDefault="00327A46">
            <w:pPr>
              <w:jc w:val="left"/>
            </w:pPr>
            <w:r>
              <w:rPr>
                <w:rFonts w:eastAsiaTheme="minorEastAsia"/>
                <w:color w:val="000000" w:themeColor="text1"/>
                <w:szCs w:val="21"/>
              </w:rPr>
              <w:t>过去五年</w:t>
            </w:r>
          </w:p>
        </w:tc>
        <w:tc>
          <w:tcPr>
            <w:tcW w:w="1291" w:type="dxa"/>
            <w:vAlign w:val="center"/>
          </w:tcPr>
          <w:p w:rsidR="00BE1A93" w:rsidRDefault="00327A46">
            <w:pPr>
              <w:jc w:val="right"/>
            </w:pPr>
            <w:r>
              <w:rPr>
                <w:rFonts w:eastAsiaTheme="minorEastAsia"/>
                <w:color w:val="000000" w:themeColor="text1"/>
                <w:szCs w:val="21"/>
              </w:rPr>
              <w:t>72.50%</w:t>
            </w:r>
          </w:p>
        </w:tc>
        <w:tc>
          <w:tcPr>
            <w:tcW w:w="1291" w:type="dxa"/>
            <w:vAlign w:val="center"/>
          </w:tcPr>
          <w:p w:rsidR="00BE1A93" w:rsidRDefault="00327A46">
            <w:pPr>
              <w:jc w:val="right"/>
            </w:pPr>
            <w:r>
              <w:rPr>
                <w:rFonts w:eastAsiaTheme="minorEastAsia"/>
                <w:color w:val="000000" w:themeColor="text1"/>
                <w:szCs w:val="21"/>
              </w:rPr>
              <w:t>1.54%</w:t>
            </w:r>
          </w:p>
        </w:tc>
        <w:tc>
          <w:tcPr>
            <w:tcW w:w="1291" w:type="dxa"/>
            <w:vAlign w:val="center"/>
          </w:tcPr>
          <w:p w:rsidR="00BE1A93" w:rsidRDefault="00327A46">
            <w:pPr>
              <w:jc w:val="right"/>
            </w:pPr>
            <w:r>
              <w:rPr>
                <w:rFonts w:eastAsiaTheme="minorEastAsia"/>
                <w:color w:val="000000" w:themeColor="text1"/>
                <w:szCs w:val="21"/>
              </w:rPr>
              <w:t>21.96%</w:t>
            </w:r>
          </w:p>
        </w:tc>
        <w:tc>
          <w:tcPr>
            <w:tcW w:w="1291" w:type="dxa"/>
            <w:vAlign w:val="center"/>
          </w:tcPr>
          <w:p w:rsidR="00BE1A93" w:rsidRDefault="00327A46">
            <w:pPr>
              <w:jc w:val="right"/>
            </w:pPr>
            <w:r>
              <w:rPr>
                <w:rFonts w:eastAsiaTheme="minorEastAsia"/>
                <w:color w:val="000000" w:themeColor="text1"/>
                <w:szCs w:val="21"/>
              </w:rPr>
              <w:t>1.05%</w:t>
            </w:r>
          </w:p>
        </w:tc>
        <w:tc>
          <w:tcPr>
            <w:tcW w:w="1291" w:type="dxa"/>
            <w:vAlign w:val="center"/>
          </w:tcPr>
          <w:p w:rsidR="00BE1A93" w:rsidRDefault="00327A46">
            <w:pPr>
              <w:jc w:val="right"/>
            </w:pPr>
            <w:r>
              <w:rPr>
                <w:rFonts w:eastAsiaTheme="minorEastAsia"/>
                <w:color w:val="000000" w:themeColor="text1"/>
                <w:szCs w:val="21"/>
              </w:rPr>
              <w:t>50.54%</w:t>
            </w:r>
          </w:p>
        </w:tc>
        <w:tc>
          <w:tcPr>
            <w:tcW w:w="1291" w:type="dxa"/>
            <w:vAlign w:val="center"/>
          </w:tcPr>
          <w:p w:rsidR="00BE1A93" w:rsidRDefault="00327A46">
            <w:pPr>
              <w:jc w:val="right"/>
            </w:pPr>
            <w:r>
              <w:rPr>
                <w:rFonts w:eastAsiaTheme="minorEastAsia"/>
                <w:color w:val="000000" w:themeColor="text1"/>
                <w:szCs w:val="21"/>
              </w:rPr>
              <w:t>0.49%</w:t>
            </w:r>
          </w:p>
        </w:tc>
      </w:tr>
      <w:tr w:rsidR="00BE1A93">
        <w:tc>
          <w:tcPr>
            <w:tcW w:w="1290" w:type="dxa"/>
            <w:vAlign w:val="center"/>
          </w:tcPr>
          <w:p w:rsidR="00BE1A93" w:rsidRDefault="00327A46">
            <w:pPr>
              <w:jc w:val="left"/>
            </w:pPr>
            <w:r>
              <w:rPr>
                <w:rFonts w:eastAsiaTheme="minorEastAsia"/>
                <w:color w:val="000000" w:themeColor="text1"/>
                <w:szCs w:val="21"/>
              </w:rPr>
              <w:t>自基金合同生效起至今</w:t>
            </w:r>
          </w:p>
        </w:tc>
        <w:tc>
          <w:tcPr>
            <w:tcW w:w="1291" w:type="dxa"/>
            <w:vAlign w:val="center"/>
          </w:tcPr>
          <w:p w:rsidR="00BE1A93" w:rsidRDefault="00327A46">
            <w:pPr>
              <w:jc w:val="right"/>
            </w:pPr>
            <w:r>
              <w:rPr>
                <w:rFonts w:eastAsiaTheme="minorEastAsia"/>
                <w:color w:val="000000" w:themeColor="text1"/>
                <w:szCs w:val="21"/>
              </w:rPr>
              <w:t>253.28%</w:t>
            </w:r>
          </w:p>
        </w:tc>
        <w:tc>
          <w:tcPr>
            <w:tcW w:w="1291" w:type="dxa"/>
            <w:vAlign w:val="center"/>
          </w:tcPr>
          <w:p w:rsidR="00BE1A93" w:rsidRDefault="00327A46">
            <w:pPr>
              <w:jc w:val="right"/>
            </w:pPr>
            <w:r>
              <w:rPr>
                <w:rFonts w:eastAsiaTheme="minorEastAsia"/>
                <w:color w:val="000000" w:themeColor="text1"/>
                <w:szCs w:val="21"/>
              </w:rPr>
              <w:t>1.68%</w:t>
            </w:r>
          </w:p>
        </w:tc>
        <w:tc>
          <w:tcPr>
            <w:tcW w:w="1291" w:type="dxa"/>
            <w:vAlign w:val="center"/>
          </w:tcPr>
          <w:p w:rsidR="00BE1A93" w:rsidRDefault="00327A46">
            <w:pPr>
              <w:jc w:val="right"/>
            </w:pPr>
            <w:r>
              <w:rPr>
                <w:rFonts w:eastAsiaTheme="minorEastAsia"/>
                <w:color w:val="000000" w:themeColor="text1"/>
                <w:szCs w:val="21"/>
              </w:rPr>
              <w:t>67.66%</w:t>
            </w:r>
          </w:p>
        </w:tc>
        <w:tc>
          <w:tcPr>
            <w:tcW w:w="1291" w:type="dxa"/>
            <w:vAlign w:val="center"/>
          </w:tcPr>
          <w:p w:rsidR="00BE1A93" w:rsidRDefault="00327A46">
            <w:pPr>
              <w:jc w:val="right"/>
            </w:pPr>
            <w:r>
              <w:rPr>
                <w:rFonts w:eastAsiaTheme="minorEastAsia"/>
                <w:color w:val="000000" w:themeColor="text1"/>
                <w:szCs w:val="21"/>
              </w:rPr>
              <w:t>1.21%</w:t>
            </w:r>
          </w:p>
        </w:tc>
        <w:tc>
          <w:tcPr>
            <w:tcW w:w="1291" w:type="dxa"/>
            <w:vAlign w:val="center"/>
          </w:tcPr>
          <w:p w:rsidR="00BE1A93" w:rsidRDefault="00327A46">
            <w:pPr>
              <w:jc w:val="right"/>
            </w:pPr>
            <w:r>
              <w:rPr>
                <w:rFonts w:eastAsiaTheme="minorEastAsia"/>
                <w:color w:val="000000" w:themeColor="text1"/>
                <w:szCs w:val="21"/>
              </w:rPr>
              <w:t>185.62%</w:t>
            </w:r>
          </w:p>
        </w:tc>
        <w:tc>
          <w:tcPr>
            <w:tcW w:w="1291" w:type="dxa"/>
            <w:vAlign w:val="center"/>
          </w:tcPr>
          <w:p w:rsidR="00BE1A93" w:rsidRDefault="00327A46">
            <w:pPr>
              <w:jc w:val="right"/>
            </w:pPr>
            <w:r>
              <w:rPr>
                <w:rFonts w:eastAsiaTheme="minorEastAsia"/>
                <w:color w:val="000000" w:themeColor="text1"/>
                <w:szCs w:val="21"/>
              </w:rPr>
              <w:t>0.47%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上投摩根健康品质生活混合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E1A93">
        <w:tc>
          <w:tcPr>
            <w:tcW w:w="1290" w:type="dxa"/>
            <w:vAlign w:val="center"/>
          </w:tcPr>
          <w:p w:rsidR="00BE1A93" w:rsidRDefault="00327A46">
            <w:pPr>
              <w:jc w:val="left"/>
            </w:pPr>
            <w:r>
              <w:rPr>
                <w:rFonts w:eastAsiaTheme="minorEastAsia"/>
                <w:color w:val="000000" w:themeColor="text1"/>
                <w:szCs w:val="21"/>
              </w:rPr>
              <w:t>过去三个月</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r>
      <w:tr w:rsidR="00BE1A93">
        <w:tc>
          <w:tcPr>
            <w:tcW w:w="1290" w:type="dxa"/>
            <w:vAlign w:val="center"/>
          </w:tcPr>
          <w:p w:rsidR="00BE1A93" w:rsidRDefault="00327A46">
            <w:pPr>
              <w:jc w:val="left"/>
            </w:pPr>
            <w:r>
              <w:rPr>
                <w:rFonts w:eastAsiaTheme="minorEastAsia"/>
                <w:color w:val="000000" w:themeColor="text1"/>
                <w:szCs w:val="21"/>
              </w:rPr>
              <w:t>过去六个月</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r>
      <w:tr w:rsidR="00BE1A93">
        <w:tc>
          <w:tcPr>
            <w:tcW w:w="1290" w:type="dxa"/>
            <w:vAlign w:val="center"/>
          </w:tcPr>
          <w:p w:rsidR="00BE1A93" w:rsidRDefault="00327A46">
            <w:pPr>
              <w:jc w:val="left"/>
            </w:pPr>
            <w:r>
              <w:rPr>
                <w:rFonts w:eastAsiaTheme="minorEastAsia"/>
                <w:color w:val="000000" w:themeColor="text1"/>
                <w:szCs w:val="21"/>
              </w:rPr>
              <w:t>过去一年</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r>
      <w:tr w:rsidR="00BE1A93">
        <w:tc>
          <w:tcPr>
            <w:tcW w:w="1290" w:type="dxa"/>
            <w:vAlign w:val="center"/>
          </w:tcPr>
          <w:p w:rsidR="00BE1A93" w:rsidRDefault="00327A46">
            <w:pPr>
              <w:jc w:val="left"/>
            </w:pPr>
            <w:r>
              <w:rPr>
                <w:rFonts w:eastAsiaTheme="minorEastAsia"/>
                <w:color w:val="000000" w:themeColor="text1"/>
                <w:szCs w:val="21"/>
              </w:rPr>
              <w:t>过去三年</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r>
      <w:tr w:rsidR="00BE1A93">
        <w:tc>
          <w:tcPr>
            <w:tcW w:w="1290" w:type="dxa"/>
            <w:vAlign w:val="center"/>
          </w:tcPr>
          <w:p w:rsidR="00BE1A93" w:rsidRDefault="00327A46">
            <w:pPr>
              <w:jc w:val="left"/>
            </w:pPr>
            <w:r>
              <w:rPr>
                <w:rFonts w:eastAsiaTheme="minorEastAsia"/>
                <w:color w:val="000000" w:themeColor="text1"/>
                <w:szCs w:val="21"/>
              </w:rPr>
              <w:t>过去五年</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c>
          <w:tcPr>
            <w:tcW w:w="1291" w:type="dxa"/>
            <w:vAlign w:val="center"/>
          </w:tcPr>
          <w:p w:rsidR="00BE1A93" w:rsidRDefault="00327A46">
            <w:pPr>
              <w:jc w:val="right"/>
            </w:pPr>
            <w:r>
              <w:rPr>
                <w:rFonts w:eastAsiaTheme="minorEastAsia"/>
                <w:color w:val="000000" w:themeColor="text1"/>
                <w:szCs w:val="21"/>
              </w:rPr>
              <w:t>-</w:t>
            </w:r>
          </w:p>
        </w:tc>
      </w:tr>
      <w:tr w:rsidR="00BE1A93">
        <w:tc>
          <w:tcPr>
            <w:tcW w:w="1290" w:type="dxa"/>
            <w:vAlign w:val="center"/>
          </w:tcPr>
          <w:p w:rsidR="00BE1A93" w:rsidRDefault="00327A46">
            <w:pPr>
              <w:jc w:val="left"/>
            </w:pPr>
            <w:r>
              <w:rPr>
                <w:rFonts w:eastAsiaTheme="minorEastAsia"/>
                <w:color w:val="000000" w:themeColor="text1"/>
                <w:szCs w:val="21"/>
              </w:rPr>
              <w:t>自基金合同生效起至今</w:t>
            </w:r>
          </w:p>
        </w:tc>
        <w:tc>
          <w:tcPr>
            <w:tcW w:w="1291" w:type="dxa"/>
            <w:vAlign w:val="center"/>
          </w:tcPr>
          <w:p w:rsidR="00BE1A93" w:rsidRDefault="00327A46">
            <w:pPr>
              <w:jc w:val="right"/>
            </w:pPr>
            <w:r>
              <w:rPr>
                <w:rFonts w:eastAsiaTheme="minorEastAsia"/>
                <w:color w:val="000000" w:themeColor="text1"/>
                <w:szCs w:val="21"/>
              </w:rPr>
              <w:t>-4.35%</w:t>
            </w:r>
          </w:p>
        </w:tc>
        <w:tc>
          <w:tcPr>
            <w:tcW w:w="1291" w:type="dxa"/>
            <w:vAlign w:val="center"/>
          </w:tcPr>
          <w:p w:rsidR="00BE1A93" w:rsidRDefault="00327A46">
            <w:pPr>
              <w:jc w:val="right"/>
            </w:pPr>
            <w:r>
              <w:rPr>
                <w:rFonts w:eastAsiaTheme="minorEastAsia"/>
                <w:color w:val="000000" w:themeColor="text1"/>
                <w:szCs w:val="21"/>
              </w:rPr>
              <w:t>2.46%</w:t>
            </w:r>
          </w:p>
        </w:tc>
        <w:tc>
          <w:tcPr>
            <w:tcW w:w="1291" w:type="dxa"/>
            <w:vAlign w:val="center"/>
          </w:tcPr>
          <w:p w:rsidR="00BE1A93" w:rsidRDefault="00327A46">
            <w:pPr>
              <w:jc w:val="right"/>
            </w:pPr>
            <w:r>
              <w:rPr>
                <w:rFonts w:eastAsiaTheme="minorEastAsia"/>
                <w:color w:val="000000" w:themeColor="text1"/>
                <w:szCs w:val="21"/>
              </w:rPr>
              <w:t>-1.37%</w:t>
            </w:r>
          </w:p>
        </w:tc>
        <w:tc>
          <w:tcPr>
            <w:tcW w:w="1291" w:type="dxa"/>
            <w:vAlign w:val="center"/>
          </w:tcPr>
          <w:p w:rsidR="00BE1A93" w:rsidRDefault="00327A46">
            <w:pPr>
              <w:jc w:val="right"/>
            </w:pPr>
            <w:r>
              <w:rPr>
                <w:rFonts w:eastAsiaTheme="minorEastAsia"/>
                <w:color w:val="000000" w:themeColor="text1"/>
                <w:szCs w:val="21"/>
              </w:rPr>
              <w:t>1.85%</w:t>
            </w:r>
          </w:p>
        </w:tc>
        <w:tc>
          <w:tcPr>
            <w:tcW w:w="1291" w:type="dxa"/>
            <w:vAlign w:val="center"/>
          </w:tcPr>
          <w:p w:rsidR="00BE1A93" w:rsidRDefault="00327A46">
            <w:pPr>
              <w:jc w:val="right"/>
            </w:pPr>
            <w:r>
              <w:rPr>
                <w:rFonts w:eastAsiaTheme="minorEastAsia"/>
                <w:color w:val="000000" w:themeColor="text1"/>
                <w:szCs w:val="21"/>
              </w:rPr>
              <w:t>-2.98%</w:t>
            </w:r>
          </w:p>
        </w:tc>
        <w:tc>
          <w:tcPr>
            <w:tcW w:w="1291" w:type="dxa"/>
            <w:vAlign w:val="center"/>
          </w:tcPr>
          <w:p w:rsidR="00BE1A93" w:rsidRDefault="00327A46">
            <w:pPr>
              <w:jc w:val="right"/>
            </w:pPr>
            <w:r>
              <w:rPr>
                <w:rFonts w:eastAsiaTheme="minorEastAsia"/>
                <w:color w:val="000000" w:themeColor="text1"/>
                <w:szCs w:val="21"/>
              </w:rPr>
              <w:t>0.61%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上投摩根健康品质生活混合型证券投资基金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．上投摩根健康品质生活混合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．上投摩根健康品质生活混合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E1A93">
        <w:tc>
          <w:tcPr>
            <w:tcW w:w="952" w:type="dxa"/>
            <w:vAlign w:val="center"/>
          </w:tcPr>
          <w:p w:rsidR="00BE1A93" w:rsidRDefault="00327A46">
            <w:pPr>
              <w:jc w:val="center"/>
            </w:pPr>
            <w:r>
              <w:rPr>
                <w:rFonts w:eastAsiaTheme="minorEastAsia"/>
                <w:color w:val="000000" w:themeColor="text1"/>
                <w:szCs w:val="21"/>
              </w:rPr>
              <w:t>周战海</w:t>
            </w:r>
          </w:p>
        </w:tc>
        <w:tc>
          <w:tcPr>
            <w:tcW w:w="930" w:type="dxa"/>
            <w:vAlign w:val="center"/>
          </w:tcPr>
          <w:p w:rsidR="00BE1A93" w:rsidRDefault="00327A46">
            <w:pPr>
              <w:jc w:val="center"/>
            </w:pPr>
            <w:r>
              <w:rPr>
                <w:rFonts w:eastAsiaTheme="minorEastAsia"/>
                <w:color w:val="000000" w:themeColor="text1"/>
                <w:szCs w:val="21"/>
              </w:rPr>
              <w:t>本基金基金经理</w:t>
            </w:r>
          </w:p>
        </w:tc>
        <w:tc>
          <w:tcPr>
            <w:tcW w:w="1210" w:type="dxa"/>
            <w:vAlign w:val="center"/>
          </w:tcPr>
          <w:p w:rsidR="00BE1A93" w:rsidRDefault="00327A46">
            <w:pPr>
              <w:jc w:val="center"/>
            </w:pPr>
            <w:r>
              <w:rPr>
                <w:rFonts w:eastAsiaTheme="minorEastAsia"/>
                <w:color w:val="000000" w:themeColor="text1"/>
                <w:szCs w:val="21"/>
              </w:rPr>
              <w:t>2018-02-09</w:t>
            </w:r>
          </w:p>
        </w:tc>
        <w:tc>
          <w:tcPr>
            <w:tcW w:w="1309" w:type="dxa"/>
            <w:vAlign w:val="center"/>
          </w:tcPr>
          <w:p w:rsidR="00BE1A93" w:rsidRDefault="00327A46">
            <w:pPr>
              <w:jc w:val="center"/>
            </w:pPr>
            <w:r>
              <w:rPr>
                <w:rFonts w:eastAsiaTheme="minorEastAsia"/>
                <w:color w:val="000000" w:themeColor="text1"/>
                <w:szCs w:val="21"/>
              </w:rPr>
              <w:t>-</w:t>
            </w:r>
          </w:p>
        </w:tc>
        <w:tc>
          <w:tcPr>
            <w:tcW w:w="1254" w:type="dxa"/>
            <w:vAlign w:val="center"/>
          </w:tcPr>
          <w:p w:rsidR="00BE1A93" w:rsidRDefault="00327A46">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BE1A93" w:rsidRDefault="00327A46">
            <w:r>
              <w:rPr>
                <w:rFonts w:eastAsiaTheme="minorEastAsia"/>
                <w:color w:val="000000" w:themeColor="text1"/>
                <w:szCs w:val="21"/>
              </w:rPr>
              <w:t>周战海先生</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月在国金证券股份有限公司担任分析师，</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月在太平洋资产管理有限公司担任研究员。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月起加入上投摩根基金管理有限公司，历任行业专家、基金经理助理、基金经理、高级基金经理。自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月起担任上投摩根文体休闲灵活配置混合型证券投资基金基金经理，自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月起同时担任上投摩根健康品质生活混合型证券投资基金基金经理，自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月起同时担任上投摩根整合驱动灵活配置混合型证券投资基金基金经理。</w:t>
            </w:r>
          </w:p>
        </w:tc>
      </w:tr>
      <w:tr w:rsidR="00BE1A93">
        <w:tc>
          <w:tcPr>
            <w:tcW w:w="952" w:type="dxa"/>
            <w:vAlign w:val="center"/>
          </w:tcPr>
          <w:p w:rsidR="00BE1A93" w:rsidRDefault="00327A46">
            <w:pPr>
              <w:jc w:val="center"/>
            </w:pPr>
            <w:r>
              <w:rPr>
                <w:rFonts w:eastAsiaTheme="minorEastAsia"/>
                <w:color w:val="000000" w:themeColor="text1"/>
                <w:szCs w:val="21"/>
              </w:rPr>
              <w:t>徐项楠</w:t>
            </w:r>
          </w:p>
        </w:tc>
        <w:tc>
          <w:tcPr>
            <w:tcW w:w="930" w:type="dxa"/>
            <w:vAlign w:val="center"/>
          </w:tcPr>
          <w:p w:rsidR="00BE1A93" w:rsidRDefault="00327A46">
            <w:pPr>
              <w:jc w:val="center"/>
            </w:pPr>
            <w:r>
              <w:rPr>
                <w:rFonts w:eastAsiaTheme="minorEastAsia"/>
                <w:color w:val="000000" w:themeColor="text1"/>
                <w:szCs w:val="21"/>
              </w:rPr>
              <w:t>本基金基金经理</w:t>
            </w:r>
          </w:p>
        </w:tc>
        <w:tc>
          <w:tcPr>
            <w:tcW w:w="1210" w:type="dxa"/>
            <w:vAlign w:val="center"/>
          </w:tcPr>
          <w:p w:rsidR="00BE1A93" w:rsidRDefault="00327A46">
            <w:pPr>
              <w:jc w:val="center"/>
            </w:pPr>
            <w:r>
              <w:rPr>
                <w:rFonts w:eastAsiaTheme="minorEastAsia"/>
                <w:color w:val="000000" w:themeColor="text1"/>
                <w:szCs w:val="21"/>
              </w:rPr>
              <w:t>2021-11-12</w:t>
            </w:r>
          </w:p>
        </w:tc>
        <w:tc>
          <w:tcPr>
            <w:tcW w:w="1309" w:type="dxa"/>
            <w:vAlign w:val="center"/>
          </w:tcPr>
          <w:p w:rsidR="00BE1A93" w:rsidRDefault="00327A46">
            <w:pPr>
              <w:jc w:val="center"/>
            </w:pPr>
            <w:r>
              <w:rPr>
                <w:rFonts w:eastAsiaTheme="minorEastAsia"/>
                <w:color w:val="000000" w:themeColor="text1"/>
                <w:szCs w:val="21"/>
              </w:rPr>
              <w:t>-</w:t>
            </w:r>
          </w:p>
        </w:tc>
        <w:tc>
          <w:tcPr>
            <w:tcW w:w="1254" w:type="dxa"/>
            <w:vAlign w:val="center"/>
          </w:tcPr>
          <w:p w:rsidR="00BE1A93" w:rsidRDefault="00327A46">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BE1A93" w:rsidRDefault="00327A46">
            <w:r>
              <w:rPr>
                <w:rFonts w:eastAsiaTheme="minorEastAsia"/>
                <w:color w:val="000000" w:themeColor="text1"/>
                <w:szCs w:val="21"/>
              </w:rPr>
              <w:t>徐项楠先生自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月在中海基金管理有限公司担任行业分析师；自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月在中银基金管理有限公司担任高级分析师；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月起担任上投摩根健康品质生活混合型证券投资基金基金经理。</w:t>
            </w:r>
          </w:p>
        </w:tc>
      </w:tr>
    </w:tbl>
    <w:p w:rsidR="00BE1A93" w:rsidRDefault="00327A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健康品质生活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年第一季度，经济整体处于寻底恢复过程中，</w:t>
      </w:r>
      <w:r>
        <w:rPr>
          <w:rFonts w:eastAsiaTheme="minorEastAsia"/>
          <w:color w:val="000000" w:themeColor="text1"/>
          <w:szCs w:val="21"/>
        </w:rPr>
        <w:t>1-2</w:t>
      </w:r>
      <w:r>
        <w:rPr>
          <w:rFonts w:eastAsiaTheme="minorEastAsia"/>
          <w:color w:val="000000" w:themeColor="text1"/>
          <w:szCs w:val="21"/>
        </w:rPr>
        <w:t>月经济数据超市场预期，但是经济恢复存在一些临时性因素驱动，整体仍不稳固。稳增长政策逐渐落地，</w:t>
      </w:r>
      <w:r>
        <w:rPr>
          <w:rFonts w:eastAsiaTheme="minorEastAsia"/>
          <w:color w:val="000000" w:themeColor="text1"/>
          <w:szCs w:val="21"/>
        </w:rPr>
        <w:t>1</w:t>
      </w:r>
      <w:r>
        <w:rPr>
          <w:rFonts w:eastAsiaTheme="minorEastAsia"/>
          <w:color w:val="000000" w:themeColor="text1"/>
          <w:szCs w:val="21"/>
        </w:rPr>
        <w:t>月央行降息，</w:t>
      </w:r>
      <w:r>
        <w:rPr>
          <w:rFonts w:eastAsiaTheme="minorEastAsia"/>
          <w:color w:val="000000" w:themeColor="text1"/>
          <w:szCs w:val="21"/>
        </w:rPr>
        <w:t>2.5</w:t>
      </w:r>
      <w:r>
        <w:rPr>
          <w:rFonts w:eastAsiaTheme="minorEastAsia"/>
          <w:color w:val="000000" w:themeColor="text1"/>
          <w:szCs w:val="21"/>
        </w:rPr>
        <w:t>万亿元的减税退税规模超预期。然而，经济仍然遭遇了多重因素的负面冲击。一是美国通胀创近</w:t>
      </w:r>
      <w:r>
        <w:rPr>
          <w:rFonts w:eastAsiaTheme="minorEastAsia"/>
          <w:color w:val="000000" w:themeColor="text1"/>
          <w:szCs w:val="21"/>
        </w:rPr>
        <w:t>40</w:t>
      </w:r>
      <w:r>
        <w:rPr>
          <w:rFonts w:eastAsiaTheme="minorEastAsia"/>
          <w:color w:val="000000" w:themeColor="text1"/>
          <w:szCs w:val="21"/>
        </w:rPr>
        <w:t>年来新高，美联储加速紧缩预期不断发酵，中美利差缩窄带来一定资本流出压力。二是俄乌冲突以及对应的制裁措施给全球经济带来滞胀压力，给我国带来输入性通胀压力，并造成资本市场大幅波动。三是</w:t>
      </w:r>
      <w:r>
        <w:rPr>
          <w:rFonts w:eastAsiaTheme="minorEastAsia"/>
          <w:color w:val="000000" w:themeColor="text1"/>
          <w:szCs w:val="21"/>
        </w:rPr>
        <w:t>3</w:t>
      </w:r>
      <w:r>
        <w:rPr>
          <w:rFonts w:eastAsiaTheme="minorEastAsia"/>
          <w:color w:val="000000" w:themeColor="text1"/>
          <w:szCs w:val="21"/>
        </w:rPr>
        <w:t>月以来疫情再度较大范围传播，有病例地级市</w:t>
      </w:r>
      <w:r>
        <w:rPr>
          <w:rFonts w:eastAsiaTheme="minorEastAsia"/>
          <w:color w:val="000000" w:themeColor="text1"/>
          <w:szCs w:val="21"/>
        </w:rPr>
        <w:t>GDP</w:t>
      </w:r>
      <w:r>
        <w:rPr>
          <w:rFonts w:eastAsiaTheme="minorEastAsia"/>
          <w:color w:val="000000" w:themeColor="text1"/>
          <w:szCs w:val="21"/>
        </w:rPr>
        <w:t>占比近</w:t>
      </w:r>
      <w:r>
        <w:rPr>
          <w:rFonts w:eastAsiaTheme="minorEastAsia"/>
          <w:color w:val="000000" w:themeColor="text1"/>
          <w:szCs w:val="21"/>
        </w:rPr>
        <w:t>40%</w:t>
      </w:r>
      <w:r>
        <w:rPr>
          <w:rFonts w:eastAsiaTheme="minorEastAsia"/>
          <w:color w:val="000000" w:themeColor="text1"/>
          <w:szCs w:val="21"/>
        </w:rPr>
        <w:t>，创</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月以来新高。一季度，市场整体表现不佳，沪深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14.53%</w:t>
      </w:r>
      <w:r>
        <w:rPr>
          <w:rFonts w:eastAsiaTheme="minorEastAsia"/>
          <w:color w:val="000000" w:themeColor="text1"/>
          <w:szCs w:val="21"/>
        </w:rPr>
        <w:t>，创业板指数下跌</w:t>
      </w:r>
      <w:r>
        <w:rPr>
          <w:rFonts w:eastAsiaTheme="minorEastAsia"/>
          <w:color w:val="000000" w:themeColor="text1"/>
          <w:szCs w:val="21"/>
        </w:rPr>
        <w:t>19.96%</w:t>
      </w:r>
      <w:r>
        <w:rPr>
          <w:rFonts w:eastAsiaTheme="minorEastAsia"/>
          <w:color w:val="000000" w:themeColor="text1"/>
          <w:szCs w:val="21"/>
        </w:rPr>
        <w:t>，从行业表现来看，仅煤炭、房地产、银行板块涨幅为正，电子、军工、汽车、家电、食品饮料、机械等行业表现较为靠后。本基金严格按照契约要求，始终坚持价值投资思路，坚持一贯以来的投资风格，重点投资了消费行业中的优质公司。报告期内，因受上述三方面因素影响，本基金净值出现一定程度回撤。</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2022</w:t>
      </w:r>
      <w:r w:rsidRPr="00B27A29">
        <w:rPr>
          <w:rFonts w:eastAsiaTheme="minorEastAsia"/>
          <w:color w:val="000000" w:themeColor="text1"/>
          <w:szCs w:val="21"/>
        </w:rPr>
        <w:t>年第二季度，我们保持谨慎乐观。从内需来看，虽然疫情对经济的短期负面冲击较大，但在强力防控措施下或将在较短时期内得到有效控制，之后经济活动或将迎来修复性增长，部分弥补短期疫情冲击带来的损失。而稳增长政策也或将进一步发力对冲经济下行压力，降准降息仍然可期；财政支出节奏也或将加快，推升基建投资；房地产因城施策的灵活性也有可能进一步提升。整体而言，消费或将恢复性增长，房地产投资降幅或有所收窄，制造业投资和基建投资仍将支撑经济。从外需来看，疫情对出口造成的冲击更多是供给侧短期扰动，复工复产后或存在一定赶工弥补，而俄乌冲突可能在中期内给出口带来一定下行压力，但考虑到中国较强的全产业链优势，短期内出口仍有一定韧性。风险点仍然在于疫情负面影响超预期、俄乌冲突反复以及美联储加速收紧。但从中长期角度看，疫情防控更为精准有效背景下的消费内生复苏值得期待，我们继续看好受益消费升级的细分板块龙头公司，未来我们将继续按照基金契约的要求重点投资健康品质生活相关行业中具有相对估值优势、增长前景确定的高成长优质公司，力争为持有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本报告期上投摩根健康品质生活混合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:-22.83%</w:t>
      </w:r>
      <w:r>
        <w:rPr>
          <w:rFonts w:eastAsiaTheme="minorEastAsia"/>
          <w:color w:val="000000" w:themeColor="text1"/>
          <w:szCs w:val="21"/>
        </w:rPr>
        <w:t>，同期业绩比较基准收益率为</w:t>
      </w:r>
      <w:r>
        <w:rPr>
          <w:rFonts w:eastAsiaTheme="minorEastAsia"/>
          <w:color w:val="000000" w:themeColor="text1"/>
          <w:szCs w:val="21"/>
        </w:rPr>
        <w:t>:-12.21%</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本报告期上投摩根健康品质生活混合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:-4.35%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371,922,608.54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83.62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371,922,608.54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83.62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4,152,340.94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4,152,340.94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62,715,194.18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5,969,286.12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444,759,429.78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26,458,116.00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259,557,202.15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258,342.47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60,174,227.50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25,018,507.26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394,488.00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61,725.16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371,922,608.54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87.59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E1A93">
        <w:tc>
          <w:tcPr>
            <w:tcW w:w="817" w:type="dxa"/>
            <w:vAlign w:val="center"/>
          </w:tcPr>
          <w:p w:rsidR="00BE1A93" w:rsidRDefault="00327A46">
            <w:pPr>
              <w:jc w:val="center"/>
            </w:pPr>
            <w:r>
              <w:rPr>
                <w:rFonts w:eastAsiaTheme="minorEastAsia"/>
                <w:kern w:val="0"/>
                <w:szCs w:val="21"/>
              </w:rPr>
              <w:t>1</w:t>
            </w:r>
          </w:p>
        </w:tc>
        <w:tc>
          <w:tcPr>
            <w:tcW w:w="1276" w:type="dxa"/>
            <w:vAlign w:val="center"/>
          </w:tcPr>
          <w:p w:rsidR="00BE1A93" w:rsidRDefault="00327A46">
            <w:pPr>
              <w:jc w:val="center"/>
            </w:pPr>
            <w:r>
              <w:rPr>
                <w:rFonts w:eastAsiaTheme="minorEastAsia"/>
                <w:kern w:val="0"/>
                <w:szCs w:val="21"/>
              </w:rPr>
              <w:t>603027</w:t>
            </w:r>
          </w:p>
        </w:tc>
        <w:tc>
          <w:tcPr>
            <w:tcW w:w="1701" w:type="dxa"/>
            <w:vAlign w:val="center"/>
          </w:tcPr>
          <w:p w:rsidR="00BE1A93" w:rsidRDefault="00327A46">
            <w:pPr>
              <w:jc w:val="center"/>
            </w:pPr>
            <w:r>
              <w:rPr>
                <w:rFonts w:eastAsiaTheme="minorEastAsia"/>
                <w:kern w:val="0"/>
                <w:szCs w:val="21"/>
              </w:rPr>
              <w:t>千禾味业</w:t>
            </w:r>
          </w:p>
        </w:tc>
        <w:tc>
          <w:tcPr>
            <w:tcW w:w="1276" w:type="dxa"/>
            <w:vAlign w:val="center"/>
          </w:tcPr>
          <w:p w:rsidR="00BE1A93" w:rsidRDefault="00327A46">
            <w:pPr>
              <w:jc w:val="right"/>
            </w:pPr>
            <w:r>
              <w:rPr>
                <w:rFonts w:eastAsiaTheme="minorEastAsia"/>
                <w:kern w:val="0"/>
                <w:szCs w:val="21"/>
              </w:rPr>
              <w:t>1,995,689</w:t>
            </w:r>
          </w:p>
        </w:tc>
        <w:tc>
          <w:tcPr>
            <w:tcW w:w="1842" w:type="dxa"/>
            <w:vAlign w:val="center"/>
          </w:tcPr>
          <w:p w:rsidR="00BE1A93" w:rsidRDefault="00327A46">
            <w:pPr>
              <w:jc w:val="right"/>
            </w:pPr>
            <w:r>
              <w:rPr>
                <w:rFonts w:eastAsiaTheme="minorEastAsia"/>
                <w:kern w:val="0"/>
                <w:szCs w:val="21"/>
              </w:rPr>
              <w:t>34,864,686.83</w:t>
            </w:r>
          </w:p>
        </w:tc>
        <w:tc>
          <w:tcPr>
            <w:tcW w:w="1616" w:type="dxa"/>
            <w:vAlign w:val="center"/>
          </w:tcPr>
          <w:p w:rsidR="00BE1A93" w:rsidRDefault="00327A46">
            <w:pPr>
              <w:jc w:val="right"/>
            </w:pPr>
            <w:r>
              <w:rPr>
                <w:rFonts w:eastAsiaTheme="minorEastAsia"/>
                <w:kern w:val="0"/>
                <w:szCs w:val="21"/>
              </w:rPr>
              <w:t>8.21</w:t>
            </w:r>
          </w:p>
        </w:tc>
      </w:tr>
      <w:tr w:rsidR="00BE1A93">
        <w:tc>
          <w:tcPr>
            <w:tcW w:w="817" w:type="dxa"/>
            <w:vAlign w:val="center"/>
          </w:tcPr>
          <w:p w:rsidR="00BE1A93" w:rsidRDefault="00327A46">
            <w:pPr>
              <w:jc w:val="center"/>
            </w:pPr>
            <w:r>
              <w:rPr>
                <w:rFonts w:eastAsiaTheme="minorEastAsia"/>
                <w:kern w:val="0"/>
                <w:szCs w:val="21"/>
              </w:rPr>
              <w:t>2</w:t>
            </w:r>
          </w:p>
        </w:tc>
        <w:tc>
          <w:tcPr>
            <w:tcW w:w="1276" w:type="dxa"/>
            <w:vAlign w:val="center"/>
          </w:tcPr>
          <w:p w:rsidR="00BE1A93" w:rsidRDefault="00327A46">
            <w:pPr>
              <w:jc w:val="center"/>
            </w:pPr>
            <w:r>
              <w:rPr>
                <w:rFonts w:eastAsiaTheme="minorEastAsia"/>
                <w:kern w:val="0"/>
                <w:szCs w:val="21"/>
              </w:rPr>
              <w:t>000568</w:t>
            </w:r>
          </w:p>
        </w:tc>
        <w:tc>
          <w:tcPr>
            <w:tcW w:w="1701" w:type="dxa"/>
            <w:vAlign w:val="center"/>
          </w:tcPr>
          <w:p w:rsidR="00BE1A93" w:rsidRDefault="00327A46">
            <w:pPr>
              <w:jc w:val="center"/>
            </w:pPr>
            <w:r>
              <w:rPr>
                <w:rFonts w:eastAsiaTheme="minorEastAsia"/>
                <w:kern w:val="0"/>
                <w:szCs w:val="21"/>
              </w:rPr>
              <w:t>泸州老窖</w:t>
            </w:r>
          </w:p>
        </w:tc>
        <w:tc>
          <w:tcPr>
            <w:tcW w:w="1276" w:type="dxa"/>
            <w:vAlign w:val="center"/>
          </w:tcPr>
          <w:p w:rsidR="00BE1A93" w:rsidRDefault="00327A46">
            <w:pPr>
              <w:jc w:val="right"/>
            </w:pPr>
            <w:r>
              <w:rPr>
                <w:rFonts w:eastAsiaTheme="minorEastAsia"/>
                <w:kern w:val="0"/>
                <w:szCs w:val="21"/>
              </w:rPr>
              <w:t>171,500</w:t>
            </w:r>
          </w:p>
        </w:tc>
        <w:tc>
          <w:tcPr>
            <w:tcW w:w="1842" w:type="dxa"/>
            <w:vAlign w:val="center"/>
          </w:tcPr>
          <w:p w:rsidR="00BE1A93" w:rsidRDefault="00327A46">
            <w:pPr>
              <w:jc w:val="right"/>
            </w:pPr>
            <w:r>
              <w:rPr>
                <w:rFonts w:eastAsiaTheme="minorEastAsia"/>
                <w:kern w:val="0"/>
                <w:szCs w:val="21"/>
              </w:rPr>
              <w:t>31,878,420.00</w:t>
            </w:r>
          </w:p>
        </w:tc>
        <w:tc>
          <w:tcPr>
            <w:tcW w:w="1616" w:type="dxa"/>
            <w:vAlign w:val="center"/>
          </w:tcPr>
          <w:p w:rsidR="00BE1A93" w:rsidRDefault="00327A46">
            <w:pPr>
              <w:jc w:val="right"/>
            </w:pPr>
            <w:r>
              <w:rPr>
                <w:rFonts w:eastAsiaTheme="minorEastAsia"/>
                <w:kern w:val="0"/>
                <w:szCs w:val="21"/>
              </w:rPr>
              <w:t>7.51</w:t>
            </w:r>
          </w:p>
        </w:tc>
      </w:tr>
      <w:tr w:rsidR="00BE1A93">
        <w:tc>
          <w:tcPr>
            <w:tcW w:w="817" w:type="dxa"/>
            <w:vAlign w:val="center"/>
          </w:tcPr>
          <w:p w:rsidR="00BE1A93" w:rsidRDefault="00327A46">
            <w:pPr>
              <w:jc w:val="center"/>
            </w:pPr>
            <w:r>
              <w:rPr>
                <w:rFonts w:eastAsiaTheme="minorEastAsia"/>
                <w:kern w:val="0"/>
                <w:szCs w:val="21"/>
              </w:rPr>
              <w:t>3</w:t>
            </w:r>
          </w:p>
        </w:tc>
        <w:tc>
          <w:tcPr>
            <w:tcW w:w="1276" w:type="dxa"/>
            <w:vAlign w:val="center"/>
          </w:tcPr>
          <w:p w:rsidR="00BE1A93" w:rsidRDefault="00327A46">
            <w:pPr>
              <w:jc w:val="center"/>
            </w:pPr>
            <w:r>
              <w:rPr>
                <w:rFonts w:eastAsiaTheme="minorEastAsia"/>
                <w:kern w:val="0"/>
                <w:szCs w:val="21"/>
              </w:rPr>
              <w:t>600519</w:t>
            </w:r>
          </w:p>
        </w:tc>
        <w:tc>
          <w:tcPr>
            <w:tcW w:w="1701" w:type="dxa"/>
            <w:vAlign w:val="center"/>
          </w:tcPr>
          <w:p w:rsidR="00BE1A93" w:rsidRDefault="00327A46">
            <w:pPr>
              <w:jc w:val="center"/>
            </w:pPr>
            <w:r>
              <w:rPr>
                <w:rFonts w:eastAsiaTheme="minorEastAsia"/>
                <w:kern w:val="0"/>
                <w:szCs w:val="21"/>
              </w:rPr>
              <w:t>贵州茅台</w:t>
            </w:r>
          </w:p>
        </w:tc>
        <w:tc>
          <w:tcPr>
            <w:tcW w:w="1276" w:type="dxa"/>
            <w:vAlign w:val="center"/>
          </w:tcPr>
          <w:p w:rsidR="00BE1A93" w:rsidRDefault="00327A46">
            <w:pPr>
              <w:jc w:val="right"/>
            </w:pPr>
            <w:r>
              <w:rPr>
                <w:rFonts w:eastAsiaTheme="minorEastAsia"/>
                <w:kern w:val="0"/>
                <w:szCs w:val="21"/>
              </w:rPr>
              <w:t>14,101</w:t>
            </w:r>
          </w:p>
        </w:tc>
        <w:tc>
          <w:tcPr>
            <w:tcW w:w="1842" w:type="dxa"/>
            <w:vAlign w:val="center"/>
          </w:tcPr>
          <w:p w:rsidR="00BE1A93" w:rsidRDefault="00327A46">
            <w:pPr>
              <w:jc w:val="right"/>
            </w:pPr>
            <w:r>
              <w:rPr>
                <w:rFonts w:eastAsiaTheme="minorEastAsia"/>
                <w:kern w:val="0"/>
                <w:szCs w:val="21"/>
              </w:rPr>
              <w:t>24,239,619.00</w:t>
            </w:r>
          </w:p>
        </w:tc>
        <w:tc>
          <w:tcPr>
            <w:tcW w:w="1616" w:type="dxa"/>
            <w:vAlign w:val="center"/>
          </w:tcPr>
          <w:p w:rsidR="00BE1A93" w:rsidRDefault="00327A46">
            <w:pPr>
              <w:jc w:val="right"/>
            </w:pPr>
            <w:r>
              <w:rPr>
                <w:rFonts w:eastAsiaTheme="minorEastAsia"/>
                <w:kern w:val="0"/>
                <w:szCs w:val="21"/>
              </w:rPr>
              <w:t>5.71</w:t>
            </w:r>
          </w:p>
        </w:tc>
      </w:tr>
      <w:tr w:rsidR="00BE1A93">
        <w:tc>
          <w:tcPr>
            <w:tcW w:w="817" w:type="dxa"/>
            <w:vAlign w:val="center"/>
          </w:tcPr>
          <w:p w:rsidR="00BE1A93" w:rsidRDefault="00327A46">
            <w:pPr>
              <w:jc w:val="center"/>
            </w:pPr>
            <w:r>
              <w:rPr>
                <w:rFonts w:eastAsiaTheme="minorEastAsia"/>
                <w:kern w:val="0"/>
                <w:szCs w:val="21"/>
              </w:rPr>
              <w:t>4</w:t>
            </w:r>
          </w:p>
        </w:tc>
        <w:tc>
          <w:tcPr>
            <w:tcW w:w="1276" w:type="dxa"/>
            <w:vAlign w:val="center"/>
          </w:tcPr>
          <w:p w:rsidR="00BE1A93" w:rsidRDefault="00327A46">
            <w:pPr>
              <w:jc w:val="center"/>
            </w:pPr>
            <w:r>
              <w:rPr>
                <w:rFonts w:eastAsiaTheme="minorEastAsia"/>
                <w:kern w:val="0"/>
                <w:szCs w:val="21"/>
              </w:rPr>
              <w:t>601111</w:t>
            </w:r>
          </w:p>
        </w:tc>
        <w:tc>
          <w:tcPr>
            <w:tcW w:w="1701" w:type="dxa"/>
            <w:vAlign w:val="center"/>
          </w:tcPr>
          <w:p w:rsidR="00BE1A93" w:rsidRDefault="00327A46">
            <w:pPr>
              <w:jc w:val="center"/>
            </w:pPr>
            <w:r>
              <w:rPr>
                <w:rFonts w:eastAsiaTheme="minorEastAsia"/>
                <w:kern w:val="0"/>
                <w:szCs w:val="21"/>
              </w:rPr>
              <w:t>中国国航</w:t>
            </w:r>
          </w:p>
        </w:tc>
        <w:tc>
          <w:tcPr>
            <w:tcW w:w="1276" w:type="dxa"/>
            <w:vAlign w:val="center"/>
          </w:tcPr>
          <w:p w:rsidR="00BE1A93" w:rsidRDefault="00327A46">
            <w:pPr>
              <w:jc w:val="right"/>
            </w:pPr>
            <w:r>
              <w:rPr>
                <w:rFonts w:eastAsiaTheme="minorEastAsia"/>
                <w:kern w:val="0"/>
                <w:szCs w:val="21"/>
              </w:rPr>
              <w:t>2,543,700</w:t>
            </w:r>
          </w:p>
        </w:tc>
        <w:tc>
          <w:tcPr>
            <w:tcW w:w="1842" w:type="dxa"/>
            <w:vAlign w:val="center"/>
          </w:tcPr>
          <w:p w:rsidR="00BE1A93" w:rsidRDefault="00327A46">
            <w:pPr>
              <w:jc w:val="right"/>
            </w:pPr>
            <w:r>
              <w:rPr>
                <w:rFonts w:eastAsiaTheme="minorEastAsia"/>
                <w:kern w:val="0"/>
                <w:szCs w:val="21"/>
              </w:rPr>
              <w:t>23,173,107.00</w:t>
            </w:r>
          </w:p>
        </w:tc>
        <w:tc>
          <w:tcPr>
            <w:tcW w:w="1616" w:type="dxa"/>
            <w:vAlign w:val="center"/>
          </w:tcPr>
          <w:p w:rsidR="00BE1A93" w:rsidRDefault="00327A46">
            <w:pPr>
              <w:jc w:val="right"/>
            </w:pPr>
            <w:r>
              <w:rPr>
                <w:rFonts w:eastAsiaTheme="minorEastAsia"/>
                <w:kern w:val="0"/>
                <w:szCs w:val="21"/>
              </w:rPr>
              <w:t>5.46</w:t>
            </w:r>
          </w:p>
        </w:tc>
      </w:tr>
      <w:tr w:rsidR="00BE1A93">
        <w:tc>
          <w:tcPr>
            <w:tcW w:w="817" w:type="dxa"/>
            <w:vAlign w:val="center"/>
          </w:tcPr>
          <w:p w:rsidR="00BE1A93" w:rsidRDefault="00327A46">
            <w:pPr>
              <w:jc w:val="center"/>
            </w:pPr>
            <w:r>
              <w:rPr>
                <w:rFonts w:eastAsiaTheme="minorEastAsia"/>
                <w:kern w:val="0"/>
                <w:szCs w:val="21"/>
              </w:rPr>
              <w:t>5</w:t>
            </w:r>
          </w:p>
        </w:tc>
        <w:tc>
          <w:tcPr>
            <w:tcW w:w="1276" w:type="dxa"/>
            <w:vAlign w:val="center"/>
          </w:tcPr>
          <w:p w:rsidR="00BE1A93" w:rsidRDefault="00327A46">
            <w:pPr>
              <w:jc w:val="center"/>
            </w:pPr>
            <w:r>
              <w:rPr>
                <w:rFonts w:eastAsiaTheme="minorEastAsia"/>
                <w:kern w:val="0"/>
                <w:szCs w:val="21"/>
              </w:rPr>
              <w:t>000858</w:t>
            </w:r>
          </w:p>
        </w:tc>
        <w:tc>
          <w:tcPr>
            <w:tcW w:w="1701" w:type="dxa"/>
            <w:vAlign w:val="center"/>
          </w:tcPr>
          <w:p w:rsidR="00BE1A93" w:rsidRDefault="00327A46">
            <w:pPr>
              <w:jc w:val="center"/>
            </w:pPr>
            <w:r>
              <w:rPr>
                <w:rFonts w:eastAsiaTheme="minorEastAsia"/>
                <w:kern w:val="0"/>
                <w:szCs w:val="21"/>
              </w:rPr>
              <w:t>五粮液</w:t>
            </w:r>
          </w:p>
        </w:tc>
        <w:tc>
          <w:tcPr>
            <w:tcW w:w="1276" w:type="dxa"/>
            <w:vAlign w:val="center"/>
          </w:tcPr>
          <w:p w:rsidR="00BE1A93" w:rsidRDefault="00327A46">
            <w:pPr>
              <w:jc w:val="right"/>
            </w:pPr>
            <w:r>
              <w:rPr>
                <w:rFonts w:eastAsiaTheme="minorEastAsia"/>
                <w:kern w:val="0"/>
                <w:szCs w:val="21"/>
              </w:rPr>
              <w:t>101,200</w:t>
            </w:r>
          </w:p>
        </w:tc>
        <w:tc>
          <w:tcPr>
            <w:tcW w:w="1842" w:type="dxa"/>
            <w:vAlign w:val="center"/>
          </w:tcPr>
          <w:p w:rsidR="00BE1A93" w:rsidRDefault="00327A46">
            <w:pPr>
              <w:jc w:val="right"/>
            </w:pPr>
            <w:r>
              <w:rPr>
                <w:rFonts w:eastAsiaTheme="minorEastAsia"/>
                <w:kern w:val="0"/>
                <w:szCs w:val="21"/>
              </w:rPr>
              <w:t>15,692,072.00</w:t>
            </w:r>
          </w:p>
        </w:tc>
        <w:tc>
          <w:tcPr>
            <w:tcW w:w="1616" w:type="dxa"/>
            <w:vAlign w:val="center"/>
          </w:tcPr>
          <w:p w:rsidR="00BE1A93" w:rsidRDefault="00327A46">
            <w:pPr>
              <w:jc w:val="right"/>
            </w:pPr>
            <w:r>
              <w:rPr>
                <w:rFonts w:eastAsiaTheme="minorEastAsia"/>
                <w:kern w:val="0"/>
                <w:szCs w:val="21"/>
              </w:rPr>
              <w:t>3.70</w:t>
            </w:r>
          </w:p>
        </w:tc>
      </w:tr>
      <w:tr w:rsidR="00BE1A93">
        <w:tc>
          <w:tcPr>
            <w:tcW w:w="817" w:type="dxa"/>
            <w:vAlign w:val="center"/>
          </w:tcPr>
          <w:p w:rsidR="00BE1A93" w:rsidRDefault="00327A46">
            <w:pPr>
              <w:jc w:val="center"/>
            </w:pPr>
            <w:r>
              <w:rPr>
                <w:rFonts w:eastAsiaTheme="minorEastAsia"/>
                <w:kern w:val="0"/>
                <w:szCs w:val="21"/>
              </w:rPr>
              <w:t>6</w:t>
            </w:r>
          </w:p>
        </w:tc>
        <w:tc>
          <w:tcPr>
            <w:tcW w:w="1276" w:type="dxa"/>
            <w:vAlign w:val="center"/>
          </w:tcPr>
          <w:p w:rsidR="00BE1A93" w:rsidRDefault="00327A46">
            <w:pPr>
              <w:jc w:val="center"/>
            </w:pPr>
            <w:r>
              <w:rPr>
                <w:rFonts w:eastAsiaTheme="minorEastAsia"/>
                <w:kern w:val="0"/>
                <w:szCs w:val="21"/>
              </w:rPr>
              <w:t>603818</w:t>
            </w:r>
          </w:p>
        </w:tc>
        <w:tc>
          <w:tcPr>
            <w:tcW w:w="1701" w:type="dxa"/>
            <w:vAlign w:val="center"/>
          </w:tcPr>
          <w:p w:rsidR="00BE1A93" w:rsidRDefault="00327A46">
            <w:pPr>
              <w:jc w:val="center"/>
            </w:pPr>
            <w:r>
              <w:rPr>
                <w:rFonts w:eastAsiaTheme="minorEastAsia"/>
                <w:kern w:val="0"/>
                <w:szCs w:val="21"/>
              </w:rPr>
              <w:t>曲美家居</w:t>
            </w:r>
          </w:p>
        </w:tc>
        <w:tc>
          <w:tcPr>
            <w:tcW w:w="1276" w:type="dxa"/>
            <w:vAlign w:val="center"/>
          </w:tcPr>
          <w:p w:rsidR="00BE1A93" w:rsidRDefault="00327A46">
            <w:pPr>
              <w:jc w:val="right"/>
            </w:pPr>
            <w:r>
              <w:rPr>
                <w:rFonts w:eastAsiaTheme="minorEastAsia"/>
                <w:kern w:val="0"/>
                <w:szCs w:val="21"/>
              </w:rPr>
              <w:t>1,271,327</w:t>
            </w:r>
          </w:p>
        </w:tc>
        <w:tc>
          <w:tcPr>
            <w:tcW w:w="1842" w:type="dxa"/>
            <w:vAlign w:val="center"/>
          </w:tcPr>
          <w:p w:rsidR="00BE1A93" w:rsidRDefault="00327A46">
            <w:pPr>
              <w:jc w:val="right"/>
            </w:pPr>
            <w:r>
              <w:rPr>
                <w:rFonts w:eastAsiaTheme="minorEastAsia"/>
                <w:kern w:val="0"/>
                <w:szCs w:val="21"/>
              </w:rPr>
              <w:t>15,421,196.51</w:t>
            </w:r>
          </w:p>
        </w:tc>
        <w:tc>
          <w:tcPr>
            <w:tcW w:w="1616" w:type="dxa"/>
            <w:vAlign w:val="center"/>
          </w:tcPr>
          <w:p w:rsidR="00BE1A93" w:rsidRDefault="00327A46">
            <w:pPr>
              <w:jc w:val="right"/>
            </w:pPr>
            <w:r>
              <w:rPr>
                <w:rFonts w:eastAsiaTheme="minorEastAsia"/>
                <w:kern w:val="0"/>
                <w:szCs w:val="21"/>
              </w:rPr>
              <w:t>3.63</w:t>
            </w:r>
          </w:p>
        </w:tc>
      </w:tr>
      <w:tr w:rsidR="00BE1A93">
        <w:tc>
          <w:tcPr>
            <w:tcW w:w="817" w:type="dxa"/>
            <w:vAlign w:val="center"/>
          </w:tcPr>
          <w:p w:rsidR="00BE1A93" w:rsidRDefault="00327A46">
            <w:pPr>
              <w:jc w:val="center"/>
            </w:pPr>
            <w:r>
              <w:rPr>
                <w:rFonts w:eastAsiaTheme="minorEastAsia"/>
                <w:kern w:val="0"/>
                <w:szCs w:val="21"/>
              </w:rPr>
              <w:t>7</w:t>
            </w:r>
          </w:p>
        </w:tc>
        <w:tc>
          <w:tcPr>
            <w:tcW w:w="1276" w:type="dxa"/>
            <w:vAlign w:val="center"/>
          </w:tcPr>
          <w:p w:rsidR="00BE1A93" w:rsidRDefault="00327A46">
            <w:pPr>
              <w:jc w:val="center"/>
            </w:pPr>
            <w:r>
              <w:rPr>
                <w:rFonts w:eastAsiaTheme="minorEastAsia"/>
                <w:kern w:val="0"/>
                <w:szCs w:val="21"/>
              </w:rPr>
              <w:t>002714</w:t>
            </w:r>
          </w:p>
        </w:tc>
        <w:tc>
          <w:tcPr>
            <w:tcW w:w="1701" w:type="dxa"/>
            <w:vAlign w:val="center"/>
          </w:tcPr>
          <w:p w:rsidR="00BE1A93" w:rsidRDefault="00327A46">
            <w:pPr>
              <w:jc w:val="center"/>
            </w:pPr>
            <w:r>
              <w:rPr>
                <w:rFonts w:eastAsiaTheme="minorEastAsia"/>
                <w:kern w:val="0"/>
                <w:szCs w:val="21"/>
              </w:rPr>
              <w:t>牧原股份</w:t>
            </w:r>
          </w:p>
        </w:tc>
        <w:tc>
          <w:tcPr>
            <w:tcW w:w="1276" w:type="dxa"/>
            <w:vAlign w:val="center"/>
          </w:tcPr>
          <w:p w:rsidR="00BE1A93" w:rsidRDefault="00327A46">
            <w:pPr>
              <w:jc w:val="right"/>
            </w:pPr>
            <w:r>
              <w:rPr>
                <w:rFonts w:eastAsiaTheme="minorEastAsia"/>
                <w:kern w:val="0"/>
                <w:szCs w:val="21"/>
              </w:rPr>
              <w:t>245,500</w:t>
            </w:r>
          </w:p>
        </w:tc>
        <w:tc>
          <w:tcPr>
            <w:tcW w:w="1842" w:type="dxa"/>
            <w:vAlign w:val="center"/>
          </w:tcPr>
          <w:p w:rsidR="00BE1A93" w:rsidRDefault="00327A46">
            <w:pPr>
              <w:jc w:val="right"/>
            </w:pPr>
            <w:r>
              <w:rPr>
                <w:rFonts w:eastAsiaTheme="minorEastAsia"/>
                <w:kern w:val="0"/>
                <w:szCs w:val="21"/>
              </w:rPr>
              <w:t>13,959,130.00</w:t>
            </w:r>
          </w:p>
        </w:tc>
        <w:tc>
          <w:tcPr>
            <w:tcW w:w="1616" w:type="dxa"/>
            <w:vAlign w:val="center"/>
          </w:tcPr>
          <w:p w:rsidR="00BE1A93" w:rsidRDefault="00327A46">
            <w:pPr>
              <w:jc w:val="right"/>
            </w:pPr>
            <w:r>
              <w:rPr>
                <w:rFonts w:eastAsiaTheme="minorEastAsia"/>
                <w:kern w:val="0"/>
                <w:szCs w:val="21"/>
              </w:rPr>
              <w:t>3.29</w:t>
            </w:r>
          </w:p>
        </w:tc>
      </w:tr>
      <w:tr w:rsidR="00BE1A93">
        <w:tc>
          <w:tcPr>
            <w:tcW w:w="817" w:type="dxa"/>
            <w:vAlign w:val="center"/>
          </w:tcPr>
          <w:p w:rsidR="00BE1A93" w:rsidRDefault="00327A46">
            <w:pPr>
              <w:jc w:val="center"/>
            </w:pPr>
            <w:r>
              <w:rPr>
                <w:rFonts w:eastAsiaTheme="minorEastAsia"/>
                <w:kern w:val="0"/>
                <w:szCs w:val="21"/>
              </w:rPr>
              <w:t>8</w:t>
            </w:r>
          </w:p>
        </w:tc>
        <w:tc>
          <w:tcPr>
            <w:tcW w:w="1276" w:type="dxa"/>
            <w:vAlign w:val="center"/>
          </w:tcPr>
          <w:p w:rsidR="00BE1A93" w:rsidRDefault="00327A46">
            <w:pPr>
              <w:jc w:val="center"/>
            </w:pPr>
            <w:r>
              <w:rPr>
                <w:rFonts w:eastAsiaTheme="minorEastAsia"/>
                <w:kern w:val="0"/>
                <w:szCs w:val="21"/>
              </w:rPr>
              <w:t>600754</w:t>
            </w:r>
          </w:p>
        </w:tc>
        <w:tc>
          <w:tcPr>
            <w:tcW w:w="1701" w:type="dxa"/>
            <w:vAlign w:val="center"/>
          </w:tcPr>
          <w:p w:rsidR="00BE1A93" w:rsidRDefault="00327A46">
            <w:pPr>
              <w:jc w:val="center"/>
            </w:pPr>
            <w:r>
              <w:rPr>
                <w:rFonts w:eastAsiaTheme="minorEastAsia"/>
                <w:kern w:val="0"/>
                <w:szCs w:val="21"/>
              </w:rPr>
              <w:t>锦江酒店</w:t>
            </w:r>
          </w:p>
        </w:tc>
        <w:tc>
          <w:tcPr>
            <w:tcW w:w="1276" w:type="dxa"/>
            <w:vAlign w:val="center"/>
          </w:tcPr>
          <w:p w:rsidR="00BE1A93" w:rsidRDefault="00327A46">
            <w:pPr>
              <w:jc w:val="right"/>
            </w:pPr>
            <w:r>
              <w:rPr>
                <w:rFonts w:eastAsiaTheme="minorEastAsia"/>
                <w:kern w:val="0"/>
                <w:szCs w:val="21"/>
              </w:rPr>
              <w:t>258,349</w:t>
            </w:r>
          </w:p>
        </w:tc>
        <w:tc>
          <w:tcPr>
            <w:tcW w:w="1842" w:type="dxa"/>
            <w:vAlign w:val="center"/>
          </w:tcPr>
          <w:p w:rsidR="00BE1A93" w:rsidRDefault="00327A46">
            <w:pPr>
              <w:jc w:val="right"/>
            </w:pPr>
            <w:r>
              <w:rPr>
                <w:rFonts w:eastAsiaTheme="minorEastAsia"/>
                <w:kern w:val="0"/>
                <w:szCs w:val="21"/>
              </w:rPr>
              <w:t>12,850,279.26</w:t>
            </w:r>
          </w:p>
        </w:tc>
        <w:tc>
          <w:tcPr>
            <w:tcW w:w="1616" w:type="dxa"/>
            <w:vAlign w:val="center"/>
          </w:tcPr>
          <w:p w:rsidR="00BE1A93" w:rsidRDefault="00327A46">
            <w:pPr>
              <w:jc w:val="right"/>
            </w:pPr>
            <w:r>
              <w:rPr>
                <w:rFonts w:eastAsiaTheme="minorEastAsia"/>
                <w:kern w:val="0"/>
                <w:szCs w:val="21"/>
              </w:rPr>
              <w:t>3.03</w:t>
            </w:r>
          </w:p>
        </w:tc>
      </w:tr>
      <w:tr w:rsidR="00BE1A93">
        <w:tc>
          <w:tcPr>
            <w:tcW w:w="817" w:type="dxa"/>
            <w:vAlign w:val="center"/>
          </w:tcPr>
          <w:p w:rsidR="00BE1A93" w:rsidRDefault="00327A46">
            <w:pPr>
              <w:jc w:val="center"/>
            </w:pPr>
            <w:r>
              <w:rPr>
                <w:rFonts w:eastAsiaTheme="minorEastAsia"/>
                <w:kern w:val="0"/>
                <w:szCs w:val="21"/>
              </w:rPr>
              <w:t>9</w:t>
            </w:r>
          </w:p>
        </w:tc>
        <w:tc>
          <w:tcPr>
            <w:tcW w:w="1276" w:type="dxa"/>
            <w:vAlign w:val="center"/>
          </w:tcPr>
          <w:p w:rsidR="00BE1A93" w:rsidRDefault="00327A46">
            <w:pPr>
              <w:jc w:val="center"/>
            </w:pPr>
            <w:r>
              <w:rPr>
                <w:rFonts w:eastAsiaTheme="minorEastAsia"/>
                <w:kern w:val="0"/>
                <w:szCs w:val="21"/>
              </w:rPr>
              <w:t>000876</w:t>
            </w:r>
          </w:p>
        </w:tc>
        <w:tc>
          <w:tcPr>
            <w:tcW w:w="1701" w:type="dxa"/>
            <w:vAlign w:val="center"/>
          </w:tcPr>
          <w:p w:rsidR="00BE1A93" w:rsidRDefault="00327A46">
            <w:pPr>
              <w:jc w:val="center"/>
            </w:pPr>
            <w:r>
              <w:rPr>
                <w:rFonts w:eastAsiaTheme="minorEastAsia"/>
                <w:kern w:val="0"/>
                <w:szCs w:val="21"/>
              </w:rPr>
              <w:t>新希望</w:t>
            </w:r>
          </w:p>
        </w:tc>
        <w:tc>
          <w:tcPr>
            <w:tcW w:w="1276" w:type="dxa"/>
            <w:vAlign w:val="center"/>
          </w:tcPr>
          <w:p w:rsidR="00BE1A93" w:rsidRDefault="00327A46">
            <w:pPr>
              <w:jc w:val="right"/>
            </w:pPr>
            <w:r>
              <w:rPr>
                <w:rFonts w:eastAsiaTheme="minorEastAsia"/>
                <w:kern w:val="0"/>
                <w:szCs w:val="21"/>
              </w:rPr>
              <w:t>744,400</w:t>
            </w:r>
          </w:p>
        </w:tc>
        <w:tc>
          <w:tcPr>
            <w:tcW w:w="1842" w:type="dxa"/>
            <w:vAlign w:val="center"/>
          </w:tcPr>
          <w:p w:rsidR="00BE1A93" w:rsidRDefault="00327A46">
            <w:pPr>
              <w:jc w:val="right"/>
            </w:pPr>
            <w:r>
              <w:rPr>
                <w:rFonts w:eastAsiaTheme="minorEastAsia"/>
                <w:kern w:val="0"/>
                <w:szCs w:val="21"/>
              </w:rPr>
              <w:t>12,639,912.00</w:t>
            </w:r>
          </w:p>
        </w:tc>
        <w:tc>
          <w:tcPr>
            <w:tcW w:w="1616" w:type="dxa"/>
            <w:vAlign w:val="center"/>
          </w:tcPr>
          <w:p w:rsidR="00BE1A93" w:rsidRDefault="00327A46">
            <w:pPr>
              <w:jc w:val="right"/>
            </w:pPr>
            <w:r>
              <w:rPr>
                <w:rFonts w:eastAsiaTheme="minorEastAsia"/>
                <w:kern w:val="0"/>
                <w:szCs w:val="21"/>
              </w:rPr>
              <w:t>2.98</w:t>
            </w:r>
          </w:p>
        </w:tc>
      </w:tr>
      <w:tr w:rsidR="00BE1A93">
        <w:tc>
          <w:tcPr>
            <w:tcW w:w="817" w:type="dxa"/>
            <w:vAlign w:val="center"/>
          </w:tcPr>
          <w:p w:rsidR="00BE1A93" w:rsidRDefault="00327A46">
            <w:pPr>
              <w:jc w:val="center"/>
            </w:pPr>
            <w:r>
              <w:rPr>
                <w:rFonts w:eastAsiaTheme="minorEastAsia"/>
                <w:kern w:val="0"/>
                <w:szCs w:val="21"/>
              </w:rPr>
              <w:t>10</w:t>
            </w:r>
          </w:p>
        </w:tc>
        <w:tc>
          <w:tcPr>
            <w:tcW w:w="1276" w:type="dxa"/>
            <w:vAlign w:val="center"/>
          </w:tcPr>
          <w:p w:rsidR="00BE1A93" w:rsidRDefault="00327A46">
            <w:pPr>
              <w:jc w:val="center"/>
            </w:pPr>
            <w:r>
              <w:rPr>
                <w:rFonts w:eastAsiaTheme="minorEastAsia"/>
                <w:kern w:val="0"/>
                <w:szCs w:val="21"/>
              </w:rPr>
              <w:t>600029</w:t>
            </w:r>
          </w:p>
        </w:tc>
        <w:tc>
          <w:tcPr>
            <w:tcW w:w="1701" w:type="dxa"/>
            <w:vAlign w:val="center"/>
          </w:tcPr>
          <w:p w:rsidR="00BE1A93" w:rsidRDefault="00327A46">
            <w:pPr>
              <w:jc w:val="center"/>
            </w:pPr>
            <w:r>
              <w:rPr>
                <w:rFonts w:eastAsiaTheme="minorEastAsia"/>
                <w:kern w:val="0"/>
                <w:szCs w:val="21"/>
              </w:rPr>
              <w:t>南方航空</w:t>
            </w:r>
          </w:p>
        </w:tc>
        <w:tc>
          <w:tcPr>
            <w:tcW w:w="1276" w:type="dxa"/>
            <w:vAlign w:val="center"/>
          </w:tcPr>
          <w:p w:rsidR="00BE1A93" w:rsidRDefault="00327A46">
            <w:pPr>
              <w:jc w:val="right"/>
            </w:pPr>
            <w:r>
              <w:rPr>
                <w:rFonts w:eastAsiaTheme="minorEastAsia"/>
                <w:kern w:val="0"/>
                <w:szCs w:val="21"/>
              </w:rPr>
              <w:t>2,035,200</w:t>
            </w:r>
          </w:p>
        </w:tc>
        <w:tc>
          <w:tcPr>
            <w:tcW w:w="1842" w:type="dxa"/>
            <w:vAlign w:val="center"/>
          </w:tcPr>
          <w:p w:rsidR="00BE1A93" w:rsidRDefault="00327A46">
            <w:pPr>
              <w:jc w:val="right"/>
            </w:pPr>
            <w:r>
              <w:rPr>
                <w:rFonts w:eastAsiaTheme="minorEastAsia"/>
                <w:kern w:val="0"/>
                <w:szCs w:val="21"/>
              </w:rPr>
              <w:t>12,597,888.00</w:t>
            </w:r>
          </w:p>
        </w:tc>
        <w:tc>
          <w:tcPr>
            <w:tcW w:w="1616" w:type="dxa"/>
            <w:vAlign w:val="center"/>
          </w:tcPr>
          <w:p w:rsidR="00BE1A93" w:rsidRDefault="00327A46">
            <w:pPr>
              <w:jc w:val="right"/>
            </w:pPr>
            <w:r>
              <w:rPr>
                <w:rFonts w:eastAsiaTheme="minorEastAsia"/>
                <w:kern w:val="0"/>
                <w:szCs w:val="21"/>
              </w:rPr>
              <w:t>2.97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4,152,340.94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4,152,340.94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4,152,340.94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E1A93">
        <w:tc>
          <w:tcPr>
            <w:tcW w:w="1504" w:type="dxa"/>
            <w:vAlign w:val="center"/>
          </w:tcPr>
          <w:p w:rsidR="00BE1A93" w:rsidRDefault="00327A46">
            <w:pPr>
              <w:jc w:val="center"/>
            </w:pPr>
            <w:r>
              <w:rPr>
                <w:rFonts w:eastAsiaTheme="minorEastAsia"/>
                <w:color w:val="000000" w:themeColor="text1"/>
                <w:szCs w:val="21"/>
              </w:rPr>
              <w:t>1</w:t>
            </w:r>
          </w:p>
        </w:tc>
        <w:tc>
          <w:tcPr>
            <w:tcW w:w="1504" w:type="dxa"/>
            <w:vAlign w:val="center"/>
          </w:tcPr>
          <w:p w:rsidR="00BE1A93" w:rsidRDefault="00327A46">
            <w:pPr>
              <w:jc w:val="center"/>
            </w:pPr>
            <w:r>
              <w:rPr>
                <w:rFonts w:eastAsiaTheme="minorEastAsia"/>
                <w:color w:val="000000" w:themeColor="text1"/>
                <w:szCs w:val="21"/>
              </w:rPr>
              <w:t>018006</w:t>
            </w:r>
          </w:p>
        </w:tc>
        <w:tc>
          <w:tcPr>
            <w:tcW w:w="1504" w:type="dxa"/>
            <w:vAlign w:val="center"/>
          </w:tcPr>
          <w:p w:rsidR="00BE1A93" w:rsidRDefault="00327A46">
            <w:pPr>
              <w:jc w:val="center"/>
            </w:pPr>
            <w:r>
              <w:rPr>
                <w:rFonts w:eastAsiaTheme="minorEastAsia"/>
                <w:color w:val="000000" w:themeColor="text1"/>
                <w:szCs w:val="21"/>
              </w:rPr>
              <w:t>国开</w:t>
            </w:r>
            <w:r>
              <w:rPr>
                <w:rFonts w:eastAsiaTheme="minorEastAsia"/>
                <w:color w:val="000000" w:themeColor="text1"/>
                <w:szCs w:val="21"/>
              </w:rPr>
              <w:t>1702</w:t>
            </w:r>
          </w:p>
        </w:tc>
        <w:tc>
          <w:tcPr>
            <w:tcW w:w="1503" w:type="dxa"/>
            <w:vAlign w:val="center"/>
          </w:tcPr>
          <w:p w:rsidR="00BE1A93" w:rsidRDefault="00327A46">
            <w:pPr>
              <w:jc w:val="right"/>
            </w:pPr>
            <w:r>
              <w:rPr>
                <w:rFonts w:eastAsiaTheme="minorEastAsia"/>
                <w:color w:val="000000" w:themeColor="text1"/>
                <w:szCs w:val="21"/>
              </w:rPr>
              <w:t>39,970</w:t>
            </w:r>
          </w:p>
        </w:tc>
        <w:tc>
          <w:tcPr>
            <w:tcW w:w="1503" w:type="dxa"/>
            <w:vAlign w:val="center"/>
          </w:tcPr>
          <w:p w:rsidR="00BE1A93" w:rsidRDefault="00327A46">
            <w:pPr>
              <w:jc w:val="right"/>
            </w:pPr>
            <w:r>
              <w:rPr>
                <w:rFonts w:eastAsiaTheme="minorEastAsia"/>
                <w:color w:val="000000" w:themeColor="text1"/>
                <w:szCs w:val="21"/>
              </w:rPr>
              <w:t>4,152,340.94</w:t>
            </w:r>
          </w:p>
        </w:tc>
        <w:tc>
          <w:tcPr>
            <w:tcW w:w="1503" w:type="dxa"/>
            <w:vAlign w:val="center"/>
          </w:tcPr>
          <w:p w:rsidR="00BE1A93" w:rsidRDefault="00327A46">
            <w:pPr>
              <w:jc w:val="right"/>
            </w:pPr>
            <w:r>
              <w:rPr>
                <w:rFonts w:eastAsiaTheme="minorEastAsia"/>
                <w:color w:val="000000" w:themeColor="text1"/>
                <w:szCs w:val="21"/>
              </w:rPr>
              <w:t>0.98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288,201.22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5,577,284.70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97,117.87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6,682.33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5,969,286.12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327A4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上投摩根健康品质生活混合</w:t>
            </w:r>
            <w:r w:rsidRPr="00B27A29">
              <w:rPr>
                <w:rFonts w:eastAsiaTheme="minorEastAsia"/>
                <w:color w:val="000000" w:themeColor="text1"/>
                <w:szCs w:val="21"/>
              </w:rPr>
              <w:t>C</w:t>
            </w:r>
          </w:p>
        </w:tc>
      </w:tr>
      <w:tr w:rsidR="00327A4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139,169,963.28</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327A4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39,513,758.34</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4,230,001.87</w:t>
            </w:r>
          </w:p>
        </w:tc>
      </w:tr>
      <w:tr w:rsidR="00327A4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62,725,520.81</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327A4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327A46" w:rsidRPr="00B27A29" w:rsidTr="00047748">
        <w:tc>
          <w:tcPr>
            <w:tcW w:w="3900"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115,958,200.81</w:t>
            </w:r>
          </w:p>
        </w:tc>
        <w:tc>
          <w:tcPr>
            <w:tcW w:w="2367" w:type="dxa"/>
            <w:tcBorders>
              <w:top w:val="single" w:sz="8" w:space="0" w:color="000000"/>
              <w:left w:val="single" w:sz="8" w:space="0" w:color="000000"/>
              <w:bottom w:val="single" w:sz="8" w:space="0" w:color="000000"/>
              <w:right w:val="single" w:sz="8" w:space="0" w:color="000000"/>
            </w:tcBorders>
            <w:vAlign w:val="center"/>
          </w:tcPr>
          <w:p w:rsidR="00327A46" w:rsidRPr="00B27A29" w:rsidRDefault="00327A46" w:rsidP="00047748">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4,230,001.87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、中国证监会批准上投摩根健康品质生活混合型证券投资基金设立的文件；</w:t>
      </w:r>
      <w:r>
        <w:rPr>
          <w:rFonts w:eastAsiaTheme="minorEastAsia"/>
          <w:color w:val="000000" w:themeColor="text1"/>
          <w:szCs w:val="21"/>
        </w:rPr>
        <w:t xml:space="preserve"> </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、《上投摩根健康品质生活混合型证券投资基金基金合同》；</w:t>
      </w:r>
      <w:r>
        <w:rPr>
          <w:rFonts w:eastAsiaTheme="minorEastAsia"/>
          <w:color w:val="000000" w:themeColor="text1"/>
          <w:szCs w:val="21"/>
        </w:rPr>
        <w:t xml:space="preserve"> </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、《上投摩根健康品质生活混合型证券投资基金托管协议》；</w:t>
      </w:r>
      <w:r>
        <w:rPr>
          <w:rFonts w:eastAsiaTheme="minorEastAsia"/>
          <w:color w:val="000000" w:themeColor="text1"/>
          <w:szCs w:val="21"/>
        </w:rPr>
        <w:t xml:space="preserve"> </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BE1A93" w:rsidRDefault="00327A4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B043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B043B">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B043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上投摩根健康品质生活混合型证券投资基金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408B"/>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27A46"/>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43B"/>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1A93"/>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749414">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78992-7E7C-4F83-A993-F8D1EC4E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1295</Words>
  <Characters>7383</Characters>
  <Application>Microsoft Office Word</Application>
  <DocSecurity>0</DocSecurity>
  <Lines>61</Lines>
  <Paragraphs>17</Paragraphs>
  <ScaleCrop>false</ScaleCrop>
  <Company>TRT. Ltd. Co.</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220</cp:revision>
  <cp:lastPrinted>2007-07-19T00:46:00Z</cp:lastPrinted>
  <dcterms:created xsi:type="dcterms:W3CDTF">2013-06-21T06:56:00Z</dcterms:created>
  <dcterms:modified xsi:type="dcterms:W3CDTF">2022-04-21T03:37:00Z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