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上投摩根健康品质生活混合型证券投资基金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2020年第3季度报告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2020年9月30日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二〇二〇年十月二十八日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本报告期自2020年7月1日起至9月30日止。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上投摩根健康品质生活混合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377150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377150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2012年2月1日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25,477,897.20</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本基金主要投资于有利于提升居民健康水平和生活品质的行业及公司，力争把握经济结构调整和消费升级所带来的投资机会。在严格控制风险的前提下，追求基金资产的长期稳定增值。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601A0A" w:rsidRDefault="00BF27A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、资产配置策略</w:t>
            </w:r>
          </w:p>
          <w:p w:rsidR="00601A0A" w:rsidRDefault="00BF27A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本基金对大类资产的配置是从宏观层面出发，采用定量分析和定性分析相结合的手段，综合宏观经济环境、宏观经</w:t>
            </w:r>
            <w:r>
              <w:rPr>
                <w:rFonts w:asciiTheme="minorEastAsia" w:eastAsiaTheme="minorEastAsia" w:hAnsiTheme="minorEastAsia"/>
                <w:color w:val="000000" w:themeColor="text1"/>
                <w:kern w:val="0"/>
              </w:rPr>
              <w:lastRenderedPageBreak/>
              <w:t>济政策、产业政策、行业景气度、证券市场走势和流动性的综合分析，积极进行大类资产配置。</w:t>
            </w:r>
          </w:p>
          <w:p w:rsidR="00601A0A" w:rsidRDefault="00BF27A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影响资产收益的关键驱动因素主要包括基本面和流动性。基本面驱动，主要指在经济周期和通胀周期影响下，业绩增长、利率环境、通胀预期等因素的</w:t>
            </w:r>
            <w:r>
              <w:rPr>
                <w:rFonts w:asciiTheme="minorEastAsia" w:eastAsiaTheme="minorEastAsia" w:hAnsiTheme="minorEastAsia"/>
                <w:color w:val="000000" w:themeColor="text1"/>
                <w:kern w:val="0"/>
              </w:rPr>
              <w:t>变动；流动性驱动主要体现为货币市场环境变动的影响，具体包括汇率变动、流动性结构变动等。随着各类资产风险收益特征的相对变化，本基金将适时动态地调整股票、债券和货币市场工具的投资比例。</w:t>
            </w:r>
          </w:p>
          <w:p w:rsidR="00601A0A" w:rsidRDefault="00BF27A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、股票投资策略</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沪深300指数收益率×85%+上证国债指数收益率×15%</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601A0A" w:rsidRDefault="00BF27A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w:t>
            </w:r>
            <w:r>
              <w:rPr>
                <w:rFonts w:asciiTheme="minorEastAsia" w:eastAsiaTheme="minorEastAsia" w:hAnsiTheme="minorEastAsia"/>
                <w:color w:val="000000" w:themeColor="text1"/>
                <w:kern w:val="0"/>
              </w:rPr>
              <w:lastRenderedPageBreak/>
              <w:t>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F27A1" w:rsidTr="00BF27A1">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2020年7月1日-2020年9月30日</w:t>
            </w:r>
            <w:r>
              <w:rPr>
                <w:rFonts w:asciiTheme="minorEastAsia" w:eastAsiaTheme="minorEastAsia" w:hAnsiTheme="minorEastAsia" w:cs="宋体" w:hint="eastAsia"/>
                <w:color w:val="000000" w:themeColor="text1"/>
              </w:rPr>
              <w:t>)</w:t>
            </w:r>
          </w:p>
        </w:tc>
      </w:tr>
      <w:tr w:rsidR="00BF27A1" w:rsidTr="00BF27A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19,351,185.96</w:t>
            </w:r>
          </w:p>
        </w:tc>
      </w:tr>
      <w:tr w:rsidR="00BF27A1" w:rsidTr="00BF27A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7,096,102.37</w:t>
            </w:r>
          </w:p>
        </w:tc>
      </w:tr>
      <w:tr w:rsidR="00BF27A1" w:rsidTr="00BF27A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0.2600</w:t>
            </w:r>
          </w:p>
        </w:tc>
      </w:tr>
      <w:tr w:rsidR="00BF27A1" w:rsidTr="00BF27A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89,435,143.79</w:t>
            </w:r>
          </w:p>
        </w:tc>
      </w:tr>
      <w:tr w:rsidR="00BF27A1" w:rsidTr="00BF27A1">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3.5103</w:t>
            </w:r>
          </w:p>
        </w:tc>
      </w:tr>
    </w:tbl>
    <w:p w:rsidR="00601A0A" w:rsidRDefault="00BF27A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601A0A">
        <w:tc>
          <w:tcPr>
            <w:tcW w:w="1395" w:type="dxa"/>
            <w:vAlign w:val="center"/>
          </w:tcPr>
          <w:p w:rsidR="00601A0A" w:rsidRDefault="00BF27A1">
            <w:pPr>
              <w:jc w:val="left"/>
            </w:pPr>
            <w:r>
              <w:rPr>
                <w:rFonts w:asciiTheme="minorEastAsia" w:eastAsiaTheme="minorEastAsia" w:hAnsiTheme="minorEastAsia"/>
                <w:color w:val="000000" w:themeColor="text1"/>
                <w:kern w:val="0"/>
              </w:rPr>
              <w:t>过去三个月</w:t>
            </w:r>
          </w:p>
        </w:tc>
        <w:tc>
          <w:tcPr>
            <w:tcW w:w="1092" w:type="dxa"/>
            <w:vAlign w:val="center"/>
          </w:tcPr>
          <w:p w:rsidR="00601A0A" w:rsidRDefault="00BF27A1">
            <w:pPr>
              <w:jc w:val="center"/>
            </w:pPr>
            <w:r>
              <w:rPr>
                <w:rFonts w:asciiTheme="minorEastAsia" w:eastAsiaTheme="minorEastAsia" w:hAnsiTheme="minorEastAsia"/>
                <w:color w:val="000000" w:themeColor="text1"/>
                <w:kern w:val="0"/>
              </w:rPr>
              <w:t>6.63%</w:t>
            </w:r>
          </w:p>
        </w:tc>
        <w:tc>
          <w:tcPr>
            <w:tcW w:w="1161" w:type="dxa"/>
            <w:vAlign w:val="center"/>
          </w:tcPr>
          <w:p w:rsidR="00601A0A" w:rsidRDefault="00BF27A1">
            <w:pPr>
              <w:jc w:val="center"/>
            </w:pPr>
            <w:r>
              <w:rPr>
                <w:rFonts w:asciiTheme="minorEastAsia" w:eastAsiaTheme="minorEastAsia" w:hAnsiTheme="minorEastAsia"/>
                <w:color w:val="000000" w:themeColor="text1"/>
                <w:kern w:val="0"/>
              </w:rPr>
              <w:t>1.94%</w:t>
            </w:r>
          </w:p>
        </w:tc>
        <w:tc>
          <w:tcPr>
            <w:tcW w:w="1181" w:type="dxa"/>
            <w:vAlign w:val="center"/>
          </w:tcPr>
          <w:p w:rsidR="00601A0A" w:rsidRDefault="00BF27A1">
            <w:pPr>
              <w:jc w:val="center"/>
            </w:pPr>
            <w:r>
              <w:rPr>
                <w:rFonts w:asciiTheme="minorEastAsia" w:eastAsiaTheme="minorEastAsia" w:hAnsiTheme="minorEastAsia"/>
                <w:color w:val="000000" w:themeColor="text1"/>
                <w:kern w:val="0"/>
              </w:rPr>
              <w:t>8.69%</w:t>
            </w:r>
          </w:p>
        </w:tc>
        <w:tc>
          <w:tcPr>
            <w:tcW w:w="1188" w:type="dxa"/>
            <w:vAlign w:val="center"/>
          </w:tcPr>
          <w:p w:rsidR="00601A0A" w:rsidRDefault="00BF27A1">
            <w:pPr>
              <w:jc w:val="center"/>
            </w:pPr>
            <w:r>
              <w:rPr>
                <w:rFonts w:asciiTheme="minorEastAsia" w:eastAsiaTheme="minorEastAsia" w:hAnsiTheme="minorEastAsia"/>
                <w:color w:val="000000" w:themeColor="text1"/>
                <w:kern w:val="0"/>
              </w:rPr>
              <w:t>1.37%</w:t>
            </w:r>
          </w:p>
        </w:tc>
        <w:tc>
          <w:tcPr>
            <w:tcW w:w="1199" w:type="dxa"/>
            <w:vAlign w:val="center"/>
          </w:tcPr>
          <w:p w:rsidR="00601A0A" w:rsidRDefault="00BF27A1">
            <w:pPr>
              <w:jc w:val="center"/>
            </w:pPr>
            <w:r>
              <w:rPr>
                <w:rFonts w:asciiTheme="minorEastAsia" w:eastAsiaTheme="minorEastAsia" w:hAnsiTheme="minorEastAsia"/>
                <w:color w:val="000000" w:themeColor="text1"/>
                <w:kern w:val="0"/>
              </w:rPr>
              <w:t>-2.06%</w:t>
            </w:r>
          </w:p>
        </w:tc>
        <w:tc>
          <w:tcPr>
            <w:tcW w:w="1204" w:type="dxa"/>
            <w:vAlign w:val="center"/>
          </w:tcPr>
          <w:p w:rsidR="00601A0A" w:rsidRDefault="00BF27A1">
            <w:pPr>
              <w:jc w:val="center"/>
            </w:pPr>
            <w:r>
              <w:rPr>
                <w:rFonts w:asciiTheme="minorEastAsia" w:eastAsiaTheme="minorEastAsia" w:hAnsiTheme="minorEastAsia"/>
                <w:color w:val="000000" w:themeColor="text1"/>
                <w:kern w:val="0"/>
              </w:rPr>
              <w:t>0.57%</w:t>
            </w:r>
          </w:p>
        </w:tc>
      </w:tr>
      <w:tr w:rsidR="00601A0A">
        <w:tc>
          <w:tcPr>
            <w:tcW w:w="1395" w:type="dxa"/>
            <w:vAlign w:val="center"/>
          </w:tcPr>
          <w:p w:rsidR="00601A0A" w:rsidRDefault="00BF27A1">
            <w:pPr>
              <w:jc w:val="left"/>
            </w:pPr>
            <w:r>
              <w:rPr>
                <w:rFonts w:asciiTheme="minorEastAsia" w:eastAsiaTheme="minorEastAsia" w:hAnsiTheme="minorEastAsia"/>
                <w:color w:val="000000" w:themeColor="text1"/>
                <w:kern w:val="0"/>
              </w:rPr>
              <w:t>过去六个月</w:t>
            </w:r>
          </w:p>
        </w:tc>
        <w:tc>
          <w:tcPr>
            <w:tcW w:w="1092" w:type="dxa"/>
            <w:vAlign w:val="center"/>
          </w:tcPr>
          <w:p w:rsidR="00601A0A" w:rsidRDefault="00BF27A1">
            <w:pPr>
              <w:jc w:val="center"/>
            </w:pPr>
            <w:r>
              <w:rPr>
                <w:rFonts w:asciiTheme="minorEastAsia" w:eastAsiaTheme="minorEastAsia" w:hAnsiTheme="minorEastAsia"/>
                <w:color w:val="000000" w:themeColor="text1"/>
                <w:kern w:val="0"/>
              </w:rPr>
              <w:t>36.75%</w:t>
            </w:r>
          </w:p>
        </w:tc>
        <w:tc>
          <w:tcPr>
            <w:tcW w:w="1161" w:type="dxa"/>
            <w:vAlign w:val="center"/>
          </w:tcPr>
          <w:p w:rsidR="00601A0A" w:rsidRDefault="00BF27A1">
            <w:pPr>
              <w:jc w:val="center"/>
            </w:pPr>
            <w:r>
              <w:rPr>
                <w:rFonts w:asciiTheme="minorEastAsia" w:eastAsiaTheme="minorEastAsia" w:hAnsiTheme="minorEastAsia"/>
                <w:color w:val="000000" w:themeColor="text1"/>
                <w:kern w:val="0"/>
              </w:rPr>
              <w:t>1.68%</w:t>
            </w:r>
          </w:p>
        </w:tc>
        <w:tc>
          <w:tcPr>
            <w:tcW w:w="1181" w:type="dxa"/>
            <w:vAlign w:val="center"/>
          </w:tcPr>
          <w:p w:rsidR="00601A0A" w:rsidRDefault="00BF27A1">
            <w:pPr>
              <w:jc w:val="center"/>
            </w:pPr>
            <w:r>
              <w:rPr>
                <w:rFonts w:asciiTheme="minorEastAsia" w:eastAsiaTheme="minorEastAsia" w:hAnsiTheme="minorEastAsia"/>
                <w:color w:val="000000" w:themeColor="text1"/>
                <w:kern w:val="0"/>
              </w:rPr>
              <w:t>20.92%</w:t>
            </w:r>
          </w:p>
        </w:tc>
        <w:tc>
          <w:tcPr>
            <w:tcW w:w="1188" w:type="dxa"/>
            <w:vAlign w:val="center"/>
          </w:tcPr>
          <w:p w:rsidR="00601A0A" w:rsidRDefault="00BF27A1">
            <w:pPr>
              <w:jc w:val="center"/>
            </w:pPr>
            <w:r>
              <w:rPr>
                <w:rFonts w:asciiTheme="minorEastAsia" w:eastAsiaTheme="minorEastAsia" w:hAnsiTheme="minorEastAsia"/>
                <w:color w:val="000000" w:themeColor="text1"/>
                <w:kern w:val="0"/>
              </w:rPr>
              <w:t>1.12%</w:t>
            </w:r>
          </w:p>
        </w:tc>
        <w:tc>
          <w:tcPr>
            <w:tcW w:w="1199" w:type="dxa"/>
            <w:vAlign w:val="center"/>
          </w:tcPr>
          <w:p w:rsidR="00601A0A" w:rsidRDefault="00BF27A1">
            <w:pPr>
              <w:jc w:val="center"/>
            </w:pPr>
            <w:r>
              <w:rPr>
                <w:rFonts w:asciiTheme="minorEastAsia" w:eastAsiaTheme="minorEastAsia" w:hAnsiTheme="minorEastAsia"/>
                <w:color w:val="000000" w:themeColor="text1"/>
                <w:kern w:val="0"/>
              </w:rPr>
              <w:t>15.83%</w:t>
            </w:r>
          </w:p>
        </w:tc>
        <w:tc>
          <w:tcPr>
            <w:tcW w:w="1204" w:type="dxa"/>
            <w:vAlign w:val="center"/>
          </w:tcPr>
          <w:p w:rsidR="00601A0A" w:rsidRDefault="00BF27A1">
            <w:pPr>
              <w:jc w:val="center"/>
            </w:pPr>
            <w:r>
              <w:rPr>
                <w:rFonts w:asciiTheme="minorEastAsia" w:eastAsiaTheme="minorEastAsia" w:hAnsiTheme="minorEastAsia"/>
                <w:color w:val="000000" w:themeColor="text1"/>
                <w:kern w:val="0"/>
              </w:rPr>
              <w:t>0.56%</w:t>
            </w:r>
          </w:p>
        </w:tc>
      </w:tr>
      <w:tr w:rsidR="00601A0A">
        <w:tc>
          <w:tcPr>
            <w:tcW w:w="1395" w:type="dxa"/>
            <w:vAlign w:val="center"/>
          </w:tcPr>
          <w:p w:rsidR="00601A0A" w:rsidRDefault="00BF27A1">
            <w:pPr>
              <w:jc w:val="left"/>
            </w:pPr>
            <w:r>
              <w:rPr>
                <w:rFonts w:asciiTheme="minorEastAsia" w:eastAsiaTheme="minorEastAsia" w:hAnsiTheme="minorEastAsia"/>
                <w:color w:val="000000" w:themeColor="text1"/>
                <w:kern w:val="0"/>
              </w:rPr>
              <w:t>过去一年</w:t>
            </w:r>
          </w:p>
        </w:tc>
        <w:tc>
          <w:tcPr>
            <w:tcW w:w="1092" w:type="dxa"/>
            <w:vAlign w:val="center"/>
          </w:tcPr>
          <w:p w:rsidR="00601A0A" w:rsidRDefault="00BF27A1">
            <w:pPr>
              <w:jc w:val="center"/>
            </w:pPr>
            <w:r>
              <w:rPr>
                <w:rFonts w:asciiTheme="minorEastAsia" w:eastAsiaTheme="minorEastAsia" w:hAnsiTheme="minorEastAsia"/>
                <w:color w:val="000000" w:themeColor="text1"/>
                <w:kern w:val="0"/>
              </w:rPr>
              <w:t>52.22%</w:t>
            </w:r>
          </w:p>
        </w:tc>
        <w:tc>
          <w:tcPr>
            <w:tcW w:w="1161" w:type="dxa"/>
            <w:vAlign w:val="center"/>
          </w:tcPr>
          <w:p w:rsidR="00601A0A" w:rsidRDefault="00BF27A1">
            <w:pPr>
              <w:jc w:val="center"/>
            </w:pPr>
            <w:r>
              <w:rPr>
                <w:rFonts w:asciiTheme="minorEastAsia" w:eastAsiaTheme="minorEastAsia" w:hAnsiTheme="minorEastAsia"/>
                <w:color w:val="000000" w:themeColor="text1"/>
                <w:kern w:val="0"/>
              </w:rPr>
              <w:t>1.61%</w:t>
            </w:r>
          </w:p>
        </w:tc>
        <w:tc>
          <w:tcPr>
            <w:tcW w:w="1181" w:type="dxa"/>
            <w:vAlign w:val="center"/>
          </w:tcPr>
          <w:p w:rsidR="00601A0A" w:rsidRDefault="00BF27A1">
            <w:pPr>
              <w:jc w:val="center"/>
            </w:pPr>
            <w:r>
              <w:rPr>
                <w:rFonts w:asciiTheme="minorEastAsia" w:eastAsiaTheme="minorEastAsia" w:hAnsiTheme="minorEastAsia"/>
                <w:color w:val="000000" w:themeColor="text1"/>
                <w:kern w:val="0"/>
              </w:rPr>
              <w:t>17.86%</w:t>
            </w:r>
          </w:p>
        </w:tc>
        <w:tc>
          <w:tcPr>
            <w:tcW w:w="1188" w:type="dxa"/>
            <w:vAlign w:val="center"/>
          </w:tcPr>
          <w:p w:rsidR="00601A0A" w:rsidRDefault="00BF27A1">
            <w:pPr>
              <w:jc w:val="center"/>
            </w:pPr>
            <w:r>
              <w:rPr>
                <w:rFonts w:asciiTheme="minorEastAsia" w:eastAsiaTheme="minorEastAsia" w:hAnsiTheme="minorEastAsia"/>
                <w:color w:val="000000" w:themeColor="text1"/>
                <w:kern w:val="0"/>
              </w:rPr>
              <w:t>1.18%</w:t>
            </w:r>
          </w:p>
        </w:tc>
        <w:tc>
          <w:tcPr>
            <w:tcW w:w="1199" w:type="dxa"/>
            <w:vAlign w:val="center"/>
          </w:tcPr>
          <w:p w:rsidR="00601A0A" w:rsidRDefault="00BF27A1">
            <w:pPr>
              <w:jc w:val="center"/>
            </w:pPr>
            <w:r>
              <w:rPr>
                <w:rFonts w:asciiTheme="minorEastAsia" w:eastAsiaTheme="minorEastAsia" w:hAnsiTheme="minorEastAsia"/>
                <w:color w:val="000000" w:themeColor="text1"/>
                <w:kern w:val="0"/>
              </w:rPr>
              <w:t>34.36%</w:t>
            </w:r>
          </w:p>
        </w:tc>
        <w:tc>
          <w:tcPr>
            <w:tcW w:w="1204" w:type="dxa"/>
            <w:vAlign w:val="center"/>
          </w:tcPr>
          <w:p w:rsidR="00601A0A" w:rsidRDefault="00BF27A1">
            <w:pPr>
              <w:jc w:val="center"/>
            </w:pPr>
            <w:r>
              <w:rPr>
                <w:rFonts w:asciiTheme="minorEastAsia" w:eastAsiaTheme="minorEastAsia" w:hAnsiTheme="minorEastAsia"/>
                <w:color w:val="000000" w:themeColor="text1"/>
                <w:kern w:val="0"/>
              </w:rPr>
              <w:t>0.43%</w:t>
            </w:r>
          </w:p>
        </w:tc>
      </w:tr>
      <w:tr w:rsidR="00601A0A">
        <w:tc>
          <w:tcPr>
            <w:tcW w:w="1395" w:type="dxa"/>
            <w:vAlign w:val="center"/>
          </w:tcPr>
          <w:p w:rsidR="00601A0A" w:rsidRDefault="00BF27A1">
            <w:pPr>
              <w:jc w:val="left"/>
            </w:pPr>
            <w:r>
              <w:rPr>
                <w:rFonts w:asciiTheme="minorEastAsia" w:eastAsiaTheme="minorEastAsia" w:hAnsiTheme="minorEastAsia"/>
                <w:color w:val="000000" w:themeColor="text1"/>
                <w:kern w:val="0"/>
              </w:rPr>
              <w:lastRenderedPageBreak/>
              <w:t>过去三年</w:t>
            </w:r>
          </w:p>
        </w:tc>
        <w:tc>
          <w:tcPr>
            <w:tcW w:w="1092" w:type="dxa"/>
            <w:vAlign w:val="center"/>
          </w:tcPr>
          <w:p w:rsidR="00601A0A" w:rsidRDefault="00BF27A1">
            <w:pPr>
              <w:jc w:val="center"/>
            </w:pPr>
            <w:r>
              <w:rPr>
                <w:rFonts w:asciiTheme="minorEastAsia" w:eastAsiaTheme="minorEastAsia" w:hAnsiTheme="minorEastAsia"/>
                <w:color w:val="000000" w:themeColor="text1"/>
                <w:kern w:val="0"/>
              </w:rPr>
              <w:t>63.88%</w:t>
            </w:r>
          </w:p>
        </w:tc>
        <w:tc>
          <w:tcPr>
            <w:tcW w:w="1161" w:type="dxa"/>
            <w:vAlign w:val="center"/>
          </w:tcPr>
          <w:p w:rsidR="00601A0A" w:rsidRDefault="00BF27A1">
            <w:pPr>
              <w:jc w:val="center"/>
            </w:pPr>
            <w:r>
              <w:rPr>
                <w:rFonts w:asciiTheme="minorEastAsia" w:eastAsiaTheme="minorEastAsia" w:hAnsiTheme="minorEastAsia"/>
                <w:color w:val="000000" w:themeColor="text1"/>
                <w:kern w:val="0"/>
              </w:rPr>
              <w:t>1.59%</w:t>
            </w:r>
          </w:p>
        </w:tc>
        <w:tc>
          <w:tcPr>
            <w:tcW w:w="1181" w:type="dxa"/>
            <w:vAlign w:val="center"/>
          </w:tcPr>
          <w:p w:rsidR="00601A0A" w:rsidRDefault="00BF27A1">
            <w:pPr>
              <w:jc w:val="center"/>
            </w:pPr>
            <w:r>
              <w:rPr>
                <w:rFonts w:asciiTheme="minorEastAsia" w:eastAsiaTheme="minorEastAsia" w:hAnsiTheme="minorEastAsia"/>
                <w:color w:val="000000" w:themeColor="text1"/>
                <w:kern w:val="0"/>
              </w:rPr>
              <w:t>18.72%</w:t>
            </w:r>
          </w:p>
        </w:tc>
        <w:tc>
          <w:tcPr>
            <w:tcW w:w="1188" w:type="dxa"/>
            <w:vAlign w:val="center"/>
          </w:tcPr>
          <w:p w:rsidR="00601A0A" w:rsidRDefault="00BF27A1">
            <w:pPr>
              <w:jc w:val="center"/>
            </w:pPr>
            <w:r>
              <w:rPr>
                <w:rFonts w:asciiTheme="minorEastAsia" w:eastAsiaTheme="minorEastAsia" w:hAnsiTheme="minorEastAsia"/>
                <w:color w:val="000000" w:themeColor="text1"/>
                <w:kern w:val="0"/>
              </w:rPr>
              <w:t>1.13%</w:t>
            </w:r>
          </w:p>
        </w:tc>
        <w:tc>
          <w:tcPr>
            <w:tcW w:w="1199" w:type="dxa"/>
            <w:vAlign w:val="center"/>
          </w:tcPr>
          <w:p w:rsidR="00601A0A" w:rsidRDefault="00BF27A1">
            <w:pPr>
              <w:jc w:val="center"/>
            </w:pPr>
            <w:r>
              <w:rPr>
                <w:rFonts w:asciiTheme="minorEastAsia" w:eastAsiaTheme="minorEastAsia" w:hAnsiTheme="minorEastAsia"/>
                <w:color w:val="000000" w:themeColor="text1"/>
                <w:kern w:val="0"/>
              </w:rPr>
              <w:t>45.16%</w:t>
            </w:r>
          </w:p>
        </w:tc>
        <w:tc>
          <w:tcPr>
            <w:tcW w:w="1204" w:type="dxa"/>
            <w:vAlign w:val="center"/>
          </w:tcPr>
          <w:p w:rsidR="00601A0A" w:rsidRDefault="00BF27A1">
            <w:pPr>
              <w:jc w:val="center"/>
            </w:pPr>
            <w:r>
              <w:rPr>
                <w:rFonts w:asciiTheme="minorEastAsia" w:eastAsiaTheme="minorEastAsia" w:hAnsiTheme="minorEastAsia"/>
                <w:color w:val="000000" w:themeColor="text1"/>
                <w:kern w:val="0"/>
              </w:rPr>
              <w:t>0.46%</w:t>
            </w:r>
          </w:p>
        </w:tc>
      </w:tr>
      <w:tr w:rsidR="00601A0A">
        <w:tc>
          <w:tcPr>
            <w:tcW w:w="1395" w:type="dxa"/>
            <w:vAlign w:val="center"/>
          </w:tcPr>
          <w:p w:rsidR="00601A0A" w:rsidRDefault="00BF27A1">
            <w:pPr>
              <w:jc w:val="left"/>
            </w:pPr>
            <w:r>
              <w:rPr>
                <w:rFonts w:asciiTheme="minorEastAsia" w:eastAsiaTheme="minorEastAsia" w:hAnsiTheme="minorEastAsia"/>
                <w:color w:val="000000" w:themeColor="text1"/>
                <w:kern w:val="0"/>
              </w:rPr>
              <w:t>过去五年</w:t>
            </w:r>
          </w:p>
        </w:tc>
        <w:tc>
          <w:tcPr>
            <w:tcW w:w="1092" w:type="dxa"/>
            <w:vAlign w:val="center"/>
          </w:tcPr>
          <w:p w:rsidR="00601A0A" w:rsidRDefault="00BF27A1">
            <w:pPr>
              <w:jc w:val="center"/>
            </w:pPr>
            <w:r>
              <w:rPr>
                <w:rFonts w:asciiTheme="minorEastAsia" w:eastAsiaTheme="minorEastAsia" w:hAnsiTheme="minorEastAsia"/>
                <w:color w:val="000000" w:themeColor="text1"/>
                <w:kern w:val="0"/>
              </w:rPr>
              <w:t>89.85%</w:t>
            </w:r>
          </w:p>
        </w:tc>
        <w:tc>
          <w:tcPr>
            <w:tcW w:w="1161" w:type="dxa"/>
            <w:vAlign w:val="center"/>
          </w:tcPr>
          <w:p w:rsidR="00601A0A" w:rsidRDefault="00BF27A1">
            <w:pPr>
              <w:jc w:val="center"/>
            </w:pPr>
            <w:r>
              <w:rPr>
                <w:rFonts w:asciiTheme="minorEastAsia" w:eastAsiaTheme="minorEastAsia" w:hAnsiTheme="minorEastAsia"/>
                <w:color w:val="000000" w:themeColor="text1"/>
                <w:kern w:val="0"/>
              </w:rPr>
              <w:t>1.60%</w:t>
            </w:r>
          </w:p>
        </w:tc>
        <w:tc>
          <w:tcPr>
            <w:tcW w:w="1181" w:type="dxa"/>
            <w:vAlign w:val="center"/>
          </w:tcPr>
          <w:p w:rsidR="00601A0A" w:rsidRDefault="00BF27A1">
            <w:pPr>
              <w:jc w:val="center"/>
            </w:pPr>
            <w:r>
              <w:rPr>
                <w:rFonts w:asciiTheme="minorEastAsia" w:eastAsiaTheme="minorEastAsia" w:hAnsiTheme="minorEastAsia"/>
                <w:color w:val="000000" w:themeColor="text1"/>
                <w:kern w:val="0"/>
              </w:rPr>
              <w:t>39.85%</w:t>
            </w:r>
          </w:p>
        </w:tc>
        <w:tc>
          <w:tcPr>
            <w:tcW w:w="1188" w:type="dxa"/>
            <w:vAlign w:val="center"/>
          </w:tcPr>
          <w:p w:rsidR="00601A0A" w:rsidRDefault="00BF27A1">
            <w:pPr>
              <w:jc w:val="center"/>
            </w:pPr>
            <w:r>
              <w:rPr>
                <w:rFonts w:asciiTheme="minorEastAsia" w:eastAsiaTheme="minorEastAsia" w:hAnsiTheme="minorEastAsia"/>
                <w:color w:val="000000" w:themeColor="text1"/>
                <w:kern w:val="0"/>
              </w:rPr>
              <w:t>1.09%</w:t>
            </w:r>
          </w:p>
        </w:tc>
        <w:tc>
          <w:tcPr>
            <w:tcW w:w="1199" w:type="dxa"/>
            <w:vAlign w:val="center"/>
          </w:tcPr>
          <w:p w:rsidR="00601A0A" w:rsidRDefault="00BF27A1">
            <w:pPr>
              <w:jc w:val="center"/>
            </w:pPr>
            <w:r>
              <w:rPr>
                <w:rFonts w:asciiTheme="minorEastAsia" w:eastAsiaTheme="minorEastAsia" w:hAnsiTheme="minorEastAsia"/>
                <w:color w:val="000000" w:themeColor="text1"/>
                <w:kern w:val="0"/>
              </w:rPr>
              <w:t>50.00%</w:t>
            </w:r>
          </w:p>
        </w:tc>
        <w:tc>
          <w:tcPr>
            <w:tcW w:w="1204" w:type="dxa"/>
            <w:vAlign w:val="center"/>
          </w:tcPr>
          <w:p w:rsidR="00601A0A" w:rsidRDefault="00BF27A1">
            <w:pPr>
              <w:jc w:val="center"/>
            </w:pPr>
            <w:r>
              <w:rPr>
                <w:rFonts w:asciiTheme="minorEastAsia" w:eastAsiaTheme="minorEastAsia" w:hAnsiTheme="minorEastAsia"/>
                <w:color w:val="000000" w:themeColor="text1"/>
                <w:kern w:val="0"/>
              </w:rPr>
              <w:t>0.51%</w:t>
            </w:r>
          </w:p>
        </w:tc>
      </w:tr>
      <w:tr w:rsidR="00601A0A">
        <w:tc>
          <w:tcPr>
            <w:tcW w:w="1395" w:type="dxa"/>
            <w:vAlign w:val="center"/>
          </w:tcPr>
          <w:p w:rsidR="00601A0A" w:rsidRDefault="00BF27A1">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601A0A" w:rsidRDefault="00BF27A1">
            <w:pPr>
              <w:jc w:val="center"/>
            </w:pPr>
            <w:r>
              <w:rPr>
                <w:rFonts w:asciiTheme="minorEastAsia" w:eastAsiaTheme="minorEastAsia" w:hAnsiTheme="minorEastAsia"/>
                <w:color w:val="000000" w:themeColor="text1"/>
                <w:kern w:val="0"/>
              </w:rPr>
              <w:t>251.03%</w:t>
            </w:r>
          </w:p>
        </w:tc>
        <w:tc>
          <w:tcPr>
            <w:tcW w:w="1161" w:type="dxa"/>
            <w:vAlign w:val="center"/>
          </w:tcPr>
          <w:p w:rsidR="00601A0A" w:rsidRDefault="00BF27A1">
            <w:pPr>
              <w:jc w:val="center"/>
            </w:pPr>
            <w:r>
              <w:rPr>
                <w:rFonts w:asciiTheme="minorEastAsia" w:eastAsiaTheme="minorEastAsia" w:hAnsiTheme="minorEastAsia"/>
                <w:color w:val="000000" w:themeColor="text1"/>
                <w:kern w:val="0"/>
              </w:rPr>
              <w:t>1.70%</w:t>
            </w:r>
          </w:p>
        </w:tc>
        <w:tc>
          <w:tcPr>
            <w:tcW w:w="1181" w:type="dxa"/>
            <w:vAlign w:val="center"/>
          </w:tcPr>
          <w:p w:rsidR="00601A0A" w:rsidRDefault="00BF27A1">
            <w:pPr>
              <w:jc w:val="center"/>
            </w:pPr>
            <w:r>
              <w:rPr>
                <w:rFonts w:asciiTheme="minorEastAsia" w:eastAsiaTheme="minorEastAsia" w:hAnsiTheme="minorEastAsia"/>
                <w:color w:val="000000" w:themeColor="text1"/>
                <w:kern w:val="0"/>
              </w:rPr>
              <w:t>79.07%</w:t>
            </w:r>
          </w:p>
        </w:tc>
        <w:tc>
          <w:tcPr>
            <w:tcW w:w="1188" w:type="dxa"/>
            <w:vAlign w:val="center"/>
          </w:tcPr>
          <w:p w:rsidR="00601A0A" w:rsidRDefault="00BF27A1">
            <w:pPr>
              <w:jc w:val="center"/>
            </w:pPr>
            <w:r>
              <w:rPr>
                <w:rFonts w:asciiTheme="minorEastAsia" w:eastAsiaTheme="minorEastAsia" w:hAnsiTheme="minorEastAsia"/>
                <w:color w:val="000000" w:themeColor="text1"/>
                <w:kern w:val="0"/>
              </w:rPr>
              <w:t>1.24%</w:t>
            </w:r>
          </w:p>
        </w:tc>
        <w:tc>
          <w:tcPr>
            <w:tcW w:w="1199" w:type="dxa"/>
            <w:vAlign w:val="center"/>
          </w:tcPr>
          <w:p w:rsidR="00601A0A" w:rsidRDefault="00BF27A1">
            <w:pPr>
              <w:jc w:val="center"/>
            </w:pPr>
            <w:r>
              <w:rPr>
                <w:rFonts w:asciiTheme="minorEastAsia" w:eastAsiaTheme="minorEastAsia" w:hAnsiTheme="minorEastAsia"/>
                <w:color w:val="000000" w:themeColor="text1"/>
                <w:kern w:val="0"/>
              </w:rPr>
              <w:t>171.96%</w:t>
            </w:r>
          </w:p>
        </w:tc>
        <w:tc>
          <w:tcPr>
            <w:tcW w:w="1204" w:type="dxa"/>
            <w:vAlign w:val="center"/>
          </w:tcPr>
          <w:p w:rsidR="00601A0A" w:rsidRDefault="00BF27A1">
            <w:pPr>
              <w:jc w:val="center"/>
            </w:pPr>
            <w:r>
              <w:rPr>
                <w:rFonts w:asciiTheme="minorEastAsia" w:eastAsiaTheme="minorEastAsia" w:hAnsiTheme="minorEastAsia"/>
                <w:color w:val="000000" w:themeColor="text1"/>
                <w:kern w:val="0"/>
              </w:rPr>
              <w:t>0.46%</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上投摩根健康品质生活混合型证券投资基金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2012年2月1日</w:t>
      </w:r>
      <w:r>
        <w:rPr>
          <w:rFonts w:asciiTheme="minorEastAsia" w:eastAsiaTheme="minorEastAsia" w:hAnsiTheme="minorEastAsia" w:hint="eastAsia"/>
          <w:color w:val="000000" w:themeColor="text1"/>
        </w:rPr>
        <w:t>至2020年9月30日)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01A0A" w:rsidRDefault="00BF27A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注：本基金建仓期自</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日，建仓期结束时资产配置比例符合本基金基金合同规定。</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本基金合同生效日为2012年2月1日， 图示时间段为2012年2月1日至2020年9月30日。</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601A0A">
        <w:tc>
          <w:tcPr>
            <w:tcW w:w="851" w:type="dxa"/>
            <w:vAlign w:val="center"/>
          </w:tcPr>
          <w:p w:rsidR="00601A0A" w:rsidRDefault="00BF27A1">
            <w:pPr>
              <w:jc w:val="center"/>
            </w:pPr>
            <w:r>
              <w:rPr>
                <w:rFonts w:asciiTheme="minorEastAsia" w:eastAsiaTheme="minorEastAsia" w:hAnsiTheme="minorEastAsia"/>
                <w:color w:val="000000" w:themeColor="text1"/>
              </w:rPr>
              <w:lastRenderedPageBreak/>
              <w:t>周战海</w:t>
            </w:r>
          </w:p>
        </w:tc>
        <w:tc>
          <w:tcPr>
            <w:tcW w:w="850" w:type="dxa"/>
            <w:vAlign w:val="center"/>
          </w:tcPr>
          <w:p w:rsidR="00601A0A" w:rsidRDefault="00BF27A1">
            <w:pPr>
              <w:jc w:val="center"/>
            </w:pPr>
            <w:r>
              <w:rPr>
                <w:rFonts w:asciiTheme="minorEastAsia" w:eastAsiaTheme="minorEastAsia" w:hAnsiTheme="minorEastAsia"/>
                <w:color w:val="000000" w:themeColor="text1"/>
              </w:rPr>
              <w:t>本基金基金经理</w:t>
            </w:r>
          </w:p>
        </w:tc>
        <w:tc>
          <w:tcPr>
            <w:tcW w:w="1560" w:type="dxa"/>
            <w:vAlign w:val="center"/>
          </w:tcPr>
          <w:p w:rsidR="00601A0A" w:rsidRDefault="00BF27A1">
            <w:pPr>
              <w:jc w:val="center"/>
            </w:pPr>
            <w:r>
              <w:rPr>
                <w:rFonts w:asciiTheme="minorEastAsia" w:eastAsiaTheme="minorEastAsia" w:hAnsiTheme="minorEastAsia"/>
                <w:color w:val="000000" w:themeColor="text1"/>
              </w:rPr>
              <w:t>2018-02-09</w:t>
            </w:r>
          </w:p>
        </w:tc>
        <w:tc>
          <w:tcPr>
            <w:tcW w:w="1559" w:type="dxa"/>
            <w:vAlign w:val="center"/>
          </w:tcPr>
          <w:p w:rsidR="00601A0A" w:rsidRDefault="00BF27A1">
            <w:pPr>
              <w:jc w:val="center"/>
            </w:pPr>
            <w:r>
              <w:rPr>
                <w:rFonts w:asciiTheme="minorEastAsia" w:eastAsiaTheme="minorEastAsia" w:hAnsiTheme="minorEastAsia"/>
                <w:color w:val="000000" w:themeColor="text1"/>
              </w:rPr>
              <w:t>-</w:t>
            </w:r>
          </w:p>
        </w:tc>
        <w:tc>
          <w:tcPr>
            <w:tcW w:w="1417" w:type="dxa"/>
            <w:vAlign w:val="center"/>
          </w:tcPr>
          <w:p w:rsidR="00601A0A" w:rsidRDefault="00BF27A1">
            <w:pPr>
              <w:jc w:val="center"/>
            </w:pPr>
            <w:r>
              <w:rPr>
                <w:rFonts w:asciiTheme="minorEastAsia" w:eastAsiaTheme="minorEastAsia" w:hAnsiTheme="minorEastAsia"/>
                <w:color w:val="000000" w:themeColor="text1"/>
              </w:rPr>
              <w:t>14</w:t>
            </w:r>
            <w:r>
              <w:rPr>
                <w:rFonts w:asciiTheme="minorEastAsia" w:eastAsiaTheme="minorEastAsia" w:hAnsiTheme="minorEastAsia"/>
                <w:color w:val="000000" w:themeColor="text1"/>
              </w:rPr>
              <w:t>年</w:t>
            </w:r>
          </w:p>
        </w:tc>
        <w:tc>
          <w:tcPr>
            <w:tcW w:w="2694" w:type="dxa"/>
            <w:vAlign w:val="center"/>
          </w:tcPr>
          <w:p w:rsidR="00601A0A" w:rsidRDefault="00BF27A1">
            <w:r>
              <w:rPr>
                <w:rFonts w:asciiTheme="minorEastAsia" w:eastAsiaTheme="minorEastAsia" w:hAnsiTheme="minorEastAsia"/>
                <w:color w:val="000000" w:themeColor="text1"/>
              </w:rPr>
              <w:t>周战海先生自</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月在国金证券股份有限公司担任分析师，</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月在太平洋资产管理有限公司担任研究员，</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月起加入上投摩根基金管理有限公司，历任行业专家、基金经理助理、基金经理、高级基金经理。自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月起担任上投摩根文体休闲灵活配置混合型证券投资基金基金经理，自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月起同时担任上投摩根健康品质生活混合型证券投资基金基金经理。</w:t>
            </w:r>
          </w:p>
        </w:tc>
      </w:tr>
    </w:tbl>
    <w:p w:rsidR="00601A0A" w:rsidRDefault="00BF27A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健康品质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w:t>
      </w:r>
      <w:r>
        <w:rPr>
          <w:rFonts w:asciiTheme="minorEastAsia" w:eastAsiaTheme="minorEastAsia" w:hAnsiTheme="minorEastAsia"/>
          <w:color w:val="000000" w:themeColor="text1"/>
        </w:rPr>
        <w:t>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w:t>
      </w:r>
      <w:r>
        <w:rPr>
          <w:rFonts w:asciiTheme="minorEastAsia" w:eastAsiaTheme="minorEastAsia" w:hAnsiTheme="minorEastAsia"/>
          <w:color w:val="000000" w:themeColor="text1"/>
        </w:rPr>
        <w:lastRenderedPageBreak/>
        <w:t>资活动，本公司通过对手库</w:t>
      </w:r>
      <w:r>
        <w:rPr>
          <w:rFonts w:asciiTheme="minorEastAsia" w:eastAsiaTheme="minorEastAsia" w:hAnsiTheme="minorEastAsia"/>
          <w:color w:val="000000" w:themeColor="text1"/>
        </w:rPr>
        <w:t>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年三季度以来国内经济持续复苏上行成为最大亮点，国内需求处于明显的复苏通道中，经济数据持续好转，流动性继续渐进式宽松，风险偏好在波折中提升，美国经济数据也开始好转，</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股整体表现较好，沪深</w:t>
      </w:r>
      <w:r>
        <w:rPr>
          <w:rFonts w:asciiTheme="minorEastAsia" w:eastAsiaTheme="minorEastAsia" w:hAnsiTheme="minorEastAsia"/>
          <w:color w:val="000000" w:themeColor="text1"/>
        </w:rPr>
        <w:t>300</w:t>
      </w:r>
      <w:r>
        <w:rPr>
          <w:rFonts w:asciiTheme="minorEastAsia" w:eastAsiaTheme="minorEastAsia" w:hAnsiTheme="minorEastAsia"/>
          <w:color w:val="000000" w:themeColor="text1"/>
        </w:rPr>
        <w:t>涨幅达到</w:t>
      </w:r>
      <w:r>
        <w:rPr>
          <w:rFonts w:asciiTheme="minorEastAsia" w:eastAsiaTheme="minorEastAsia" w:hAnsiTheme="minorEastAsia"/>
          <w:color w:val="000000" w:themeColor="text1"/>
        </w:rPr>
        <w:t>10.17%</w:t>
      </w:r>
      <w:r>
        <w:rPr>
          <w:rFonts w:asciiTheme="minorEastAsia" w:eastAsiaTheme="minorEastAsia" w:hAnsiTheme="minorEastAsia"/>
          <w:color w:val="000000" w:themeColor="text1"/>
        </w:rPr>
        <w:t>，创业板指数上涨</w:t>
      </w:r>
      <w:r>
        <w:rPr>
          <w:rFonts w:asciiTheme="minorEastAsia" w:eastAsiaTheme="minorEastAsia" w:hAnsiTheme="minorEastAsia"/>
          <w:color w:val="000000" w:themeColor="text1"/>
        </w:rPr>
        <w:t>5.60%</w:t>
      </w:r>
      <w:r>
        <w:rPr>
          <w:rFonts w:asciiTheme="minorEastAsia" w:eastAsiaTheme="minorEastAsia" w:hAnsiTheme="minorEastAsia"/>
          <w:color w:val="000000" w:themeColor="text1"/>
        </w:rPr>
        <w:t>。以申万行业分类统计来看，休闲服务，国防军工、电气设备、汽车、非银行金融等行业表现相对突出；通信、计算机、商业贸易、传媒、农林牧渔表现相对落后。三季度创业板注册制顺利落地，涨跌幅放开到</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，国内资本市场改革更进一步，市场交投更加活跃。本基金严格按照契约要求，始终坚持</w:t>
      </w:r>
      <w:r>
        <w:rPr>
          <w:rFonts w:asciiTheme="minorEastAsia" w:eastAsiaTheme="minorEastAsia" w:hAnsiTheme="minorEastAsia"/>
          <w:color w:val="000000" w:themeColor="text1"/>
        </w:rPr>
        <w:t>价值投资思路，重点投资了医药和食品饮料等高景气消费行业中的龙头公司。报告期内，本基金业绩表现较好，净值持续增长。</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展望2020年四季度, 我们谨慎乐观，国内经济有望继续修复，一方面企业盈利改善，另一方面货币政策灵活适度。我们认为，权益市场短期较难呈现估值的显著抬升，而对上市公司盈利的关注进一步扩大，业绩增长将成为市场的主要驱动因素。目前疫情对国内市场影响不大。风险因素方面美国大选结果可能对全球资本市场产生一些影响。整体来看A股市场的估值不贵，A股市场没有呈现较大的系统性风险，预期市场仍会继续呈现较为明显的结构性行情。关注十四五规划出台可能在产业规划方面提振不少行业的中长期景气度，带来主题性投资机会。我们依然认为消费和科技领域增长空间较大，我们继续坚定看好消费这一投资主线，继续看好创新药等医疗领域子行业以及部分消费行业龙头公司。未来我们将继续严格按照基金契约的要求重点投资健康消费相关行业中具有相对估值优势、增长前景确定的高成</w:t>
      </w:r>
      <w:r>
        <w:rPr>
          <w:rFonts w:asciiTheme="minorEastAsia" w:eastAsiaTheme="minorEastAsia" w:hAnsiTheme="minorEastAsia"/>
          <w:color w:val="000000" w:themeColor="text1"/>
        </w:rPr>
        <w:lastRenderedPageBreak/>
        <w:t>长龙头公司。我们将加强对上市公司基本面的研究力度，筛选出竞争力持续提升的优秀公司，力争为持有人创造较好回报。</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本报告期上投摩根健康品质生活混合份额净值增长率为:6.63%，同期业绩比较基准收益率为:8.69%。</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81,206,406.01</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90.24</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81,206,406.01</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90.24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8,746,495.02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9.72</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35,854.95</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89,988,755.98</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lastRenderedPageBreak/>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66,330,140.39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74.17</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7,540.00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2,712,398.79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3.03</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12,325.00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494,355.80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585,931.00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0.66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5,105,326.00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5.71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3,161,424.00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3.53</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4,623.00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2,787,577.15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4,764.88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81,206,406.01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90.80</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1</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000858</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五</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粮</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液</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35,655</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7,879,755.00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8.81</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2</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000568</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泸州老窖</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50,048</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7,184,390.40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8.03</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3</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002821</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凯莱英</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21,830</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5,751,986.70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6.43</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4</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601689</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拓普集团</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140,271</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5,610,840.00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6.27</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5</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601888</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中国中免</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22,900</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5,105,326.00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5.71</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6</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002126</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银轮股份</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402,325</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5,021,016.00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5.61</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lastRenderedPageBreak/>
              <w:t>7</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300122</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智飞生物</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26,880</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3,744,652.80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4.19</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8</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002157</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正邦科技</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189,173</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3,439,165.14</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3.85</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9</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600809</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山西汾酒</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15,400</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3,052,126.00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3.41</w:t>
            </w:r>
          </w:p>
        </w:tc>
      </w:tr>
      <w:tr w:rsidR="00601A0A">
        <w:tc>
          <w:tcPr>
            <w:tcW w:w="817" w:type="dxa"/>
            <w:vAlign w:val="center"/>
          </w:tcPr>
          <w:p w:rsidR="00601A0A" w:rsidRDefault="00BF27A1">
            <w:pPr>
              <w:jc w:val="center"/>
            </w:pPr>
            <w:r>
              <w:rPr>
                <w:rFonts w:asciiTheme="minorEastAsia" w:eastAsiaTheme="minorEastAsia" w:hAnsiTheme="minorEastAsia" w:cs="宋体"/>
                <w:color w:val="000000" w:themeColor="text1"/>
                <w:kern w:val="0"/>
              </w:rPr>
              <w:t>10</w:t>
            </w:r>
          </w:p>
        </w:tc>
        <w:tc>
          <w:tcPr>
            <w:tcW w:w="1276" w:type="dxa"/>
            <w:vAlign w:val="center"/>
          </w:tcPr>
          <w:p w:rsidR="00601A0A" w:rsidRDefault="00BF27A1">
            <w:pPr>
              <w:jc w:val="center"/>
            </w:pPr>
            <w:r>
              <w:rPr>
                <w:rFonts w:asciiTheme="minorEastAsia" w:eastAsiaTheme="minorEastAsia" w:hAnsiTheme="minorEastAsia" w:cs="宋体"/>
                <w:color w:val="000000" w:themeColor="text1"/>
                <w:kern w:val="0"/>
              </w:rPr>
              <w:t>600519</w:t>
            </w:r>
          </w:p>
        </w:tc>
        <w:tc>
          <w:tcPr>
            <w:tcW w:w="1701" w:type="dxa"/>
            <w:vAlign w:val="center"/>
          </w:tcPr>
          <w:p w:rsidR="00601A0A" w:rsidRDefault="00BF27A1">
            <w:pPr>
              <w:jc w:val="center"/>
            </w:pPr>
            <w:r>
              <w:rPr>
                <w:rFonts w:asciiTheme="minorEastAsia" w:eastAsiaTheme="minorEastAsia" w:hAnsiTheme="minorEastAsia" w:cs="宋体"/>
                <w:color w:val="000000" w:themeColor="text1"/>
                <w:kern w:val="0"/>
              </w:rPr>
              <w:t>贵州茅台</w:t>
            </w:r>
          </w:p>
        </w:tc>
        <w:tc>
          <w:tcPr>
            <w:tcW w:w="1276" w:type="dxa"/>
            <w:vAlign w:val="center"/>
          </w:tcPr>
          <w:p w:rsidR="00601A0A" w:rsidRDefault="00BF27A1">
            <w:pPr>
              <w:jc w:val="right"/>
            </w:pPr>
            <w:r>
              <w:rPr>
                <w:rFonts w:asciiTheme="minorEastAsia" w:eastAsiaTheme="minorEastAsia" w:hAnsiTheme="minorEastAsia" w:cs="宋体"/>
                <w:color w:val="000000" w:themeColor="text1"/>
                <w:kern w:val="0"/>
              </w:rPr>
              <w:t>1,674</w:t>
            </w:r>
          </w:p>
        </w:tc>
        <w:tc>
          <w:tcPr>
            <w:tcW w:w="1842" w:type="dxa"/>
            <w:vAlign w:val="center"/>
          </w:tcPr>
          <w:p w:rsidR="00601A0A" w:rsidRDefault="00BF27A1">
            <w:pPr>
              <w:jc w:val="right"/>
            </w:pPr>
            <w:r>
              <w:rPr>
                <w:rFonts w:asciiTheme="minorEastAsia" w:eastAsiaTheme="minorEastAsia" w:hAnsiTheme="minorEastAsia" w:cs="宋体"/>
                <w:color w:val="000000" w:themeColor="text1"/>
                <w:kern w:val="0"/>
              </w:rPr>
              <w:t>2,793,069.00</w:t>
            </w:r>
          </w:p>
        </w:tc>
        <w:tc>
          <w:tcPr>
            <w:tcW w:w="1616" w:type="dxa"/>
            <w:vAlign w:val="center"/>
          </w:tcPr>
          <w:p w:rsidR="00601A0A" w:rsidRDefault="00BF27A1">
            <w:pPr>
              <w:jc w:val="right"/>
            </w:pPr>
            <w:r>
              <w:rPr>
                <w:rFonts w:asciiTheme="minorEastAsia" w:eastAsiaTheme="minorEastAsia" w:hAnsiTheme="minorEastAsia" w:cs="宋体"/>
                <w:color w:val="000000" w:themeColor="text1"/>
                <w:kern w:val="0"/>
              </w:rPr>
              <w:t>3.12</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w:t>
      </w:r>
      <w:r>
        <w:rPr>
          <w:rFonts w:asciiTheme="minorEastAsia" w:eastAsiaTheme="minorEastAsia" w:hAnsiTheme="minorEastAsia"/>
          <w:color w:val="000000" w:themeColor="text1"/>
          <w:sz w:val="24"/>
          <w:szCs w:val="24"/>
        </w:rPr>
        <w:lastRenderedPageBreak/>
        <w:t>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27,772.95</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926.86</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7,155.14</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35,854.95</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31,947,630.63</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3,137,993.02</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9,607,726.45</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25,477,897.20</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、中国证监会批准上投摩根健康品质生活混合型证券投资基金设立的文件；</w:t>
      </w:r>
      <w:r>
        <w:rPr>
          <w:rFonts w:asciiTheme="minorEastAsia" w:eastAsiaTheme="minorEastAsia" w:hAnsiTheme="minorEastAsia" w:hint="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、《上投摩根健康品质生活混合型证券投资基金基金合同》；</w:t>
      </w:r>
      <w:r>
        <w:rPr>
          <w:rFonts w:asciiTheme="minorEastAsia" w:eastAsiaTheme="minorEastAsia" w:hAnsiTheme="minorEastAsia" w:hint="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、《上投摩根健康品质生活混合型证券投资基金托管协议》；</w:t>
      </w:r>
      <w:r>
        <w:rPr>
          <w:rFonts w:asciiTheme="minorEastAsia" w:eastAsiaTheme="minorEastAsia" w:hAnsiTheme="minorEastAsia" w:hint="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、《上投摩根开放式基金业务规则》；</w:t>
      </w:r>
      <w:r>
        <w:rPr>
          <w:rFonts w:asciiTheme="minorEastAsia" w:eastAsiaTheme="minorEastAsia" w:hAnsiTheme="minorEastAsia" w:hint="eastAsia"/>
          <w:color w:val="000000" w:themeColor="text1"/>
        </w:rPr>
        <w:t xml:space="preserve"> </w:t>
      </w:r>
    </w:p>
    <w:p w:rsidR="00601A0A" w:rsidRDefault="00BF27A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r>
        <w:rPr>
          <w:rFonts w:asciiTheme="minorEastAsia" w:eastAsiaTheme="minorEastAsia" w:hAnsiTheme="minorEastAsia" w:hint="eastAsia"/>
          <w:color w:val="000000" w:themeColor="text1"/>
        </w:rPr>
        <w:t xml:space="preserve"> </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6、基金托管人业务资格批件和营业执照。</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lastRenderedPageBreak/>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二〇二〇年十月二十八日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F27A1" w:rsidRPr="00BF27A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F27A1">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上投摩根健康品质生活混合型证券投资基金</w:t>
    </w:r>
    <w:r>
      <w:rPr>
        <w:rFonts w:hint="eastAsia"/>
      </w:rPr>
      <w:t>2020</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1A0A"/>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27A1"/>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AC37F-F3FA-4AE6-942C-D36E6695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267</cp:revision>
  <dcterms:created xsi:type="dcterms:W3CDTF">2012-10-16T06:07:00Z</dcterms:created>
  <dcterms:modified xsi:type="dcterms:W3CDTF">2020-10-27T08:03:00Z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