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76EB2" w:rsidRDefault="00476EB2">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76EB2" w:rsidRDefault="00476EB2">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76EB2" w:rsidRDefault="00476EB2">
      <w:pPr>
        <w:spacing w:line="360" w:lineRule="auto"/>
        <w:jc w:val="center"/>
        <w:rPr>
          <w:rFonts w:hint="eastAsia"/>
        </w:rPr>
      </w:pPr>
      <w:r>
        <w:rPr>
          <w:rFonts w:ascii="宋体" w:hAnsi="宋体" w:hint="eastAsia"/>
          <w:b/>
          <w:bCs/>
          <w:color w:val="000000" w:themeColor="text1"/>
          <w:sz w:val="48"/>
          <w:szCs w:val="30"/>
        </w:rPr>
        <w:t>摩根内需动力混合型证券投资基金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76EB2" w:rsidRDefault="00476EB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76EB2" w:rsidRDefault="00476EB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76EB2" w:rsidRDefault="00476EB2">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76EB2" w:rsidRDefault="00476EB2">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476EB2" w:rsidRDefault="00476EB2">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76EB2" w:rsidRDefault="00476EB2">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76EB2" w:rsidRDefault="00476EB2">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76EB2" w:rsidRDefault="00476EB2">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663"/>
        <w:gridCol w:w="2494"/>
      </w:tblGrid>
      <w:tr w:rsidR="00000000">
        <w:trPr>
          <w:divId w:val="187727931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76EB2" w:rsidRDefault="00476EB2">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szCs w:val="24"/>
                <w:lang w:eastAsia="zh-Hans"/>
              </w:rPr>
              <w:t>摩根内需动力混</w:t>
            </w:r>
            <w:r>
              <w:rPr>
                <w:rFonts w:ascii="宋体" w:hAnsi="宋体" w:hint="eastAsia"/>
                <w:szCs w:val="24"/>
                <w:lang w:eastAsia="zh-Hans"/>
              </w:rPr>
              <w:t>合</w:t>
            </w:r>
            <w:r>
              <w:rPr>
                <w:rFonts w:ascii="宋体" w:hAnsi="宋体" w:hint="eastAsia"/>
                <w:lang w:eastAsia="zh-Hans"/>
              </w:rPr>
              <w:t xml:space="preserve"> </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37702</w:t>
            </w:r>
            <w:r>
              <w:rPr>
                <w:rFonts w:ascii="宋体" w:hAnsi="宋体" w:hint="eastAsia"/>
                <w:lang w:eastAsia="zh-Hans"/>
              </w:rPr>
              <w:t>0</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契约型开放</w:t>
            </w:r>
            <w:r>
              <w:rPr>
                <w:rFonts w:ascii="宋体" w:hAnsi="宋体" w:hint="eastAsia"/>
                <w:lang w:eastAsia="zh-Hans"/>
              </w:rPr>
              <w:t>式</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2007</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1,943,997,930.0</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本基金重点投资于内需增长背景下具有竞争优势的上市公司，把握中国经济和行业快速增长带来的投资机会，追求基金资产长期稳定增值</w:t>
            </w:r>
            <w:r>
              <w:rPr>
                <w:rFonts w:ascii="宋体" w:hAnsi="宋体" w:hint="eastAsia"/>
                <w:lang w:eastAsia="zh-Hans"/>
              </w:rPr>
              <w:t>。</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w:t>
            </w:r>
            <w:r>
              <w:rPr>
                <w:rFonts w:ascii="宋体" w:hAnsi="宋体" w:hint="eastAsia"/>
                <w:lang w:eastAsia="zh-Hans"/>
              </w:rPr>
              <w:t>1</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在投资组合构建和管理的过程中，本基金将采取“自上而下”与“自下而上”相结合的方法。基金管理人在内需驱动行业分析的基础上，选择具有可持续增长前景的优势上市公司股票，以合理价格买入并进行中长期投资。</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本基金以股票投资为主，一般市场情况下，基金管理人不会积极追求大类资产配置，但为进一步控制投资风险，优化组合流动性管理，本基金将适度防御性资产配置，进行债券、货币市场工具等品种投资。</w:t>
            </w:r>
            <w:r>
              <w:rPr>
                <w:rFonts w:ascii="宋体" w:hAnsi="宋体" w:hint="eastAsia"/>
                <w:lang w:eastAsia="zh-Hans"/>
              </w:rPr>
              <w:br/>
            </w:r>
            <w:r>
              <w:rPr>
                <w:rFonts w:ascii="宋体" w:hAnsi="宋体" w:hint="eastAsia"/>
                <w:lang w:eastAsia="zh-Hans"/>
              </w:rPr>
              <w:t>在券种选择上，本基金以中长期利率趋势分析为基础，结合经济趋势、货币政策及不同债券品种的收益率水平、流动性和信用风险等因素，重点选择那些流动性较好、风险水平合理、到期收益率与信用质量相对较高的债券品种。</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）存托凭证投资策略</w:t>
            </w:r>
            <w:r>
              <w:rPr>
                <w:rFonts w:ascii="宋体" w:hAnsi="宋体" w:hint="eastAsia"/>
                <w:lang w:eastAsia="zh-Hans"/>
              </w:rPr>
              <w:br/>
            </w:r>
            <w:r>
              <w:rPr>
                <w:rFonts w:ascii="宋体" w:hAnsi="宋体" w:hint="eastAsia"/>
                <w:lang w:eastAsia="zh-Hans"/>
              </w:rPr>
              <w:t>本基金将根据本基金的投资目标和股票投资策略，基于对基础证券投资价值的深入研究判断，进行存托凭证的投资</w:t>
            </w:r>
            <w:r>
              <w:rPr>
                <w:rFonts w:ascii="宋体" w:hAnsi="宋体" w:hint="eastAsia"/>
                <w:lang w:eastAsia="zh-Hans"/>
              </w:rPr>
              <w:t>。</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＋上证国债指数收益率×</w:t>
            </w:r>
            <w:r>
              <w:rPr>
                <w:rFonts w:ascii="宋体" w:hAnsi="宋体" w:hint="eastAsia"/>
                <w:lang w:eastAsia="zh-Hans"/>
              </w:rPr>
              <w:t>20</w:t>
            </w:r>
            <w:r>
              <w:rPr>
                <w:rFonts w:ascii="宋体" w:hAnsi="宋体" w:hint="eastAsia"/>
                <w:lang w:eastAsia="zh-Hans"/>
              </w:rPr>
              <w:t>％</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本基金是一只混合型基金，其预期风险和预期收益低于股票型基金、高于债券型基金和货币市场基金，属于较高风险、较高预期收益的基金产品。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87727931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187727931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lang w:eastAsia="zh-Hans"/>
              </w:rPr>
              <w:t>摩根内需动力混合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lang w:eastAsia="zh-Hans"/>
              </w:rPr>
              <w:t>摩根内需动力混合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87727931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lang w:eastAsia="zh-Hans"/>
              </w:rPr>
              <w:t>37702</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lang w:eastAsia="zh-Hans"/>
              </w:rPr>
              <w:t>01640</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187727931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76EB2" w:rsidRDefault="00476EB2">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lang w:eastAsia="zh-Hans"/>
              </w:rPr>
              <w:t>1,924,060,164.5</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lang w:eastAsia="zh-Hans"/>
              </w:rPr>
              <w:t>19,937,765.4</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476EB2" w:rsidRDefault="00476EB2">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76EB2" w:rsidRDefault="00476EB2">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76EB2" w:rsidRDefault="00476EB2">
      <w:pPr>
        <w:jc w:val="right"/>
        <w:divId w:val="6396431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6396431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76EB2" w:rsidRDefault="00476EB2">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76EB2" w:rsidRDefault="00476EB2">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6396431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6EB2" w:rsidRDefault="00476EB2">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76EB2" w:rsidRDefault="00476EB2">
            <w:pPr>
              <w:jc w:val="center"/>
              <w:rPr>
                <w:rFonts w:hint="eastAsia"/>
              </w:rPr>
            </w:pPr>
            <w:r>
              <w:rPr>
                <w:rFonts w:ascii="宋体" w:hAnsi="宋体" w:hint="eastAsia"/>
                <w:szCs w:val="24"/>
                <w:lang w:eastAsia="zh-Hans"/>
              </w:rPr>
              <w:t>摩根内需动力混合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76EB2" w:rsidRDefault="00476EB2">
            <w:pPr>
              <w:jc w:val="center"/>
            </w:pPr>
            <w:r>
              <w:rPr>
                <w:rFonts w:ascii="宋体" w:hAnsi="宋体" w:hint="eastAsia"/>
                <w:szCs w:val="24"/>
                <w:lang w:eastAsia="zh-Hans"/>
              </w:rPr>
              <w:t>摩根内需动力混合</w:t>
            </w:r>
            <w:r>
              <w:rPr>
                <w:rFonts w:ascii="宋体" w:hAnsi="宋体" w:hint="eastAsia"/>
                <w:szCs w:val="24"/>
                <w:lang w:eastAsia="zh-Hans"/>
              </w:rPr>
              <w:t>C</w:t>
            </w:r>
          </w:p>
        </w:tc>
      </w:tr>
      <w:tr w:rsidR="00000000">
        <w:trPr>
          <w:divId w:val="6396431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rPr>
                <w:rFonts w:hint="eastAsia"/>
              </w:rPr>
            </w:pPr>
            <w:r>
              <w:rPr>
                <w:rFonts w:ascii="宋体" w:hAnsi="宋体" w:hint="eastAsia"/>
                <w:szCs w:val="24"/>
                <w:lang w:eastAsia="zh-Hans"/>
              </w:rPr>
              <w:t>137,934,728.6</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pPr>
            <w:r>
              <w:rPr>
                <w:rFonts w:ascii="宋体" w:hAnsi="宋体" w:hint="eastAsia"/>
                <w:szCs w:val="24"/>
                <w:lang w:eastAsia="zh-Hans"/>
              </w:rPr>
              <w:t>1,287,407.2</w:t>
            </w:r>
            <w:r>
              <w:rPr>
                <w:rFonts w:ascii="宋体" w:hAnsi="宋体" w:hint="eastAsia"/>
                <w:szCs w:val="24"/>
                <w:lang w:eastAsia="zh-Hans"/>
              </w:rPr>
              <w:t>8</w:t>
            </w:r>
          </w:p>
        </w:tc>
      </w:tr>
      <w:tr w:rsidR="00000000">
        <w:trPr>
          <w:divId w:val="6396431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rPr>
                <w:rFonts w:hint="eastAsia"/>
              </w:rPr>
            </w:pPr>
            <w:r>
              <w:rPr>
                <w:rFonts w:ascii="宋体" w:hAnsi="宋体" w:hint="eastAsia"/>
                <w:szCs w:val="24"/>
                <w:lang w:eastAsia="zh-Hans"/>
              </w:rPr>
              <w:t>35,618,069.7</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pPr>
            <w:r>
              <w:rPr>
                <w:rFonts w:ascii="宋体" w:hAnsi="宋体" w:hint="eastAsia"/>
                <w:szCs w:val="24"/>
                <w:lang w:eastAsia="zh-Hans"/>
              </w:rPr>
              <w:t>335,662.3</w:t>
            </w:r>
            <w:r>
              <w:rPr>
                <w:rFonts w:ascii="宋体" w:hAnsi="宋体" w:hint="eastAsia"/>
                <w:szCs w:val="24"/>
                <w:lang w:eastAsia="zh-Hans"/>
              </w:rPr>
              <w:t>5</w:t>
            </w:r>
          </w:p>
        </w:tc>
      </w:tr>
      <w:tr w:rsidR="00000000">
        <w:trPr>
          <w:divId w:val="6396431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rPr>
                <w:rFonts w:hint="eastAsia"/>
              </w:rPr>
            </w:pPr>
            <w:r>
              <w:rPr>
                <w:rFonts w:ascii="宋体" w:hAnsi="宋体" w:hint="eastAsia"/>
                <w:szCs w:val="24"/>
                <w:lang w:eastAsia="zh-Hans"/>
              </w:rPr>
              <w:t>0.017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pPr>
            <w:r>
              <w:rPr>
                <w:rFonts w:ascii="宋体" w:hAnsi="宋体" w:hint="eastAsia"/>
                <w:szCs w:val="24"/>
                <w:lang w:eastAsia="zh-Hans"/>
              </w:rPr>
              <w:t>0.017</w:t>
            </w:r>
            <w:r>
              <w:rPr>
                <w:rFonts w:ascii="宋体" w:hAnsi="宋体" w:hint="eastAsia"/>
                <w:szCs w:val="24"/>
                <w:lang w:eastAsia="zh-Hans"/>
              </w:rPr>
              <w:t>1</w:t>
            </w:r>
          </w:p>
        </w:tc>
      </w:tr>
      <w:tr w:rsidR="00000000">
        <w:trPr>
          <w:divId w:val="6396431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rPr>
                <w:rFonts w:hint="eastAsia"/>
              </w:rPr>
            </w:pPr>
            <w:r>
              <w:rPr>
                <w:rFonts w:ascii="宋体" w:hAnsi="宋体" w:hint="eastAsia"/>
                <w:szCs w:val="24"/>
                <w:lang w:eastAsia="zh-Hans"/>
              </w:rPr>
              <w:t>1,659,487,407.6</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pPr>
            <w:r>
              <w:rPr>
                <w:rFonts w:ascii="宋体" w:hAnsi="宋体" w:hint="eastAsia"/>
                <w:szCs w:val="24"/>
                <w:lang w:eastAsia="zh-Hans"/>
              </w:rPr>
              <w:t>16,877,499.9</w:t>
            </w:r>
            <w:r>
              <w:rPr>
                <w:rFonts w:ascii="宋体" w:hAnsi="宋体" w:hint="eastAsia"/>
                <w:szCs w:val="24"/>
                <w:lang w:eastAsia="zh-Hans"/>
              </w:rPr>
              <w:t>3</w:t>
            </w:r>
          </w:p>
        </w:tc>
      </w:tr>
      <w:tr w:rsidR="00000000">
        <w:trPr>
          <w:divId w:val="6396431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rPr>
                <w:rFonts w:hint="eastAsia"/>
              </w:rPr>
            </w:pPr>
            <w:r>
              <w:rPr>
                <w:rFonts w:ascii="宋体" w:hAnsi="宋体" w:hint="eastAsia"/>
                <w:szCs w:val="24"/>
                <w:lang w:eastAsia="zh-Hans"/>
              </w:rPr>
              <w:t>0.862</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76EB2" w:rsidRDefault="00476EB2">
            <w:pPr>
              <w:jc w:val="right"/>
            </w:pPr>
            <w:r>
              <w:rPr>
                <w:rFonts w:ascii="宋体" w:hAnsi="宋体" w:hint="eastAsia"/>
                <w:szCs w:val="24"/>
                <w:lang w:eastAsia="zh-Hans"/>
              </w:rPr>
              <w:t>0.846</w:t>
            </w:r>
            <w:r>
              <w:rPr>
                <w:rFonts w:ascii="宋体" w:hAnsi="宋体" w:hint="eastAsia"/>
                <w:szCs w:val="24"/>
                <w:lang w:eastAsia="zh-Hans"/>
              </w:rPr>
              <w:t>5</w:t>
            </w:r>
          </w:p>
        </w:tc>
      </w:tr>
    </w:tbl>
    <w:p w:rsidR="00476EB2" w:rsidRDefault="00476EB2">
      <w:pPr>
        <w:wordWrap w:val="0"/>
        <w:spacing w:line="360" w:lineRule="auto"/>
        <w:jc w:val="left"/>
        <w:divId w:val="1607540309"/>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76EB2" w:rsidRDefault="00476EB2">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76EB2" w:rsidRDefault="00476EB2">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76EB2" w:rsidRDefault="00476EB2">
      <w:pPr>
        <w:spacing w:line="360" w:lineRule="auto"/>
        <w:jc w:val="center"/>
        <w:divId w:val="521165502"/>
        <w:rPr>
          <w:rFonts w:hint="eastAsia"/>
        </w:rPr>
      </w:pPr>
      <w:r>
        <w:rPr>
          <w:rFonts w:ascii="宋体" w:hAnsi="宋体" w:hint="eastAsia"/>
        </w:rPr>
        <w:t>摩根内需动力混合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2116550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②－④</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9.7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-7.9</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6.3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-5.4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39.6</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21.4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18.1</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7.4</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26.1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-18.7</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0.5</w:t>
            </w:r>
            <w:r>
              <w:rPr>
                <w:rFonts w:ascii="宋体" w:hAnsi="宋体" w:hint="eastAsia"/>
              </w:rPr>
              <w:t>3</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-39.8</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-40.5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58.2</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30.4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27.8</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36.4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1.5</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55.2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-18.7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r>
      <w:tr w:rsidR="00000000">
        <w:trPr>
          <w:divId w:val="52116550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136.1</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66.3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69.7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0.4</w:t>
            </w:r>
            <w:r>
              <w:rPr>
                <w:rFonts w:ascii="宋体" w:hAnsi="宋体" w:hint="eastAsia"/>
              </w:rPr>
              <w:t>3</w:t>
            </w:r>
            <w:r>
              <w:rPr>
                <w:rFonts w:ascii="宋体" w:hAnsi="宋体" w:hint="eastAsia"/>
              </w:rPr>
              <w:t xml:space="preserve">% </w:t>
            </w:r>
          </w:p>
        </w:tc>
      </w:tr>
    </w:tbl>
    <w:p w:rsidR="00476EB2" w:rsidRDefault="00476EB2">
      <w:pPr>
        <w:spacing w:line="360" w:lineRule="auto"/>
        <w:jc w:val="center"/>
        <w:divId w:val="1578203701"/>
      </w:pPr>
      <w:r>
        <w:rPr>
          <w:rFonts w:ascii="宋体" w:hAnsi="宋体" w:hint="eastAsia"/>
        </w:rPr>
        <w:t>摩根内需动力混合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7820370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782037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1.6</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9.7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-8.0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5782037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6.3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-5.6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5782037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38.9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21.4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17.5</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5782037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5.8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26.1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-20.3</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0.5</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782037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-27.6</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18.4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76EB2" w:rsidRDefault="00476EB2">
            <w:pPr>
              <w:spacing w:line="360" w:lineRule="auto"/>
              <w:jc w:val="right"/>
            </w:pPr>
            <w:r>
              <w:rPr>
                <w:rFonts w:ascii="宋体" w:hAnsi="宋体" w:hint="eastAsia"/>
              </w:rPr>
              <w:t>-46.1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spacing w:line="360" w:lineRule="auto"/>
              <w:jc w:val="right"/>
            </w:pPr>
            <w:r>
              <w:rPr>
                <w:rFonts w:ascii="宋体" w:hAnsi="宋体" w:hint="eastAsia"/>
              </w:rPr>
              <w:t>0.5</w:t>
            </w:r>
            <w:r>
              <w:rPr>
                <w:rFonts w:ascii="宋体" w:hAnsi="宋体" w:hint="eastAsia"/>
              </w:rPr>
              <w:t>9</w:t>
            </w:r>
            <w:r>
              <w:rPr>
                <w:rFonts w:ascii="宋体" w:hAnsi="宋体" w:hint="eastAsia"/>
              </w:rPr>
              <w:t>%</w:t>
            </w:r>
            <w:r>
              <w:rPr>
                <w:rFonts w:ascii="宋体" w:hAnsi="宋体" w:hint="eastAsia"/>
              </w:rPr>
              <w:t xml:space="preserve"> </w:t>
            </w:r>
          </w:p>
        </w:tc>
      </w:tr>
    </w:tbl>
    <w:p w:rsidR="00476EB2" w:rsidRDefault="00476EB2">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76EB2" w:rsidRDefault="00476EB2">
      <w:pPr>
        <w:spacing w:line="360" w:lineRule="auto"/>
        <w:jc w:val="left"/>
        <w:divId w:val="524976046"/>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76EB2" w:rsidRDefault="00476EB2">
      <w:pPr>
        <w:spacing w:line="360" w:lineRule="auto"/>
        <w:jc w:val="left"/>
        <w:divId w:val="176075706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76EB2" w:rsidRDefault="00476EB2">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2007</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76EB2" w:rsidRDefault="00476EB2">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76EB2" w:rsidRDefault="00476EB2">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3555023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3555023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6EB2" w:rsidRDefault="00476EB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6EB2" w:rsidRDefault="00476EB2">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6EB2" w:rsidRDefault="00476EB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6EB2" w:rsidRDefault="00476EB2">
            <w:pPr>
              <w:widowControl/>
              <w:jc w:val="left"/>
            </w:pPr>
          </w:p>
        </w:tc>
      </w:tr>
      <w:tr w:rsidR="00000000">
        <w:trPr>
          <w:divId w:val="23555023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王</w:t>
            </w:r>
            <w:r>
              <w:rPr>
                <w:rFonts w:ascii="宋体" w:hAnsi="宋体" w:hint="eastAsia"/>
                <w:szCs w:val="24"/>
                <w:lang w:eastAsia="zh-Hans"/>
              </w:rPr>
              <w:t>睿</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17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szCs w:val="24"/>
                <w:lang w:eastAsia="zh-Hans"/>
              </w:rPr>
              <w:t>王睿女士曾任华宝基金研究员、交银施罗德基金投资经理、中银基金基金经理，自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月加入摩根基金管理（中国）有限公司（原上投摩根基金管理有限公司），现任国内权益投资部基金经理</w:t>
            </w:r>
            <w:r>
              <w:rPr>
                <w:rFonts w:ascii="宋体" w:hAnsi="宋体" w:hint="eastAsia"/>
                <w:szCs w:val="24"/>
                <w:lang w:eastAsia="zh-Hans"/>
              </w:rPr>
              <w:t>。</w:t>
            </w:r>
          </w:p>
        </w:tc>
      </w:tr>
    </w:tbl>
    <w:p w:rsidR="00476EB2" w:rsidRDefault="00476EB2">
      <w:pPr>
        <w:wordWrap w:val="0"/>
        <w:spacing w:line="360" w:lineRule="auto"/>
        <w:jc w:val="left"/>
        <w:divId w:val="1650211754"/>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76EB2" w:rsidRDefault="00476EB2">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76EB2" w:rsidRDefault="00476EB2">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76EB2" w:rsidRDefault="00476EB2">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76EB2" w:rsidRDefault="00476EB2">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76EB2" w:rsidRDefault="00476EB2">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76EB2" w:rsidRDefault="00476EB2">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76EB2" w:rsidRDefault="00476EB2">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76EB2" w:rsidRDefault="00476EB2">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cs="宋体" w:hint="eastAsia"/>
          <w:color w:val="000000"/>
          <w:kern w:val="0"/>
        </w:rPr>
        <w:t>二季度权益市场结构极致分化，红利指数下跌</w:t>
      </w:r>
      <w:r>
        <w:rPr>
          <w:rFonts w:ascii="宋体" w:hAnsi="宋体" w:cs="宋体" w:hint="eastAsia"/>
          <w:color w:val="000000"/>
          <w:kern w:val="0"/>
        </w:rPr>
        <w:t>11.88%</w:t>
      </w:r>
      <w:r>
        <w:rPr>
          <w:rFonts w:ascii="宋体" w:hAnsi="宋体" w:cs="宋体" w:hint="eastAsia"/>
          <w:color w:val="000000"/>
          <w:kern w:val="0"/>
        </w:rPr>
        <w:t>，而科技行情如火如荼，科创</w:t>
      </w:r>
      <w:r>
        <w:rPr>
          <w:rFonts w:ascii="宋体" w:hAnsi="宋体" w:cs="宋体" w:hint="eastAsia"/>
          <w:color w:val="000000"/>
          <w:kern w:val="0"/>
        </w:rPr>
        <w:t>50</w:t>
      </w:r>
      <w:r>
        <w:rPr>
          <w:rFonts w:ascii="宋体" w:hAnsi="宋体" w:cs="宋体" w:hint="eastAsia"/>
          <w:color w:val="000000"/>
          <w:kern w:val="0"/>
        </w:rPr>
        <w:t>指数上涨</w:t>
      </w:r>
      <w:r>
        <w:rPr>
          <w:rFonts w:ascii="宋体" w:hAnsi="宋体" w:cs="宋体" w:hint="eastAsia"/>
          <w:color w:val="000000"/>
          <w:kern w:val="0"/>
        </w:rPr>
        <w:t>75.74%</w:t>
      </w:r>
      <w:r>
        <w:rPr>
          <w:rFonts w:ascii="宋体" w:hAnsi="宋体" w:cs="宋体" w:hint="eastAsia"/>
          <w:color w:val="000000"/>
          <w:kern w:val="0"/>
        </w:rPr>
        <w:t>，一九分化历史罕见。</w:t>
      </w:r>
      <w:r>
        <w:rPr>
          <w:rFonts w:ascii="宋体" w:hAnsi="宋体" w:cs="宋体" w:hint="eastAsia"/>
          <w:color w:val="000000"/>
          <w:kern w:val="0"/>
        </w:rPr>
        <w:t>AI</w:t>
      </w:r>
      <w:r>
        <w:rPr>
          <w:rFonts w:ascii="宋体" w:hAnsi="宋体" w:cs="宋体" w:hint="eastAsia"/>
          <w:color w:val="000000"/>
          <w:kern w:val="0"/>
        </w:rPr>
        <w:t>相关成长类股票显著跑赢非</w:t>
      </w:r>
      <w:r>
        <w:rPr>
          <w:rFonts w:ascii="宋体" w:hAnsi="宋体" w:cs="宋体" w:hint="eastAsia"/>
          <w:color w:val="000000"/>
          <w:kern w:val="0"/>
        </w:rPr>
        <w:t>AI</w:t>
      </w:r>
      <w:r>
        <w:rPr>
          <w:rFonts w:ascii="宋体" w:hAnsi="宋体" w:cs="宋体" w:hint="eastAsia"/>
          <w:color w:val="000000"/>
          <w:kern w:val="0"/>
        </w:rPr>
        <w:t>方向，</w:t>
      </w:r>
      <w:r>
        <w:rPr>
          <w:rFonts w:ascii="宋体" w:hAnsi="宋体" w:cs="宋体" w:hint="eastAsia"/>
          <w:color w:val="000000"/>
          <w:kern w:val="0"/>
        </w:rPr>
        <w:t>AI</w:t>
      </w:r>
      <w:r>
        <w:rPr>
          <w:rFonts w:ascii="宋体" w:hAnsi="宋体" w:cs="宋体" w:hint="eastAsia"/>
          <w:color w:val="000000"/>
          <w:kern w:val="0"/>
        </w:rPr>
        <w:t>资产独涨，其他板块持续被资金吸虹。截至</w:t>
      </w:r>
      <w:r>
        <w:rPr>
          <w:rFonts w:ascii="宋体" w:hAnsi="宋体" w:cs="宋体" w:hint="eastAsia"/>
          <w:color w:val="000000"/>
          <w:kern w:val="0"/>
        </w:rPr>
        <w:t>6</w:t>
      </w:r>
      <w:r>
        <w:rPr>
          <w:rFonts w:ascii="宋体" w:hAnsi="宋体" w:cs="宋体" w:hint="eastAsia"/>
          <w:color w:val="000000"/>
          <w:kern w:val="0"/>
        </w:rPr>
        <w:t>月</w:t>
      </w:r>
      <w:r>
        <w:rPr>
          <w:rFonts w:ascii="宋体" w:hAnsi="宋体" w:cs="宋体" w:hint="eastAsia"/>
          <w:color w:val="000000"/>
          <w:kern w:val="0"/>
        </w:rPr>
        <w:t>30</w:t>
      </w:r>
      <w:r>
        <w:rPr>
          <w:rFonts w:ascii="宋体" w:hAnsi="宋体" w:cs="宋体" w:hint="eastAsia"/>
          <w:color w:val="000000"/>
          <w:kern w:val="0"/>
        </w:rPr>
        <w:t>日，申万一级行业表现极度分化，电子上涨</w:t>
      </w:r>
      <w:r>
        <w:rPr>
          <w:rFonts w:ascii="宋体" w:hAnsi="宋体" w:cs="宋体" w:hint="eastAsia"/>
          <w:color w:val="000000"/>
          <w:kern w:val="0"/>
        </w:rPr>
        <w:t>86.29%</w:t>
      </w:r>
      <w:r>
        <w:rPr>
          <w:rFonts w:ascii="宋体" w:hAnsi="宋体" w:cs="宋体" w:hint="eastAsia"/>
          <w:color w:val="000000"/>
          <w:kern w:val="0"/>
        </w:rPr>
        <w:t>，通信上涨</w:t>
      </w:r>
      <w:r>
        <w:rPr>
          <w:rFonts w:ascii="宋体" w:hAnsi="宋体" w:cs="宋体" w:hint="eastAsia"/>
          <w:color w:val="000000"/>
          <w:kern w:val="0"/>
        </w:rPr>
        <w:t>73.59%</w:t>
      </w:r>
      <w:r>
        <w:rPr>
          <w:rFonts w:ascii="宋体" w:hAnsi="宋体" w:cs="宋体" w:hint="eastAsia"/>
          <w:color w:val="000000"/>
          <w:kern w:val="0"/>
        </w:rPr>
        <w:t>，建筑材料上涨</w:t>
      </w:r>
      <w:r>
        <w:rPr>
          <w:rFonts w:ascii="宋体" w:hAnsi="宋体" w:cs="宋体" w:hint="eastAsia"/>
          <w:color w:val="000000"/>
          <w:kern w:val="0"/>
        </w:rPr>
        <w:t>46.26%</w:t>
      </w:r>
      <w:r>
        <w:rPr>
          <w:rFonts w:ascii="宋体" w:hAnsi="宋体" w:cs="宋体" w:hint="eastAsia"/>
          <w:color w:val="000000"/>
          <w:kern w:val="0"/>
        </w:rPr>
        <w:t>，机械设备上涨</w:t>
      </w:r>
      <w:r>
        <w:rPr>
          <w:rFonts w:ascii="宋体" w:hAnsi="宋体" w:cs="宋体" w:hint="eastAsia"/>
          <w:color w:val="000000"/>
          <w:kern w:val="0"/>
        </w:rPr>
        <w:t>22.6%</w:t>
      </w:r>
      <w:r>
        <w:rPr>
          <w:rFonts w:ascii="宋体" w:hAnsi="宋体" w:cs="宋体" w:hint="eastAsia"/>
          <w:color w:val="000000"/>
          <w:kern w:val="0"/>
        </w:rPr>
        <w:t>左右；而另一端，消费类和顺周期资产持续承压，商贸零售下跌</w:t>
      </w:r>
      <w:r>
        <w:rPr>
          <w:rFonts w:ascii="宋体" w:hAnsi="宋体" w:cs="宋体" w:hint="eastAsia"/>
          <w:color w:val="000000"/>
          <w:kern w:val="0"/>
        </w:rPr>
        <w:t>29.4%</w:t>
      </w:r>
      <w:r>
        <w:rPr>
          <w:rFonts w:ascii="宋体" w:hAnsi="宋体" w:cs="宋体" w:hint="eastAsia"/>
          <w:color w:val="000000"/>
          <w:kern w:val="0"/>
        </w:rPr>
        <w:t>，农林牧渔下跌</w:t>
      </w:r>
      <w:r>
        <w:rPr>
          <w:rFonts w:ascii="宋体" w:hAnsi="宋体" w:cs="宋体" w:hint="eastAsia"/>
          <w:color w:val="000000"/>
          <w:kern w:val="0"/>
        </w:rPr>
        <w:t>25.3%</w:t>
      </w:r>
      <w:r>
        <w:rPr>
          <w:rFonts w:ascii="宋体" w:hAnsi="宋体" w:cs="宋体" w:hint="eastAsia"/>
          <w:color w:val="000000"/>
          <w:kern w:val="0"/>
        </w:rPr>
        <w:t>，美容护理下跌</w:t>
      </w:r>
      <w:r>
        <w:rPr>
          <w:rFonts w:ascii="宋体" w:hAnsi="宋体" w:cs="宋体" w:hint="eastAsia"/>
          <w:color w:val="000000"/>
          <w:kern w:val="0"/>
        </w:rPr>
        <w:t>24.9%</w:t>
      </w:r>
      <w:r>
        <w:rPr>
          <w:rFonts w:ascii="宋体" w:hAnsi="宋体" w:cs="宋体" w:hint="eastAsia"/>
          <w:color w:val="000000"/>
          <w:kern w:val="0"/>
        </w:rPr>
        <w:t>，银行下跌</w:t>
      </w:r>
      <w:r>
        <w:rPr>
          <w:rFonts w:ascii="宋体" w:hAnsi="宋体" w:cs="宋体" w:hint="eastAsia"/>
          <w:color w:val="000000"/>
          <w:kern w:val="0"/>
        </w:rPr>
        <w:t>12.3%</w:t>
      </w:r>
      <w:r>
        <w:rPr>
          <w:rFonts w:ascii="宋体" w:hAnsi="宋体" w:cs="宋体" w:hint="eastAsia"/>
          <w:color w:val="000000"/>
          <w:kern w:val="0"/>
        </w:rPr>
        <w:t>，非银金融下跌</w:t>
      </w:r>
      <w:r>
        <w:rPr>
          <w:rFonts w:ascii="宋体" w:hAnsi="宋体" w:cs="宋体" w:hint="eastAsia"/>
          <w:color w:val="000000"/>
          <w:kern w:val="0"/>
        </w:rPr>
        <w:t>15.3%</w:t>
      </w:r>
      <w:r>
        <w:rPr>
          <w:rFonts w:ascii="宋体" w:hAnsi="宋体" w:cs="宋体" w:hint="eastAsia"/>
          <w:color w:val="000000"/>
          <w:kern w:val="0"/>
        </w:rPr>
        <w:t>，房地产下跌</w:t>
      </w:r>
      <w:r>
        <w:rPr>
          <w:rFonts w:ascii="宋体" w:hAnsi="宋体" w:cs="宋体" w:hint="eastAsia"/>
          <w:color w:val="000000"/>
          <w:kern w:val="0"/>
        </w:rPr>
        <w:t>16.4%</w:t>
      </w:r>
      <w:r>
        <w:rPr>
          <w:rFonts w:ascii="宋体" w:hAnsi="宋体" w:cs="宋体" w:hint="eastAsia"/>
          <w:color w:val="000000"/>
          <w:kern w:val="0"/>
        </w:rPr>
        <w:t>。全市场前</w:t>
      </w:r>
      <w:r>
        <w:rPr>
          <w:rFonts w:ascii="宋体" w:hAnsi="宋体" w:cs="宋体" w:hint="eastAsia"/>
          <w:color w:val="000000"/>
          <w:kern w:val="0"/>
        </w:rPr>
        <w:t>5%</w:t>
      </w:r>
      <w:r>
        <w:rPr>
          <w:rFonts w:ascii="宋体" w:hAnsi="宋体" w:cs="宋体" w:hint="eastAsia"/>
          <w:color w:val="000000"/>
          <w:kern w:val="0"/>
        </w:rPr>
        <w:t>股票成交金额占比超过</w:t>
      </w:r>
      <w:r>
        <w:rPr>
          <w:rFonts w:ascii="宋体" w:hAnsi="宋体" w:cs="宋体" w:hint="eastAsia"/>
          <w:color w:val="000000"/>
          <w:kern w:val="0"/>
        </w:rPr>
        <w:t>45%</w:t>
      </w:r>
      <w:r>
        <w:rPr>
          <w:rFonts w:ascii="宋体" w:hAnsi="宋体" w:cs="宋体" w:hint="eastAsia"/>
          <w:color w:val="000000"/>
          <w:kern w:val="0"/>
        </w:rPr>
        <w:t>，触碰历史极值。这种极致分化的主要原因包括：</w:t>
      </w:r>
      <w:r>
        <w:rPr>
          <w:rFonts w:ascii="宋体" w:hAnsi="宋体" w:cs="宋体" w:hint="eastAsia"/>
          <w:color w:val="000000"/>
          <w:kern w:val="0"/>
        </w:rPr>
        <w:t>2026</w:t>
      </w:r>
      <w:r>
        <w:rPr>
          <w:rFonts w:ascii="宋体" w:hAnsi="宋体" w:cs="宋体" w:hint="eastAsia"/>
          <w:color w:val="000000"/>
          <w:kern w:val="0"/>
        </w:rPr>
        <w:t>年二季度的宏观环境遇到诸多冲击，外部有中东冲突、高油价、滞胀担忧、美联储降息预期降温甚至加息预期抬头；内部则是经济温和修复但内需偏弱、政策偏结构而非总量强刺激。科技板块高景气产业趋势被资金热烈追逐，存储涨价是二季度最强“量价齐升”催化之一，</w:t>
      </w:r>
      <w:r>
        <w:rPr>
          <w:rFonts w:ascii="宋体" w:hAnsi="宋体" w:cs="宋体" w:hint="eastAsia"/>
          <w:color w:val="000000"/>
          <w:kern w:val="0"/>
        </w:rPr>
        <w:t>AI</w:t>
      </w:r>
      <w:r>
        <w:rPr>
          <w:rFonts w:ascii="宋体" w:hAnsi="宋体" w:cs="宋体" w:hint="eastAsia"/>
          <w:color w:val="000000"/>
          <w:kern w:val="0"/>
        </w:rPr>
        <w:t>产业从“增加</w:t>
      </w:r>
      <w:r>
        <w:rPr>
          <w:rFonts w:ascii="宋体" w:hAnsi="宋体" w:cs="宋体" w:hint="eastAsia"/>
          <w:color w:val="000000"/>
          <w:kern w:val="0"/>
        </w:rPr>
        <w:t>CapEx</w:t>
      </w:r>
      <w:r>
        <w:rPr>
          <w:rFonts w:ascii="宋体" w:hAnsi="宋体" w:cs="宋体" w:hint="eastAsia"/>
          <w:color w:val="000000"/>
          <w:kern w:val="0"/>
        </w:rPr>
        <w:t>”到走向“</w:t>
      </w:r>
      <w:r>
        <w:rPr>
          <w:rFonts w:ascii="宋体" w:hAnsi="宋体" w:cs="宋体" w:hint="eastAsia"/>
          <w:color w:val="000000"/>
          <w:kern w:val="0"/>
        </w:rPr>
        <w:t>Token</w:t>
      </w:r>
      <w:r>
        <w:rPr>
          <w:rFonts w:ascii="宋体" w:hAnsi="宋体" w:cs="宋体" w:hint="eastAsia"/>
          <w:color w:val="000000"/>
          <w:kern w:val="0"/>
        </w:rPr>
        <w:t>生产与商业化”、从训练走向推理、从核心硬件走向材料与基础设施，市场快速交易未来订单预期、涨价与</w:t>
      </w:r>
      <w:r>
        <w:rPr>
          <w:rFonts w:ascii="宋体" w:hAnsi="宋体" w:cs="宋体" w:hint="eastAsia"/>
          <w:color w:val="000000"/>
          <w:kern w:val="0"/>
        </w:rPr>
        <w:t>3-5</w:t>
      </w:r>
      <w:r>
        <w:rPr>
          <w:rFonts w:ascii="宋体" w:hAnsi="宋体" w:cs="宋体" w:hint="eastAsia"/>
          <w:color w:val="000000"/>
          <w:kern w:val="0"/>
        </w:rPr>
        <w:t>年后可能的盈利空间。科技交易的另一个主线是国产算力，尤其是国产半导体设备进入订单兑现与业绩验证阶段，“两存”的即将上市让市场对国产半导体设备扩产充满预期。</w:t>
      </w:r>
      <w:r>
        <w:rPr>
          <w:rFonts w:ascii="宋体" w:hAnsi="宋体" w:cs="宋体" w:hint="eastAsia"/>
          <w:color w:val="000000"/>
          <w:kern w:val="0"/>
        </w:rPr>
        <w:br/>
      </w:r>
      <w:r>
        <w:rPr>
          <w:rFonts w:ascii="宋体" w:hAnsi="宋体" w:cs="宋体" w:hint="eastAsia"/>
          <w:color w:val="000000"/>
          <w:kern w:val="0"/>
        </w:rPr>
        <w:t xml:space="preserve">　　展望下半年，随着市场对</w:t>
      </w:r>
      <w:r>
        <w:rPr>
          <w:rFonts w:ascii="宋体" w:hAnsi="宋体" w:cs="宋体" w:hint="eastAsia"/>
          <w:color w:val="000000"/>
          <w:kern w:val="0"/>
        </w:rPr>
        <w:t>AI</w:t>
      </w:r>
      <w:r>
        <w:rPr>
          <w:rFonts w:ascii="宋体" w:hAnsi="宋体" w:cs="宋体" w:hint="eastAsia"/>
          <w:color w:val="000000"/>
          <w:kern w:val="0"/>
        </w:rPr>
        <w:t>技术超赢传统行业预期的逐步消化，我们预计下半年市场风格将趋于再平衡。回顾历史，</w:t>
      </w:r>
      <w:r>
        <w:rPr>
          <w:rFonts w:ascii="宋体" w:hAnsi="宋体" w:cs="宋体" w:hint="eastAsia"/>
          <w:color w:val="000000"/>
          <w:kern w:val="0"/>
        </w:rPr>
        <w:t>2013-2015</w:t>
      </w:r>
      <w:r>
        <w:rPr>
          <w:rFonts w:ascii="宋体" w:hAnsi="宋体" w:cs="宋体" w:hint="eastAsia"/>
          <w:color w:val="000000"/>
          <w:kern w:val="0"/>
        </w:rPr>
        <w:t>年移动互联网产业浪潮时，市场偏好的是轻资产，讲商业模式有远景甚至讲故事的“互联网</w:t>
      </w:r>
      <w:r>
        <w:rPr>
          <w:rFonts w:ascii="宋体" w:hAnsi="宋体" w:cs="宋体" w:hint="eastAsia"/>
          <w:color w:val="000000"/>
          <w:kern w:val="0"/>
        </w:rPr>
        <w:t>+</w:t>
      </w:r>
      <w:r>
        <w:rPr>
          <w:rFonts w:ascii="宋体" w:hAnsi="宋体" w:cs="宋体" w:hint="eastAsia"/>
          <w:color w:val="000000"/>
          <w:kern w:val="0"/>
        </w:rPr>
        <w:t>”类公司，重资产的制造业和价值类公司被抛弃。在股价透支了产业趋势后，</w:t>
      </w:r>
      <w:r>
        <w:rPr>
          <w:rFonts w:ascii="宋体" w:hAnsi="宋体" w:cs="宋体" w:hint="eastAsia"/>
          <w:color w:val="000000"/>
          <w:kern w:val="0"/>
        </w:rPr>
        <w:t>2016</w:t>
      </w:r>
      <w:r>
        <w:rPr>
          <w:rFonts w:ascii="宋体" w:hAnsi="宋体" w:cs="宋体" w:hint="eastAsia"/>
          <w:color w:val="000000"/>
          <w:kern w:val="0"/>
        </w:rPr>
        <w:t>年后重资产的制造业公司获得了重估，风格再平衡；</w:t>
      </w:r>
      <w:r>
        <w:rPr>
          <w:rFonts w:ascii="宋体" w:hAnsi="宋体" w:cs="宋体" w:hint="eastAsia"/>
          <w:color w:val="000000"/>
          <w:kern w:val="0"/>
        </w:rPr>
        <w:t>2020-2021</w:t>
      </w:r>
      <w:r>
        <w:rPr>
          <w:rFonts w:ascii="宋体" w:hAnsi="宋体" w:cs="宋体" w:hint="eastAsia"/>
          <w:color w:val="000000"/>
          <w:kern w:val="0"/>
        </w:rPr>
        <w:t>年新能源渗透率开始快速提升，市场认为煤炭、石油等传统能源将逐步退出历史舞台。但是到了</w:t>
      </w:r>
      <w:r>
        <w:rPr>
          <w:rFonts w:ascii="宋体" w:hAnsi="宋体" w:cs="宋体" w:hint="eastAsia"/>
          <w:color w:val="000000"/>
          <w:kern w:val="0"/>
        </w:rPr>
        <w:t>2022</w:t>
      </w:r>
      <w:r>
        <w:rPr>
          <w:rFonts w:ascii="宋体" w:hAnsi="宋体" w:cs="宋体" w:hint="eastAsia"/>
          <w:color w:val="000000"/>
          <w:kern w:val="0"/>
        </w:rPr>
        <w:t>年后，能源安全问题日益突出，煤炭、石油等传统能源因持续分红、提供稳定股息获得价值重估；我们认为市场对</w:t>
      </w:r>
      <w:r>
        <w:rPr>
          <w:rFonts w:ascii="宋体" w:hAnsi="宋体" w:cs="宋体" w:hint="eastAsia"/>
          <w:color w:val="000000"/>
          <w:kern w:val="0"/>
        </w:rPr>
        <w:t>AI</w:t>
      </w:r>
      <w:r>
        <w:rPr>
          <w:rFonts w:ascii="宋体" w:hAnsi="宋体" w:cs="宋体" w:hint="eastAsia"/>
          <w:color w:val="000000"/>
          <w:kern w:val="0"/>
        </w:rPr>
        <w:t>技术与传统行业的预期和当年相似，股价超额收益的决定因素是</w:t>
      </w:r>
      <w:r>
        <w:rPr>
          <w:rFonts w:ascii="宋体" w:hAnsi="宋体" w:cs="宋体" w:hint="eastAsia"/>
          <w:color w:val="000000"/>
          <w:kern w:val="0"/>
        </w:rPr>
        <w:t>AI</w:t>
      </w:r>
      <w:r>
        <w:rPr>
          <w:rFonts w:ascii="宋体" w:hAnsi="宋体" w:cs="宋体" w:hint="eastAsia"/>
          <w:color w:val="000000"/>
          <w:kern w:val="0"/>
        </w:rPr>
        <w:t>产业趋势能不能维持高斜率的向上趋势，以及股价对未来成长空间的预期透支程度。从中长周期视角来看，</w:t>
      </w:r>
      <w:r>
        <w:rPr>
          <w:rFonts w:ascii="宋体" w:hAnsi="宋体" w:cs="宋体" w:hint="eastAsia"/>
          <w:color w:val="000000"/>
          <w:kern w:val="0"/>
        </w:rPr>
        <w:t>AI</w:t>
      </w:r>
      <w:r>
        <w:rPr>
          <w:rFonts w:ascii="宋体" w:hAnsi="宋体" w:cs="宋体" w:hint="eastAsia"/>
          <w:color w:val="000000"/>
          <w:kern w:val="0"/>
        </w:rPr>
        <w:t>作为生产效率革命的产业浪潮，最终要为人服务，人才是最终的需求。二季度由于市场极致风格影响，非银、化工、有色、消费等诸多公司估值以及达到历史极低水平，未来这些公司有望在市场风格再平衡中获得估值重塑。我们将积极的在非</w:t>
      </w:r>
      <w:r>
        <w:rPr>
          <w:rFonts w:ascii="宋体" w:hAnsi="宋体" w:cs="宋体" w:hint="eastAsia"/>
          <w:color w:val="000000"/>
          <w:kern w:val="0"/>
        </w:rPr>
        <w:t>AI</w:t>
      </w:r>
      <w:r>
        <w:rPr>
          <w:rFonts w:ascii="宋体" w:hAnsi="宋体" w:cs="宋体" w:hint="eastAsia"/>
          <w:color w:val="000000"/>
          <w:kern w:val="0"/>
        </w:rPr>
        <w:t>方向寻找短期因为风格因素被错杀，长期仍有成长空间，且估值合理的公司</w:t>
      </w:r>
      <w:r>
        <w:rPr>
          <w:rFonts w:ascii="宋体" w:hAnsi="宋体" w:cs="宋体" w:hint="eastAsia"/>
          <w:color w:val="000000"/>
          <w:kern w:val="0"/>
        </w:rPr>
        <w:t>。</w:t>
      </w:r>
    </w:p>
    <w:p w:rsidR="00476EB2" w:rsidRDefault="00476EB2">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76EB2" w:rsidRDefault="00476EB2">
      <w:pPr>
        <w:spacing w:line="360" w:lineRule="auto"/>
        <w:ind w:firstLineChars="200" w:firstLine="420"/>
        <w:rPr>
          <w:rFonts w:hint="eastAsia"/>
        </w:rPr>
      </w:pPr>
      <w:r>
        <w:rPr>
          <w:rFonts w:ascii="宋体" w:hAnsi="宋体" w:hint="eastAsia"/>
        </w:rPr>
        <w:t>本报告期摩根内需动力混合</w:t>
      </w:r>
      <w:r>
        <w:rPr>
          <w:rFonts w:ascii="宋体" w:hAnsi="宋体" w:hint="eastAsia"/>
        </w:rPr>
        <w:t>A</w:t>
      </w:r>
      <w:r>
        <w:rPr>
          <w:rFonts w:ascii="宋体" w:hAnsi="宋体" w:hint="eastAsia"/>
        </w:rPr>
        <w:t>份额净值增长率为：</w:t>
      </w:r>
      <w:r>
        <w:rPr>
          <w:rFonts w:ascii="宋体" w:hAnsi="宋体" w:hint="eastAsia"/>
        </w:rPr>
        <w:t>1.77%</w:t>
      </w:r>
      <w:r>
        <w:rPr>
          <w:rFonts w:ascii="宋体" w:hAnsi="宋体" w:hint="eastAsia"/>
        </w:rPr>
        <w:t>，同期业绩比较基准收益率为：</w:t>
      </w:r>
      <w:r>
        <w:rPr>
          <w:rFonts w:ascii="宋体" w:hAnsi="宋体" w:hint="eastAsia"/>
        </w:rPr>
        <w:t>9.72%</w:t>
      </w:r>
      <w:r>
        <w:rPr>
          <w:rFonts w:ascii="宋体" w:hAnsi="宋体" w:hint="eastAsia"/>
        </w:rPr>
        <w:t>；</w:t>
      </w:r>
      <w:r>
        <w:rPr>
          <w:rFonts w:ascii="宋体" w:hAnsi="宋体" w:hint="eastAsia"/>
        </w:rPr>
        <w:br/>
      </w:r>
      <w:r>
        <w:rPr>
          <w:rFonts w:ascii="宋体" w:hAnsi="宋体" w:hint="eastAsia"/>
        </w:rPr>
        <w:t xml:space="preserve">　　摩根内需动力混合</w:t>
      </w:r>
      <w:r>
        <w:rPr>
          <w:rFonts w:ascii="宋体" w:hAnsi="宋体" w:hint="eastAsia"/>
        </w:rPr>
        <w:t>C</w:t>
      </w:r>
      <w:r>
        <w:rPr>
          <w:rFonts w:ascii="宋体" w:hAnsi="宋体" w:hint="eastAsia"/>
        </w:rPr>
        <w:t>份额净值增长率为：</w:t>
      </w:r>
      <w:r>
        <w:rPr>
          <w:rFonts w:ascii="宋体" w:hAnsi="宋体" w:hint="eastAsia"/>
        </w:rPr>
        <w:t>1.65%</w:t>
      </w:r>
      <w:r>
        <w:rPr>
          <w:rFonts w:ascii="宋体" w:hAnsi="宋体" w:hint="eastAsia"/>
        </w:rPr>
        <w:t>，同期业绩比较基准收益率为：</w:t>
      </w:r>
      <w:r>
        <w:rPr>
          <w:rFonts w:ascii="宋体" w:hAnsi="宋体" w:hint="eastAsia"/>
        </w:rPr>
        <w:t>9.72%</w:t>
      </w:r>
      <w:r>
        <w:rPr>
          <w:rFonts w:ascii="宋体" w:hAnsi="宋体" w:hint="eastAsia"/>
        </w:rPr>
        <w:t>。</w:t>
      </w:r>
    </w:p>
    <w:p w:rsidR="00476EB2" w:rsidRDefault="00476EB2">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76EB2" w:rsidRDefault="00476EB2">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76EB2" w:rsidRDefault="00476EB2">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1,419,041,305.5</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84.4</w:t>
            </w:r>
            <w:r>
              <w:rPr>
                <w:rFonts w:ascii="宋体" w:hAnsi="宋体" w:hint="eastAsia"/>
                <w:szCs w:val="24"/>
                <w:lang w:eastAsia="zh-Hans"/>
              </w:rPr>
              <w:t>0</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1,419,041,305.5</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84.4</w:t>
            </w:r>
            <w:r>
              <w:rPr>
                <w:rFonts w:ascii="宋体" w:hAnsi="宋体" w:hint="eastAsia"/>
                <w:szCs w:val="24"/>
                <w:lang w:eastAsia="zh-Hans"/>
              </w:rPr>
              <w:t>0</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261,580,413.8</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15.5</w:t>
            </w:r>
            <w:r>
              <w:rPr>
                <w:rFonts w:ascii="宋体" w:hAnsi="宋体" w:hint="eastAsia"/>
                <w:szCs w:val="24"/>
                <w:lang w:eastAsia="zh-Hans"/>
              </w:rPr>
              <w:t>6</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703,483.3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77837445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76EB2" w:rsidRDefault="00476EB2">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76EB2" w:rsidRDefault="00476EB2">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1,681,325,202.8</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476EB2" w:rsidRDefault="00476EB2">
            <w:pPr>
              <w:jc w:val="right"/>
            </w:pPr>
            <w:r>
              <w:rPr>
                <w:rFonts w:ascii="宋体" w:hAnsi="宋体" w:hint="eastAsia"/>
                <w:szCs w:val="24"/>
                <w:lang w:eastAsia="zh-Hans"/>
              </w:rPr>
              <w:t>100.0</w:t>
            </w:r>
            <w:r>
              <w:rPr>
                <w:rFonts w:ascii="宋体" w:hAnsi="宋体" w:hint="eastAsia"/>
                <w:szCs w:val="24"/>
                <w:lang w:eastAsia="zh-Hans"/>
              </w:rPr>
              <w:t>0</w:t>
            </w:r>
          </w:p>
        </w:tc>
      </w:tr>
    </w:tbl>
    <w:p w:rsidR="00476EB2" w:rsidRDefault="00476EB2">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76EB2" w:rsidRDefault="00476EB2">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029374429"/>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76EB2" w:rsidRDefault="00476EB2">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76EB2" w:rsidRDefault="00476EB2">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15,653,756.2</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0.9</w:t>
            </w:r>
            <w:r>
              <w:rPr>
                <w:rFonts w:ascii="宋体" w:hAnsi="宋体" w:hint="eastAsia"/>
                <w:szCs w:val="24"/>
                <w:lang w:eastAsia="zh-Hans"/>
              </w:rPr>
              <w:t>3</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24,622,069.9</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1.4</w:t>
            </w:r>
            <w:r>
              <w:rPr>
                <w:rFonts w:ascii="宋体" w:hAnsi="宋体" w:hint="eastAsia"/>
                <w:szCs w:val="24"/>
                <w:lang w:eastAsia="zh-Hans"/>
              </w:rPr>
              <w:t>7</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864,917,294.9</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51.5</w:t>
            </w:r>
            <w:r>
              <w:rPr>
                <w:rFonts w:ascii="宋体" w:hAnsi="宋体" w:hint="eastAsia"/>
                <w:szCs w:val="24"/>
                <w:lang w:eastAsia="zh-Hans"/>
              </w:rPr>
              <w:t>9</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3,980,353.0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0.2</w:t>
            </w:r>
            <w:r>
              <w:rPr>
                <w:rFonts w:ascii="宋体" w:hAnsi="宋体" w:hint="eastAsia"/>
                <w:szCs w:val="24"/>
                <w:lang w:eastAsia="zh-Hans"/>
              </w:rPr>
              <w:t>4</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16,474,858.6</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0.9</w:t>
            </w:r>
            <w:r>
              <w:rPr>
                <w:rFonts w:ascii="宋体" w:hAnsi="宋体" w:hint="eastAsia"/>
                <w:szCs w:val="24"/>
                <w:lang w:eastAsia="zh-Hans"/>
              </w:rPr>
              <w:t>8</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38,630,080.5</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2.3</w:t>
            </w:r>
            <w:r>
              <w:rPr>
                <w:rFonts w:ascii="宋体" w:hAnsi="宋体" w:hint="eastAsia"/>
                <w:szCs w:val="24"/>
                <w:lang w:eastAsia="zh-Hans"/>
              </w:rPr>
              <w:t>0</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13,741,000.0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0.8</w:t>
            </w:r>
            <w:r>
              <w:rPr>
                <w:rFonts w:ascii="宋体" w:hAnsi="宋体" w:hint="eastAsia"/>
                <w:szCs w:val="24"/>
                <w:lang w:eastAsia="zh-Hans"/>
              </w:rPr>
              <w:t>2</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8,388,805.6</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0.5</w:t>
            </w:r>
            <w:r>
              <w:rPr>
                <w:rFonts w:ascii="宋体" w:hAnsi="宋体" w:hint="eastAsia"/>
                <w:szCs w:val="24"/>
                <w:lang w:eastAsia="zh-Hans"/>
              </w:rPr>
              <w:t>0</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194,170,606.5</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11.5</w:t>
            </w:r>
            <w:r>
              <w:rPr>
                <w:rFonts w:ascii="宋体" w:hAnsi="宋体" w:hint="eastAsia"/>
                <w:szCs w:val="24"/>
                <w:lang w:eastAsia="zh-Hans"/>
              </w:rPr>
              <w:t>8</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32,960,522.0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1.9</w:t>
            </w:r>
            <w:r>
              <w:rPr>
                <w:rFonts w:ascii="宋体" w:hAnsi="宋体" w:hint="eastAsia"/>
                <w:szCs w:val="24"/>
                <w:lang w:eastAsia="zh-Hans"/>
              </w:rPr>
              <w:t>7</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52,825,577.0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3.1</w:t>
            </w:r>
            <w:r>
              <w:rPr>
                <w:rFonts w:ascii="宋体" w:hAnsi="宋体" w:hint="eastAsia"/>
                <w:szCs w:val="24"/>
                <w:lang w:eastAsia="zh-Hans"/>
              </w:rPr>
              <w:t>5</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78,840,053.0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4.7</w:t>
            </w:r>
            <w:r>
              <w:rPr>
                <w:rFonts w:ascii="宋体" w:hAnsi="宋体" w:hint="eastAsia"/>
                <w:szCs w:val="24"/>
                <w:lang w:eastAsia="zh-Hans"/>
              </w:rPr>
              <w:t>0</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45,610,181.8</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2.7</w:t>
            </w:r>
            <w:r>
              <w:rPr>
                <w:rFonts w:ascii="宋体" w:hAnsi="宋体" w:hint="eastAsia"/>
                <w:szCs w:val="24"/>
                <w:lang w:eastAsia="zh-Hans"/>
              </w:rPr>
              <w:t>2</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15,947,316.0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0.9</w:t>
            </w:r>
            <w:r>
              <w:rPr>
                <w:rFonts w:ascii="宋体" w:hAnsi="宋体" w:hint="eastAsia"/>
                <w:szCs w:val="24"/>
                <w:lang w:eastAsia="zh-Hans"/>
              </w:rPr>
              <w:t>5</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12,278,830.2</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w:t>
            </w:r>
          </w:p>
        </w:tc>
      </w:tr>
      <w:tr w:rsidR="00000000">
        <w:trPr>
          <w:divId w:val="1029374429"/>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76EB2" w:rsidRDefault="00476EB2">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76EB2" w:rsidRDefault="00476EB2">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76EB2" w:rsidRDefault="00476EB2">
            <w:pPr>
              <w:jc w:val="right"/>
            </w:pPr>
            <w:r>
              <w:rPr>
                <w:rFonts w:ascii="宋体" w:hAnsi="宋体" w:hint="eastAsia"/>
                <w:szCs w:val="24"/>
                <w:lang w:eastAsia="zh-Hans"/>
              </w:rPr>
              <w:t>1,419,041,305.5</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76EB2" w:rsidRDefault="00476EB2">
            <w:pPr>
              <w:jc w:val="right"/>
            </w:pPr>
            <w:r>
              <w:rPr>
                <w:rFonts w:ascii="宋体" w:hAnsi="宋体" w:hint="eastAsia"/>
                <w:szCs w:val="24"/>
                <w:lang w:eastAsia="zh-Hans"/>
              </w:rPr>
              <w:t>84.6</w:t>
            </w:r>
            <w:r>
              <w:rPr>
                <w:rFonts w:ascii="宋体" w:hAnsi="宋体" w:hint="eastAsia"/>
                <w:szCs w:val="24"/>
                <w:lang w:eastAsia="zh-Hans"/>
              </w:rPr>
              <w:t>5</w:t>
            </w:r>
          </w:p>
        </w:tc>
      </w:tr>
    </w:tbl>
    <w:p w:rsidR="00476EB2" w:rsidRDefault="00476EB2">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476EB2" w:rsidRDefault="00476EB2">
      <w:pPr>
        <w:spacing w:line="360" w:lineRule="auto"/>
        <w:ind w:firstLineChars="200" w:firstLine="420"/>
        <w:divId w:val="63114341"/>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476EB2" w:rsidRDefault="00476EB2">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76EB2" w:rsidRDefault="00476EB2">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2821466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325,85</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128,063,880.5</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7.6</w:t>
            </w:r>
            <w:r>
              <w:rPr>
                <w:rFonts w:ascii="宋体" w:hAnsi="宋体" w:hint="eastAsia"/>
                <w:szCs w:val="24"/>
                <w:lang w:eastAsia="zh-Hans"/>
              </w:rPr>
              <w:t>4</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486,50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60,574,115.0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3.6</w:t>
            </w:r>
            <w:r>
              <w:rPr>
                <w:rFonts w:ascii="宋体" w:hAnsi="宋体" w:hint="eastAsia"/>
                <w:szCs w:val="24"/>
                <w:lang w:eastAsia="zh-Hans"/>
              </w:rPr>
              <w:t>1</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214,41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56,252,299.9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3.3</w:t>
            </w:r>
            <w:r>
              <w:rPr>
                <w:rFonts w:ascii="宋体" w:hAnsi="宋体" w:hint="eastAsia"/>
                <w:szCs w:val="24"/>
                <w:lang w:eastAsia="zh-Hans"/>
              </w:rPr>
              <w:t>6</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00259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比亚</w:t>
            </w:r>
            <w:r>
              <w:rPr>
                <w:rFonts w:ascii="宋体" w:hAnsi="宋体" w:hint="eastAsia"/>
                <w:szCs w:val="24"/>
                <w:lang w:eastAsia="zh-Hans"/>
              </w:rPr>
              <w:t>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621,10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49,501,670.0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2.9</w:t>
            </w:r>
            <w:r>
              <w:rPr>
                <w:rFonts w:ascii="宋体" w:hAnsi="宋体" w:hint="eastAsia"/>
                <w:szCs w:val="24"/>
                <w:lang w:eastAsia="zh-Hans"/>
              </w:rPr>
              <w:t>5</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30001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亿纬锂</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722,70</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46,997,311.0</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2.8</w:t>
            </w:r>
            <w:r>
              <w:rPr>
                <w:rFonts w:ascii="宋体" w:hAnsi="宋体" w:hint="eastAsia"/>
                <w:szCs w:val="24"/>
                <w:lang w:eastAsia="zh-Hans"/>
              </w:rPr>
              <w:t>0</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60016</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巨化股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802,40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42,535,224.0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2.5</w:t>
            </w:r>
            <w:r>
              <w:rPr>
                <w:rFonts w:ascii="宋体" w:hAnsi="宋体" w:hint="eastAsia"/>
                <w:szCs w:val="24"/>
                <w:lang w:eastAsia="zh-Hans"/>
              </w:rPr>
              <w:t>4</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401,20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37,516,212.0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2.2</w:t>
            </w:r>
            <w:r>
              <w:rPr>
                <w:rFonts w:ascii="宋体" w:hAnsi="宋体" w:hint="eastAsia"/>
                <w:szCs w:val="24"/>
                <w:lang w:eastAsia="zh-Hans"/>
              </w:rPr>
              <w:t>4</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60015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中国船</w:t>
            </w:r>
            <w:r>
              <w:rPr>
                <w:rFonts w:ascii="宋体" w:hAnsi="宋体" w:hint="eastAsia"/>
                <w:szCs w:val="24"/>
                <w:lang w:eastAsia="zh-Hans"/>
              </w:rPr>
              <w:t>舶</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1,068,16</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36,093,261.5</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2.1</w:t>
            </w:r>
            <w:r>
              <w:rPr>
                <w:rFonts w:ascii="宋体" w:hAnsi="宋体" w:hint="eastAsia"/>
                <w:szCs w:val="24"/>
                <w:lang w:eastAsia="zh-Hans"/>
              </w:rPr>
              <w:t>5</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60131</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中国平</w:t>
            </w:r>
            <w:r>
              <w:rPr>
                <w:rFonts w:ascii="宋体" w:hAnsi="宋体" w:hint="eastAsia"/>
                <w:szCs w:val="24"/>
                <w:lang w:eastAsia="zh-Hans"/>
              </w:rPr>
              <w:t>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708,50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33,823,790.0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2.0</w:t>
            </w:r>
            <w:r>
              <w:rPr>
                <w:rFonts w:ascii="宋体" w:hAnsi="宋体" w:hint="eastAsia"/>
                <w:szCs w:val="24"/>
                <w:lang w:eastAsia="zh-Hans"/>
              </w:rPr>
              <w:t>2</w:t>
            </w:r>
          </w:p>
        </w:tc>
      </w:tr>
      <w:tr w:rsidR="00000000">
        <w:trPr>
          <w:divId w:val="32821466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68898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212,87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33,808,489.8</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2.0</w:t>
            </w:r>
            <w:r>
              <w:rPr>
                <w:rFonts w:ascii="宋体" w:hAnsi="宋体" w:hint="eastAsia"/>
                <w:szCs w:val="24"/>
                <w:lang w:eastAsia="zh-Hans"/>
              </w:rPr>
              <w:t>2</w:t>
            </w:r>
          </w:p>
        </w:tc>
      </w:tr>
    </w:tbl>
    <w:p w:rsidR="00476EB2" w:rsidRDefault="00476EB2">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476EB2" w:rsidRDefault="00476EB2">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476EB2" w:rsidRDefault="00476EB2">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76EB2" w:rsidRDefault="00476EB2">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476EB2" w:rsidRDefault="00476EB2">
      <w:pPr>
        <w:spacing w:line="360" w:lineRule="auto"/>
        <w:ind w:firstLineChars="200" w:firstLine="420"/>
        <w:divId w:val="187376409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76EB2" w:rsidRDefault="00476EB2">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476EB2" w:rsidRDefault="00476EB2">
      <w:pPr>
        <w:spacing w:line="360" w:lineRule="auto"/>
        <w:ind w:firstLineChars="200" w:firstLine="420"/>
        <w:divId w:val="135226647"/>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76EB2" w:rsidRDefault="00476EB2">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476EB2" w:rsidRDefault="00476EB2">
      <w:pPr>
        <w:spacing w:line="360" w:lineRule="auto"/>
        <w:ind w:firstLineChars="200" w:firstLine="420"/>
        <w:divId w:val="141682610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76EB2" w:rsidRDefault="00476EB2">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476EB2" w:rsidRDefault="00476EB2">
      <w:pPr>
        <w:spacing w:line="360" w:lineRule="auto"/>
        <w:ind w:firstLineChars="200" w:firstLine="420"/>
        <w:divId w:val="1024746440"/>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476EB2" w:rsidRDefault="00476EB2">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476EB2" w:rsidRDefault="00476EB2">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476EB2" w:rsidRDefault="00476EB2">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476EB2" w:rsidRDefault="00476EB2">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476EB2" w:rsidRDefault="00476EB2">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76EB2" w:rsidRDefault="00476EB2">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69692542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76EB2" w:rsidRDefault="00476EB2">
            <w:pPr>
              <w:jc w:val="center"/>
            </w:pPr>
            <w:r>
              <w:rPr>
                <w:rFonts w:ascii="宋体" w:hAnsi="宋体" w:hint="eastAsia"/>
              </w:rPr>
              <w:t>金额（元</w:t>
            </w:r>
            <w:r>
              <w:rPr>
                <w:rFonts w:ascii="宋体" w:hAnsi="宋体" w:hint="eastAsia"/>
              </w:rPr>
              <w:t>）</w:t>
            </w:r>
            <w:r>
              <w:t xml:space="preserve"> </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532,877.7</w:t>
            </w:r>
            <w:r>
              <w:rPr>
                <w:rFonts w:ascii="宋体" w:hAnsi="宋体" w:hint="eastAsia"/>
              </w:rPr>
              <w:t>8</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170,605.6</w:t>
            </w:r>
            <w:r>
              <w:rPr>
                <w:rFonts w:ascii="宋体" w:hAnsi="宋体" w:hint="eastAsia"/>
              </w:rPr>
              <w:t>0</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w:t>
            </w:r>
          </w:p>
        </w:tc>
      </w:tr>
      <w:tr w:rsidR="00000000">
        <w:trPr>
          <w:divId w:val="69692542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703,483.3</w:t>
            </w:r>
            <w:r>
              <w:rPr>
                <w:rFonts w:ascii="宋体" w:hAnsi="宋体" w:hint="eastAsia"/>
              </w:rPr>
              <w:t>8</w:t>
            </w:r>
          </w:p>
        </w:tc>
      </w:tr>
    </w:tbl>
    <w:p w:rsidR="00476EB2" w:rsidRDefault="00476EB2">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476EB2" w:rsidRDefault="00476EB2">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76EB2" w:rsidRDefault="00476EB2">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476EB2" w:rsidRDefault="00476EB2">
      <w:pPr>
        <w:spacing w:line="360" w:lineRule="auto"/>
        <w:ind w:firstLineChars="200" w:firstLine="420"/>
        <w:jc w:val="left"/>
        <w:divId w:val="23227488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76EB2" w:rsidRDefault="00476EB2">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476EB2" w:rsidRDefault="00476EB2">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476EB2" w:rsidRDefault="00476EB2">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476EB2" w:rsidRDefault="00476EB2">
      <w:pPr>
        <w:wordWrap w:val="0"/>
        <w:spacing w:line="360" w:lineRule="auto"/>
        <w:jc w:val="right"/>
        <w:divId w:val="230624006"/>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9"/>
        <w:gridCol w:w="2492"/>
      </w:tblGrid>
      <w:tr w:rsidR="00000000">
        <w:trPr>
          <w:divId w:val="23062400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76EB2" w:rsidRDefault="00476EB2">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ind w:right="3"/>
              <w:jc w:val="center"/>
            </w:pPr>
            <w:r>
              <w:rPr>
                <w:rFonts w:ascii="宋体" w:hAnsi="宋体" w:hint="eastAsia"/>
                <w:lang w:eastAsia="zh-Hans"/>
              </w:rPr>
              <w:t>摩根内需动力混合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76EB2" w:rsidRDefault="00476EB2">
            <w:pPr>
              <w:ind w:right="3"/>
              <w:jc w:val="center"/>
            </w:pPr>
            <w:r>
              <w:rPr>
                <w:rFonts w:ascii="宋体" w:hAnsi="宋体" w:hint="eastAsia"/>
                <w:lang w:eastAsia="zh-Hans"/>
              </w:rPr>
              <w:t>摩根内需动力混合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3062400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2,054,048,695.9</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20,606,234.6</w:t>
            </w:r>
            <w:r>
              <w:rPr>
                <w:rFonts w:ascii="宋体" w:hAnsi="宋体" w:hint="eastAsia"/>
              </w:rPr>
              <w:t>7</w:t>
            </w:r>
          </w:p>
        </w:tc>
      </w:tr>
      <w:tr w:rsidR="00000000">
        <w:trPr>
          <w:divId w:val="23062400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21,808,343.0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1,157,024.6</w:t>
            </w:r>
            <w:r>
              <w:rPr>
                <w:rFonts w:ascii="宋体" w:hAnsi="宋体" w:hint="eastAsia"/>
              </w:rPr>
              <w:t>3</w:t>
            </w:r>
          </w:p>
        </w:tc>
      </w:tr>
      <w:tr w:rsidR="00000000">
        <w:trPr>
          <w:divId w:val="23062400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151,796,874.4</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1,825,493.8</w:t>
            </w:r>
            <w:r>
              <w:rPr>
                <w:rFonts w:ascii="宋体" w:hAnsi="宋体" w:hint="eastAsia"/>
              </w:rPr>
              <w:t>8</w:t>
            </w:r>
          </w:p>
        </w:tc>
      </w:tr>
      <w:tr w:rsidR="00000000">
        <w:trPr>
          <w:divId w:val="23062400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w:t>
            </w:r>
          </w:p>
        </w:tc>
      </w:tr>
      <w:tr w:rsidR="00000000">
        <w:trPr>
          <w:divId w:val="23062400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1,924,060,164.5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76EB2" w:rsidRDefault="00476EB2">
            <w:pPr>
              <w:jc w:val="right"/>
            </w:pPr>
            <w:r>
              <w:rPr>
                <w:rFonts w:ascii="宋体" w:hAnsi="宋体" w:hint="eastAsia"/>
              </w:rPr>
              <w:t>19,937,765.4</w:t>
            </w:r>
            <w:r>
              <w:rPr>
                <w:rFonts w:ascii="宋体" w:hAnsi="宋体" w:hint="eastAsia"/>
              </w:rPr>
              <w:t>2</w:t>
            </w:r>
          </w:p>
        </w:tc>
      </w:tr>
    </w:tbl>
    <w:p w:rsidR="00476EB2" w:rsidRDefault="00476EB2">
      <w:pPr>
        <w:spacing w:line="360" w:lineRule="auto"/>
        <w:jc w:val="left"/>
        <w:divId w:val="23062400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476EB2" w:rsidRDefault="00476EB2">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476EB2" w:rsidRDefault="00476EB2">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476EB2" w:rsidRDefault="00476EB2">
      <w:pPr>
        <w:wordWrap w:val="0"/>
        <w:spacing w:line="360" w:lineRule="auto"/>
        <w:jc w:val="right"/>
        <w:divId w:val="1105805187"/>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10580518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lang w:eastAsia="zh-Hans"/>
              </w:rPr>
              <w:t>摩根内需动力混合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lang w:eastAsia="zh-Hans"/>
              </w:rPr>
              <w:t>摩根内需动力混合</w:t>
            </w:r>
            <w:r>
              <w:rPr>
                <w:rFonts w:ascii="宋体" w:hAnsi="宋体" w:hint="eastAsia"/>
                <w:lang w:eastAsia="zh-Hans"/>
              </w:rPr>
              <w:t>C</w:t>
            </w:r>
            <w:r>
              <w:rPr>
                <w:rFonts w:ascii="宋体" w:hAnsi="宋体" w:hint="eastAsia"/>
                <w:color w:val="000000"/>
              </w:rPr>
              <w:t xml:space="preserve"> </w:t>
            </w:r>
          </w:p>
        </w:tc>
      </w:tr>
      <w:tr w:rsidR="00000000">
        <w:trPr>
          <w:divId w:val="110580518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rPr>
                <w:rFonts w:hint="eastAsia"/>
              </w:rPr>
            </w:pPr>
            <w:r>
              <w:rPr>
                <w:rFonts w:ascii="宋体" w:hAnsi="宋体" w:hint="eastAsia"/>
                <w:kern w:val="0"/>
                <w:szCs w:val="24"/>
                <w:lang w:eastAsia="zh-Hans"/>
              </w:rPr>
              <w:t>1,402,534.1</w:t>
            </w:r>
            <w:r>
              <w:rPr>
                <w:rFonts w:ascii="宋体" w:hAnsi="宋体" w:hint="eastAsia"/>
                <w:kern w:val="0"/>
                <w:szCs w:val="24"/>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kern w:val="0"/>
                <w:szCs w:val="24"/>
                <w:lang w:eastAsia="zh-Hans"/>
              </w:rPr>
              <w:t>-</w:t>
            </w:r>
          </w:p>
        </w:tc>
      </w:tr>
      <w:tr w:rsidR="00000000">
        <w:trPr>
          <w:divId w:val="110580518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szCs w:val="24"/>
                <w:lang w:eastAsia="zh-Hans"/>
              </w:rPr>
              <w:t>-</w:t>
            </w:r>
          </w:p>
        </w:tc>
      </w:tr>
      <w:tr w:rsidR="00000000">
        <w:trPr>
          <w:divId w:val="110580518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rPr>
                <w:rFonts w:hint="eastAsia"/>
              </w:rPr>
            </w:pPr>
            <w:r>
              <w:rPr>
                <w:rFonts w:ascii="宋体" w:hAnsi="宋体" w:hint="eastAsia"/>
                <w:lang w:eastAsia="zh-Hans"/>
              </w:rPr>
              <w:t>246,031.8</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lang w:eastAsia="zh-Hans"/>
              </w:rPr>
              <w:t>-</w:t>
            </w:r>
          </w:p>
        </w:tc>
      </w:tr>
      <w:tr w:rsidR="00000000">
        <w:trPr>
          <w:divId w:val="110580518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rPr>
                <w:rFonts w:hint="eastAsia"/>
              </w:rPr>
            </w:pPr>
            <w:r>
              <w:rPr>
                <w:rFonts w:ascii="宋体" w:hAnsi="宋体" w:hint="eastAsia"/>
                <w:lang w:eastAsia="zh-Hans"/>
              </w:rPr>
              <w:t>1,156,502.3</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lang w:eastAsia="zh-Hans"/>
              </w:rPr>
              <w:t>-</w:t>
            </w:r>
          </w:p>
        </w:tc>
      </w:tr>
      <w:tr w:rsidR="00000000">
        <w:trPr>
          <w:divId w:val="110580518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rPr>
                <w:rFonts w:hint="eastAsia"/>
              </w:rPr>
            </w:pPr>
            <w:r>
              <w:rPr>
                <w:rFonts w:ascii="宋体" w:hAnsi="宋体" w:hint="eastAsia"/>
                <w:lang w:eastAsia="zh-Hans"/>
              </w:rPr>
              <w:t>0.0</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lang w:eastAsia="zh-Hans"/>
              </w:rPr>
              <w:t>-</w:t>
            </w:r>
          </w:p>
        </w:tc>
      </w:tr>
    </w:tbl>
    <w:p w:rsidR="00476EB2" w:rsidRDefault="00476EB2">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590161022"/>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76EB2" w:rsidRDefault="00476EB2">
            <w:pPr>
              <w:jc w:val="center"/>
            </w:pPr>
            <w:r>
              <w:rPr>
                <w:rFonts w:ascii="宋体" w:hAnsi="宋体" w:hint="eastAsia"/>
              </w:rPr>
              <w:t>适用费率</w:t>
            </w:r>
            <w:r>
              <w:rPr>
                <w:rFonts w:ascii="宋体" w:hAnsi="宋体" w:hint="eastAsia"/>
              </w:rPr>
              <w:t xml:space="preserve"> </w:t>
            </w:r>
          </w:p>
        </w:tc>
      </w:tr>
      <w:tr w:rsidR="00000000">
        <w:trPr>
          <w:divId w:val="59016102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-122,551.9</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-111,622.4</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0.2</w:t>
            </w:r>
            <w:r>
              <w:rPr>
                <w:rFonts w:ascii="宋体" w:hAnsi="宋体" w:hint="eastAsia"/>
              </w:rPr>
              <w:t>5</w:t>
            </w:r>
            <w:r>
              <w:t xml:space="preserve">% </w:t>
            </w:r>
          </w:p>
        </w:tc>
      </w:tr>
      <w:tr w:rsidR="00000000">
        <w:trPr>
          <w:divId w:val="59016102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-123,479.8</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-112,292.6</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w:t>
            </w:r>
            <w:r>
              <w:t xml:space="preserve"> </w:t>
            </w:r>
          </w:p>
        </w:tc>
      </w:tr>
      <w:tr w:rsidR="00000000">
        <w:trPr>
          <w:divId w:val="59016102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-246,031.8</w:t>
            </w:r>
            <w:r>
              <w:rPr>
                <w:rFonts w:ascii="宋体" w:hAnsi="宋体" w:hint="eastAsia"/>
              </w:rPr>
              <w:t>6</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pPr>
              <w:jc w:val="right"/>
            </w:pPr>
            <w:r>
              <w:rPr>
                <w:rFonts w:ascii="宋体" w:hAnsi="宋体" w:hint="eastAsia"/>
              </w:rPr>
              <w:t>-223,915.0</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76EB2" w:rsidRDefault="00476EB2"/>
        </w:tc>
      </w:tr>
    </w:tbl>
    <w:p w:rsidR="00476EB2" w:rsidRDefault="00476EB2">
      <w:pPr>
        <w:spacing w:line="360" w:lineRule="auto"/>
        <w:jc w:val="left"/>
        <w:divId w:val="280456823"/>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476EB2" w:rsidRDefault="00476EB2">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476EB2" w:rsidRDefault="00476EB2">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476EB2" w:rsidRDefault="00476EB2">
      <w:pPr>
        <w:spacing w:line="360" w:lineRule="auto"/>
        <w:ind w:firstLineChars="200" w:firstLine="420"/>
        <w:divId w:val="1737780433"/>
        <w:rPr>
          <w:rFonts w:ascii="宋体" w:hAnsi="宋体" w:hint="eastAsia"/>
          <w:szCs w:val="21"/>
          <w:lang w:eastAsia="zh-Hans"/>
        </w:rPr>
      </w:pPr>
      <w:r>
        <w:rPr>
          <w:rFonts w:ascii="宋体" w:hAnsi="宋体" w:hint="eastAsia"/>
          <w:szCs w:val="21"/>
          <w:lang w:eastAsia="zh-Hans"/>
        </w:rPr>
        <w:t>无。</w:t>
      </w:r>
    </w:p>
    <w:p w:rsidR="00476EB2" w:rsidRDefault="00476EB2">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476EB2" w:rsidRDefault="00476EB2">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、中国证监会核准本基金募集的文件；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、《摩根内需动力混合型证券投资基金基金合同》；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、《摩根内需动力混合型证券投资基金登记结算服务协议》；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、《摩根内需动力混合型证券投资基金托管协议》；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、中国证监会要求的其他文件</w:t>
      </w:r>
      <w:r>
        <w:rPr>
          <w:rFonts w:ascii="宋体" w:hAnsi="宋体" w:cs="宋体" w:hint="eastAsia"/>
          <w:color w:val="000000"/>
          <w:kern w:val="0"/>
        </w:rPr>
        <w:t>。</w:t>
      </w:r>
    </w:p>
    <w:p w:rsidR="00476EB2" w:rsidRDefault="00476EB2">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76EB2" w:rsidRDefault="00476EB2">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476EB2" w:rsidRDefault="00476EB2">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476EB2" w:rsidRDefault="00476EB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76EB2" w:rsidRDefault="00476EB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76EB2" w:rsidRDefault="00476EB2">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76EB2" w:rsidRDefault="00476EB2">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76EB2">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EB2" w:rsidRDefault="00476EB2">
      <w:pPr>
        <w:rPr>
          <w:szCs w:val="21"/>
        </w:rPr>
      </w:pPr>
      <w:r>
        <w:rPr>
          <w:szCs w:val="21"/>
        </w:rPr>
        <w:separator/>
      </w:r>
      <w:r>
        <w:rPr>
          <w:szCs w:val="21"/>
        </w:rPr>
        <w:t xml:space="preserve"> </w:t>
      </w:r>
    </w:p>
  </w:endnote>
  <w:endnote w:type="continuationSeparator" w:id="0">
    <w:p w:rsidR="00476EB2" w:rsidRDefault="00476EB2">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EB2" w:rsidRDefault="00476EB2">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EB2" w:rsidRDefault="00476EB2">
      <w:pPr>
        <w:rPr>
          <w:szCs w:val="21"/>
        </w:rPr>
      </w:pPr>
      <w:r>
        <w:rPr>
          <w:szCs w:val="21"/>
        </w:rPr>
        <w:separator/>
      </w:r>
      <w:r>
        <w:rPr>
          <w:szCs w:val="21"/>
        </w:rPr>
        <w:t xml:space="preserve"> </w:t>
      </w:r>
    </w:p>
  </w:footnote>
  <w:footnote w:type="continuationSeparator" w:id="0">
    <w:p w:rsidR="00476EB2" w:rsidRDefault="00476EB2">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EB2" w:rsidRDefault="00476EB2">
    <w:pPr>
      <w:pStyle w:val="a8"/>
      <w:jc w:val="right"/>
    </w:pPr>
    <w:r>
      <w:rPr>
        <w:rFonts w:ascii="宋体" w:hAnsi="宋体" w:hint="eastAsia"/>
      </w:rPr>
      <w:t>摩根内需动力混合型证券投资基金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58886297">
    <w:abstractNumId w:val="0"/>
  </w:num>
  <w:num w:numId="2" w16cid:durableId="1974407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94CD9"/>
    <w:rsid w:val="00394CD9"/>
    <w:rsid w:val="00476EB2"/>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14341">
      <w:marLeft w:val="0"/>
      <w:marRight w:val="0"/>
      <w:marTop w:val="0"/>
      <w:marBottom w:val="0"/>
      <w:divBdr>
        <w:top w:val="none" w:sz="0" w:space="0" w:color="auto"/>
        <w:left w:val="none" w:sz="0" w:space="0" w:color="auto"/>
        <w:bottom w:val="none" w:sz="0" w:space="0" w:color="auto"/>
        <w:right w:val="none" w:sz="0" w:space="0" w:color="auto"/>
      </w:divBdr>
    </w:div>
    <w:div w:id="135226647">
      <w:marLeft w:val="0"/>
      <w:marRight w:val="0"/>
      <w:marTop w:val="0"/>
      <w:marBottom w:val="0"/>
      <w:divBdr>
        <w:top w:val="none" w:sz="0" w:space="0" w:color="auto"/>
        <w:left w:val="none" w:sz="0" w:space="0" w:color="auto"/>
        <w:bottom w:val="none" w:sz="0" w:space="0" w:color="auto"/>
        <w:right w:val="none" w:sz="0" w:space="0" w:color="auto"/>
      </w:divBdr>
    </w:div>
    <w:div w:id="230624006">
      <w:marLeft w:val="0"/>
      <w:marRight w:val="0"/>
      <w:marTop w:val="0"/>
      <w:marBottom w:val="0"/>
      <w:divBdr>
        <w:top w:val="none" w:sz="0" w:space="0" w:color="auto"/>
        <w:left w:val="none" w:sz="0" w:space="0" w:color="auto"/>
        <w:bottom w:val="none" w:sz="0" w:space="0" w:color="auto"/>
        <w:right w:val="none" w:sz="0" w:space="0" w:color="auto"/>
      </w:divBdr>
    </w:div>
    <w:div w:id="232274887">
      <w:marLeft w:val="0"/>
      <w:marRight w:val="0"/>
      <w:marTop w:val="0"/>
      <w:marBottom w:val="0"/>
      <w:divBdr>
        <w:top w:val="none" w:sz="0" w:space="0" w:color="auto"/>
        <w:left w:val="none" w:sz="0" w:space="0" w:color="auto"/>
        <w:bottom w:val="none" w:sz="0" w:space="0" w:color="auto"/>
        <w:right w:val="none" w:sz="0" w:space="0" w:color="auto"/>
      </w:divBdr>
    </w:div>
    <w:div w:id="280456823">
      <w:marLeft w:val="0"/>
      <w:marRight w:val="0"/>
      <w:marTop w:val="0"/>
      <w:marBottom w:val="0"/>
      <w:divBdr>
        <w:top w:val="none" w:sz="0" w:space="0" w:color="auto"/>
        <w:left w:val="none" w:sz="0" w:space="0" w:color="auto"/>
        <w:bottom w:val="none" w:sz="0" w:space="0" w:color="auto"/>
        <w:right w:val="none" w:sz="0" w:space="0" w:color="auto"/>
      </w:divBdr>
      <w:divsChild>
        <w:div w:id="590161022">
          <w:marLeft w:val="0"/>
          <w:marRight w:val="0"/>
          <w:marTop w:val="0"/>
          <w:marBottom w:val="0"/>
          <w:divBdr>
            <w:top w:val="none" w:sz="0" w:space="0" w:color="auto"/>
            <w:left w:val="none" w:sz="0" w:space="0" w:color="auto"/>
            <w:bottom w:val="none" w:sz="0" w:space="0" w:color="auto"/>
            <w:right w:val="none" w:sz="0" w:space="0" w:color="auto"/>
          </w:divBdr>
        </w:div>
      </w:divsChild>
    </w:div>
    <w:div w:id="302543710">
      <w:marLeft w:val="0"/>
      <w:marRight w:val="0"/>
      <w:marTop w:val="0"/>
      <w:marBottom w:val="0"/>
      <w:divBdr>
        <w:top w:val="none" w:sz="0" w:space="0" w:color="auto"/>
        <w:left w:val="none" w:sz="0" w:space="0" w:color="auto"/>
        <w:bottom w:val="none" w:sz="0" w:space="0" w:color="auto"/>
        <w:right w:val="none" w:sz="0" w:space="0" w:color="auto"/>
      </w:divBdr>
      <w:divsChild>
        <w:div w:id="1029374429">
          <w:marLeft w:val="0"/>
          <w:marRight w:val="0"/>
          <w:marTop w:val="0"/>
          <w:marBottom w:val="0"/>
          <w:divBdr>
            <w:top w:val="none" w:sz="0" w:space="0" w:color="auto"/>
            <w:left w:val="none" w:sz="0" w:space="0" w:color="auto"/>
            <w:bottom w:val="none" w:sz="0" w:space="0" w:color="auto"/>
            <w:right w:val="none" w:sz="0" w:space="0" w:color="auto"/>
          </w:divBdr>
        </w:div>
      </w:divsChild>
    </w:div>
    <w:div w:id="328214664">
      <w:marLeft w:val="0"/>
      <w:marRight w:val="0"/>
      <w:marTop w:val="0"/>
      <w:marBottom w:val="0"/>
      <w:divBdr>
        <w:top w:val="none" w:sz="0" w:space="0" w:color="auto"/>
        <w:left w:val="none" w:sz="0" w:space="0" w:color="auto"/>
        <w:bottom w:val="none" w:sz="0" w:space="0" w:color="auto"/>
        <w:right w:val="none" w:sz="0" w:space="0" w:color="auto"/>
      </w:divBdr>
    </w:div>
    <w:div w:id="524976046">
      <w:marLeft w:val="0"/>
      <w:marRight w:val="0"/>
      <w:marTop w:val="0"/>
      <w:marBottom w:val="0"/>
      <w:divBdr>
        <w:top w:val="none" w:sz="0" w:space="0" w:color="auto"/>
        <w:left w:val="none" w:sz="0" w:space="0" w:color="auto"/>
        <w:bottom w:val="none" w:sz="0" w:space="0" w:color="auto"/>
        <w:right w:val="none" w:sz="0" w:space="0" w:color="auto"/>
      </w:divBdr>
    </w:div>
    <w:div w:id="668293820">
      <w:marLeft w:val="0"/>
      <w:marRight w:val="0"/>
      <w:marTop w:val="0"/>
      <w:marBottom w:val="0"/>
      <w:divBdr>
        <w:top w:val="none" w:sz="0" w:space="0" w:color="auto"/>
        <w:left w:val="none" w:sz="0" w:space="0" w:color="auto"/>
        <w:bottom w:val="none" w:sz="0" w:space="0" w:color="auto"/>
        <w:right w:val="none" w:sz="0" w:space="0" w:color="auto"/>
      </w:divBdr>
      <w:divsChild>
        <w:div w:id="1105805187">
          <w:marLeft w:val="0"/>
          <w:marRight w:val="0"/>
          <w:marTop w:val="0"/>
          <w:marBottom w:val="0"/>
          <w:divBdr>
            <w:top w:val="none" w:sz="0" w:space="0" w:color="auto"/>
            <w:left w:val="none" w:sz="0" w:space="0" w:color="auto"/>
            <w:bottom w:val="none" w:sz="0" w:space="0" w:color="auto"/>
            <w:right w:val="none" w:sz="0" w:space="0" w:color="auto"/>
          </w:divBdr>
        </w:div>
      </w:divsChild>
    </w:div>
    <w:div w:id="900100091">
      <w:marLeft w:val="0"/>
      <w:marRight w:val="0"/>
      <w:marTop w:val="0"/>
      <w:marBottom w:val="0"/>
      <w:divBdr>
        <w:top w:val="none" w:sz="0" w:space="0" w:color="auto"/>
        <w:left w:val="none" w:sz="0" w:space="0" w:color="auto"/>
        <w:bottom w:val="none" w:sz="0" w:space="0" w:color="auto"/>
        <w:right w:val="none" w:sz="0" w:space="0" w:color="auto"/>
      </w:divBdr>
      <w:divsChild>
        <w:div w:id="696925426">
          <w:marLeft w:val="0"/>
          <w:marRight w:val="0"/>
          <w:marTop w:val="0"/>
          <w:marBottom w:val="0"/>
          <w:divBdr>
            <w:top w:val="none" w:sz="0" w:space="0" w:color="auto"/>
            <w:left w:val="none" w:sz="0" w:space="0" w:color="auto"/>
            <w:bottom w:val="none" w:sz="0" w:space="0" w:color="auto"/>
            <w:right w:val="none" w:sz="0" w:space="0" w:color="auto"/>
          </w:divBdr>
        </w:div>
      </w:divsChild>
    </w:div>
    <w:div w:id="1024746440">
      <w:marLeft w:val="0"/>
      <w:marRight w:val="0"/>
      <w:marTop w:val="0"/>
      <w:marBottom w:val="0"/>
      <w:divBdr>
        <w:top w:val="none" w:sz="0" w:space="0" w:color="auto"/>
        <w:left w:val="none" w:sz="0" w:space="0" w:color="auto"/>
        <w:bottom w:val="none" w:sz="0" w:space="0" w:color="auto"/>
        <w:right w:val="none" w:sz="0" w:space="0" w:color="auto"/>
      </w:divBdr>
    </w:div>
    <w:div w:id="1196230750">
      <w:marLeft w:val="0"/>
      <w:marRight w:val="0"/>
      <w:marTop w:val="0"/>
      <w:marBottom w:val="0"/>
      <w:divBdr>
        <w:top w:val="none" w:sz="0" w:space="0" w:color="auto"/>
        <w:left w:val="none" w:sz="0" w:space="0" w:color="auto"/>
        <w:bottom w:val="none" w:sz="0" w:space="0" w:color="auto"/>
        <w:right w:val="none" w:sz="0" w:space="0" w:color="auto"/>
      </w:divBdr>
      <w:divsChild>
        <w:div w:id="778374453">
          <w:marLeft w:val="0"/>
          <w:marRight w:val="0"/>
          <w:marTop w:val="0"/>
          <w:marBottom w:val="0"/>
          <w:divBdr>
            <w:top w:val="none" w:sz="0" w:space="0" w:color="auto"/>
            <w:left w:val="none" w:sz="0" w:space="0" w:color="auto"/>
            <w:bottom w:val="none" w:sz="0" w:space="0" w:color="auto"/>
            <w:right w:val="none" w:sz="0" w:space="0" w:color="auto"/>
          </w:divBdr>
        </w:div>
      </w:divsChild>
    </w:div>
    <w:div w:id="1416826108">
      <w:marLeft w:val="0"/>
      <w:marRight w:val="0"/>
      <w:marTop w:val="0"/>
      <w:marBottom w:val="0"/>
      <w:divBdr>
        <w:top w:val="none" w:sz="0" w:space="0" w:color="auto"/>
        <w:left w:val="none" w:sz="0" w:space="0" w:color="auto"/>
        <w:bottom w:val="none" w:sz="0" w:space="0" w:color="auto"/>
        <w:right w:val="none" w:sz="0" w:space="0" w:color="auto"/>
      </w:divBdr>
    </w:div>
    <w:div w:id="1607540309">
      <w:marLeft w:val="0"/>
      <w:marRight w:val="0"/>
      <w:marTop w:val="0"/>
      <w:marBottom w:val="0"/>
      <w:divBdr>
        <w:top w:val="none" w:sz="0" w:space="0" w:color="auto"/>
        <w:left w:val="none" w:sz="0" w:space="0" w:color="auto"/>
        <w:bottom w:val="none" w:sz="0" w:space="0" w:color="auto"/>
        <w:right w:val="none" w:sz="0" w:space="0" w:color="auto"/>
      </w:divBdr>
      <w:divsChild>
        <w:div w:id="63964319">
          <w:marLeft w:val="0"/>
          <w:marRight w:val="0"/>
          <w:marTop w:val="0"/>
          <w:marBottom w:val="0"/>
          <w:divBdr>
            <w:top w:val="none" w:sz="0" w:space="0" w:color="auto"/>
            <w:left w:val="none" w:sz="0" w:space="0" w:color="auto"/>
            <w:bottom w:val="none" w:sz="0" w:space="0" w:color="auto"/>
            <w:right w:val="none" w:sz="0" w:space="0" w:color="auto"/>
          </w:divBdr>
        </w:div>
      </w:divsChild>
    </w:div>
    <w:div w:id="1650211754">
      <w:marLeft w:val="0"/>
      <w:marRight w:val="0"/>
      <w:marTop w:val="0"/>
      <w:marBottom w:val="0"/>
      <w:divBdr>
        <w:top w:val="none" w:sz="0" w:space="0" w:color="auto"/>
        <w:left w:val="none" w:sz="0" w:space="0" w:color="auto"/>
        <w:bottom w:val="none" w:sz="0" w:space="0" w:color="auto"/>
        <w:right w:val="none" w:sz="0" w:space="0" w:color="auto"/>
      </w:divBdr>
      <w:divsChild>
        <w:div w:id="235550239">
          <w:marLeft w:val="0"/>
          <w:marRight w:val="0"/>
          <w:marTop w:val="0"/>
          <w:marBottom w:val="0"/>
          <w:divBdr>
            <w:top w:val="none" w:sz="0" w:space="0" w:color="auto"/>
            <w:left w:val="none" w:sz="0" w:space="0" w:color="auto"/>
            <w:bottom w:val="none" w:sz="0" w:space="0" w:color="auto"/>
            <w:right w:val="none" w:sz="0" w:space="0" w:color="auto"/>
          </w:divBdr>
        </w:div>
      </w:divsChild>
    </w:div>
    <w:div w:id="1737780433">
      <w:marLeft w:val="0"/>
      <w:marRight w:val="0"/>
      <w:marTop w:val="0"/>
      <w:marBottom w:val="0"/>
      <w:divBdr>
        <w:top w:val="none" w:sz="0" w:space="0" w:color="auto"/>
        <w:left w:val="none" w:sz="0" w:space="0" w:color="auto"/>
        <w:bottom w:val="none" w:sz="0" w:space="0" w:color="auto"/>
        <w:right w:val="none" w:sz="0" w:space="0" w:color="auto"/>
      </w:divBdr>
    </w:div>
    <w:div w:id="1760757067">
      <w:marLeft w:val="0"/>
      <w:marRight w:val="0"/>
      <w:marTop w:val="0"/>
      <w:marBottom w:val="0"/>
      <w:divBdr>
        <w:top w:val="none" w:sz="0" w:space="0" w:color="auto"/>
        <w:left w:val="none" w:sz="0" w:space="0" w:color="auto"/>
        <w:bottom w:val="none" w:sz="0" w:space="0" w:color="auto"/>
        <w:right w:val="none" w:sz="0" w:space="0" w:color="auto"/>
      </w:divBdr>
    </w:div>
    <w:div w:id="1873764092">
      <w:marLeft w:val="0"/>
      <w:marRight w:val="0"/>
      <w:marTop w:val="0"/>
      <w:marBottom w:val="0"/>
      <w:divBdr>
        <w:top w:val="none" w:sz="0" w:space="0" w:color="auto"/>
        <w:left w:val="none" w:sz="0" w:space="0" w:color="auto"/>
        <w:bottom w:val="none" w:sz="0" w:space="0" w:color="auto"/>
        <w:right w:val="none" w:sz="0" w:space="0" w:color="auto"/>
      </w:divBdr>
    </w:div>
    <w:div w:id="1877279316">
      <w:marLeft w:val="0"/>
      <w:marRight w:val="0"/>
      <w:marTop w:val="0"/>
      <w:marBottom w:val="0"/>
      <w:divBdr>
        <w:top w:val="none" w:sz="0" w:space="0" w:color="auto"/>
        <w:left w:val="none" w:sz="0" w:space="0" w:color="auto"/>
        <w:bottom w:val="none" w:sz="0" w:space="0" w:color="auto"/>
        <w:right w:val="none" w:sz="0" w:space="0" w:color="auto"/>
      </w:divBdr>
    </w:div>
    <w:div w:id="2139642423">
      <w:marLeft w:val="0"/>
      <w:marRight w:val="0"/>
      <w:marTop w:val="0"/>
      <w:marBottom w:val="0"/>
      <w:divBdr>
        <w:top w:val="none" w:sz="0" w:space="0" w:color="auto"/>
        <w:left w:val="none" w:sz="0" w:space="0" w:color="auto"/>
        <w:bottom w:val="none" w:sz="0" w:space="0" w:color="auto"/>
        <w:right w:val="none" w:sz="0" w:space="0" w:color="auto"/>
      </w:divBdr>
      <w:divsChild>
        <w:div w:id="521165502">
          <w:marLeft w:val="0"/>
          <w:marRight w:val="0"/>
          <w:marTop w:val="0"/>
          <w:marBottom w:val="0"/>
          <w:divBdr>
            <w:top w:val="none" w:sz="0" w:space="0" w:color="auto"/>
            <w:left w:val="none" w:sz="0" w:space="0" w:color="auto"/>
            <w:bottom w:val="none" w:sz="0" w:space="0" w:color="auto"/>
            <w:right w:val="none" w:sz="0" w:space="0" w:color="auto"/>
          </w:divBdr>
        </w:div>
        <w:div w:id="157820370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1270</Words>
  <Characters>7240</Characters>
  <Application>Microsoft Office Word</Application>
  <DocSecurity>4</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