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摩根内需动力混合型证券投资基金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bookmarkStart w:id="0" w:name="_GoBack"/>
      <w:bookmarkEnd w:id="0"/>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基金托管人：中国工商银行股份有限公司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报告送出日期：二〇二三年四月二十一日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317323" w:rsidRDefault="002A71E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317323" w:rsidRDefault="002A71E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基金托管人中国工商银行股份有限公司根据本基金合同规定，于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317323" w:rsidRDefault="002A71E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317323" w:rsidRDefault="002A71E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317323" w:rsidRDefault="002A71EA">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摩根内需动力混合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377020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2007</w:t>
            </w:r>
            <w:r w:rsidRPr="00B27A29">
              <w:rPr>
                <w:rFonts w:eastAsiaTheme="minorEastAsia"/>
                <w:color w:val="000000" w:themeColor="text1"/>
                <w:kern w:val="0"/>
                <w:szCs w:val="21"/>
              </w:rPr>
              <w:t>年</w:t>
            </w:r>
            <w:r w:rsidRPr="00B27A29">
              <w:rPr>
                <w:rFonts w:eastAsiaTheme="minorEastAsia"/>
                <w:color w:val="000000" w:themeColor="text1"/>
                <w:kern w:val="0"/>
                <w:szCs w:val="21"/>
              </w:rPr>
              <w:t>4</w:t>
            </w:r>
            <w:r w:rsidRPr="00B27A29">
              <w:rPr>
                <w:rFonts w:eastAsiaTheme="minorEastAsia"/>
                <w:color w:val="000000" w:themeColor="text1"/>
                <w:kern w:val="0"/>
                <w:szCs w:val="21"/>
              </w:rPr>
              <w:t>月</w:t>
            </w:r>
            <w:r w:rsidRPr="00B27A29">
              <w:rPr>
                <w:rFonts w:eastAsiaTheme="minorEastAsia"/>
                <w:color w:val="000000" w:themeColor="text1"/>
                <w:kern w:val="0"/>
                <w:szCs w:val="21"/>
              </w:rPr>
              <w:t>13</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2,319,086,938.10</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本基金重点投资于内需增长背景下具有竞争优势的上市公司，把握中国经济和行业快速增长带来的投资机会，追求基金资产长期稳定增值。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317323" w:rsidRDefault="002A71E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1</w:t>
            </w:r>
            <w:r>
              <w:rPr>
                <w:rFonts w:eastAsiaTheme="minorEastAsia"/>
                <w:color w:val="000000" w:themeColor="text1"/>
                <w:kern w:val="0"/>
                <w:szCs w:val="21"/>
              </w:rPr>
              <w:t>）股票投资策略</w:t>
            </w:r>
          </w:p>
          <w:p w:rsidR="00317323" w:rsidRDefault="002A71E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在投资组合构建和管理的过程中，本基金将采取</w:t>
            </w:r>
            <w:r>
              <w:rPr>
                <w:rFonts w:eastAsiaTheme="minorEastAsia"/>
                <w:color w:val="000000" w:themeColor="text1"/>
                <w:kern w:val="0"/>
                <w:szCs w:val="21"/>
              </w:rPr>
              <w:t>“</w:t>
            </w:r>
            <w:r>
              <w:rPr>
                <w:rFonts w:eastAsiaTheme="minorEastAsia"/>
                <w:color w:val="000000" w:themeColor="text1"/>
                <w:kern w:val="0"/>
                <w:szCs w:val="21"/>
              </w:rPr>
              <w:t>自上而下</w:t>
            </w:r>
            <w:r>
              <w:rPr>
                <w:rFonts w:eastAsiaTheme="minorEastAsia"/>
                <w:color w:val="000000" w:themeColor="text1"/>
                <w:kern w:val="0"/>
                <w:szCs w:val="21"/>
              </w:rPr>
              <w:t>”</w:t>
            </w:r>
            <w:r>
              <w:rPr>
                <w:rFonts w:eastAsiaTheme="minorEastAsia"/>
                <w:color w:val="000000" w:themeColor="text1"/>
                <w:kern w:val="0"/>
                <w:szCs w:val="21"/>
              </w:rPr>
              <w:t>与</w:t>
            </w:r>
            <w:r>
              <w:rPr>
                <w:rFonts w:eastAsiaTheme="minorEastAsia"/>
                <w:color w:val="000000" w:themeColor="text1"/>
                <w:kern w:val="0"/>
                <w:szCs w:val="21"/>
              </w:rPr>
              <w:t>“</w:t>
            </w:r>
            <w:r>
              <w:rPr>
                <w:rFonts w:eastAsiaTheme="minorEastAsia"/>
                <w:color w:val="000000" w:themeColor="text1"/>
                <w:kern w:val="0"/>
                <w:szCs w:val="21"/>
              </w:rPr>
              <w:t>自下而上</w:t>
            </w:r>
            <w:r>
              <w:rPr>
                <w:rFonts w:eastAsiaTheme="minorEastAsia"/>
                <w:color w:val="000000" w:themeColor="text1"/>
                <w:kern w:val="0"/>
                <w:szCs w:val="21"/>
              </w:rPr>
              <w:t>”</w:t>
            </w:r>
            <w:r>
              <w:rPr>
                <w:rFonts w:eastAsiaTheme="minorEastAsia"/>
                <w:color w:val="000000" w:themeColor="text1"/>
                <w:kern w:val="0"/>
                <w:szCs w:val="21"/>
              </w:rPr>
              <w:t>相结合的方法。基金管理人在内需驱动行业分析的基础上，选择具有可持续增长前景的优势上市公司股票，以合理价格买入并进行中长期投资。</w:t>
            </w:r>
          </w:p>
          <w:p w:rsidR="00317323" w:rsidRDefault="002A71E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2</w:t>
            </w:r>
            <w:r>
              <w:rPr>
                <w:rFonts w:eastAsiaTheme="minorEastAsia"/>
                <w:color w:val="000000" w:themeColor="text1"/>
                <w:kern w:val="0"/>
                <w:szCs w:val="21"/>
              </w:rPr>
              <w:t>）固定收益类投资策略</w:t>
            </w:r>
          </w:p>
          <w:p w:rsidR="00317323" w:rsidRDefault="002A71E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本基金以股票投资为主，一般市场情况下，基金管理人不会积极追求大类资产配置，但为进一步控制投资风险，优化组合流动性管理，本基金将适度防御性资产配置，进行债券、货币市场工具等品种投资。</w:t>
            </w:r>
          </w:p>
          <w:p w:rsidR="00317323" w:rsidRDefault="002A71E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券种选择上，本基金以中长期利率趋势分析为基础，结合经济趋势、货币政策及不同债券品种的收益率水平、流动性和信用风险等因素，重点选择那些流动性较好、风险水平合理、到期收益率与信用质量相对较高的债券品种。</w:t>
            </w:r>
          </w:p>
          <w:p w:rsidR="00317323" w:rsidRDefault="002A71E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3</w:t>
            </w:r>
            <w:r>
              <w:rPr>
                <w:rFonts w:eastAsiaTheme="minorEastAsia"/>
                <w:color w:val="000000" w:themeColor="text1"/>
                <w:kern w:val="0"/>
                <w:szCs w:val="21"/>
              </w:rPr>
              <w:t>）存托凭证投资策略</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本基金将根据本基金的投资目标和股票投资策略，基于对基础证券投资价值的深入研究判断，进行存托凭证的投资。</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×80%</w:t>
            </w:r>
            <w:r w:rsidRPr="00B27A29">
              <w:rPr>
                <w:rFonts w:eastAsiaTheme="minorEastAsia"/>
                <w:color w:val="000000" w:themeColor="text1"/>
                <w:kern w:val="0"/>
                <w:szCs w:val="21"/>
              </w:rPr>
              <w:t>＋上证国债指数收益率</w:t>
            </w:r>
            <w:r w:rsidRPr="00B27A29">
              <w:rPr>
                <w:rFonts w:eastAsiaTheme="minorEastAsia"/>
                <w:color w:val="000000" w:themeColor="text1"/>
                <w:kern w:val="0"/>
                <w:szCs w:val="21"/>
              </w:rPr>
              <w:t>×20</w:t>
            </w:r>
            <w:r w:rsidRPr="00B27A29">
              <w:rPr>
                <w:rFonts w:eastAsiaTheme="minorEastAsia"/>
                <w:color w:val="000000" w:themeColor="text1"/>
                <w:kern w:val="0"/>
                <w:szCs w:val="21"/>
              </w:rPr>
              <w:t>％</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317323" w:rsidRDefault="002A71E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本基金是一只混合型基金，其预期风险和预期收益低于股票型基金、高于债券型基金和货币市场基金，属于较高风险、较高预期收益的基金产品。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中国工商银行股份有限公司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摩根内需动力混合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摩根内需动力混合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377020</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016402</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2,317,300,268.81</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1,786,669.29</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摩根内需动力混合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摩根内需动力混合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-206,882,669.17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-133,478.39</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13,159,796.27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11,579.74</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0.0057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0.0081</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1,850,902,398.57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1,423,209.01</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0.7987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0.7966</w:t>
            </w:r>
          </w:p>
        </w:tc>
      </w:tr>
    </w:tbl>
    <w:p w:rsidR="00317323" w:rsidRDefault="002A71E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摩根内需动力混合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317323">
        <w:tc>
          <w:tcPr>
            <w:tcW w:w="1290" w:type="dxa"/>
            <w:vAlign w:val="center"/>
          </w:tcPr>
          <w:p w:rsidR="00317323" w:rsidRDefault="002A71EA">
            <w:pPr>
              <w:jc w:val="left"/>
            </w:pPr>
            <w:r>
              <w:rPr>
                <w:rFonts w:eastAsiaTheme="minorEastAsia"/>
                <w:color w:val="000000" w:themeColor="text1"/>
                <w:szCs w:val="21"/>
              </w:rPr>
              <w:t>过去三个月</w:t>
            </w:r>
          </w:p>
        </w:tc>
        <w:tc>
          <w:tcPr>
            <w:tcW w:w="1291" w:type="dxa"/>
            <w:vAlign w:val="center"/>
          </w:tcPr>
          <w:p w:rsidR="00317323" w:rsidRDefault="002A71EA">
            <w:pPr>
              <w:jc w:val="right"/>
            </w:pPr>
            <w:r>
              <w:rPr>
                <w:rFonts w:eastAsiaTheme="minorEastAsia"/>
                <w:color w:val="000000" w:themeColor="text1"/>
                <w:szCs w:val="21"/>
              </w:rPr>
              <w:t>0.77%</w:t>
            </w:r>
          </w:p>
        </w:tc>
        <w:tc>
          <w:tcPr>
            <w:tcW w:w="1291" w:type="dxa"/>
            <w:vAlign w:val="center"/>
          </w:tcPr>
          <w:p w:rsidR="00317323" w:rsidRDefault="002A71EA">
            <w:pPr>
              <w:jc w:val="right"/>
            </w:pPr>
            <w:r>
              <w:rPr>
                <w:rFonts w:eastAsiaTheme="minorEastAsia"/>
                <w:color w:val="000000" w:themeColor="text1"/>
                <w:szCs w:val="21"/>
              </w:rPr>
              <w:t>1.00%</w:t>
            </w:r>
          </w:p>
        </w:tc>
        <w:tc>
          <w:tcPr>
            <w:tcW w:w="1291" w:type="dxa"/>
            <w:vAlign w:val="center"/>
          </w:tcPr>
          <w:p w:rsidR="00317323" w:rsidRDefault="002A71EA">
            <w:pPr>
              <w:jc w:val="right"/>
            </w:pPr>
            <w:r>
              <w:rPr>
                <w:rFonts w:eastAsiaTheme="minorEastAsia"/>
                <w:color w:val="000000" w:themeColor="text1"/>
                <w:szCs w:val="21"/>
              </w:rPr>
              <w:t>3.85%</w:t>
            </w:r>
          </w:p>
        </w:tc>
        <w:tc>
          <w:tcPr>
            <w:tcW w:w="1291" w:type="dxa"/>
            <w:vAlign w:val="center"/>
          </w:tcPr>
          <w:p w:rsidR="00317323" w:rsidRDefault="002A71EA">
            <w:pPr>
              <w:jc w:val="right"/>
            </w:pPr>
            <w:r>
              <w:rPr>
                <w:rFonts w:eastAsiaTheme="minorEastAsia"/>
                <w:color w:val="000000" w:themeColor="text1"/>
                <w:szCs w:val="21"/>
              </w:rPr>
              <w:t>0.69%</w:t>
            </w:r>
          </w:p>
        </w:tc>
        <w:tc>
          <w:tcPr>
            <w:tcW w:w="1291" w:type="dxa"/>
            <w:vAlign w:val="center"/>
          </w:tcPr>
          <w:p w:rsidR="00317323" w:rsidRDefault="002A71EA">
            <w:pPr>
              <w:jc w:val="right"/>
            </w:pPr>
            <w:r>
              <w:rPr>
                <w:rFonts w:eastAsiaTheme="minorEastAsia"/>
                <w:color w:val="000000" w:themeColor="text1"/>
                <w:szCs w:val="21"/>
              </w:rPr>
              <w:t>-3.08%</w:t>
            </w:r>
          </w:p>
        </w:tc>
        <w:tc>
          <w:tcPr>
            <w:tcW w:w="1291" w:type="dxa"/>
            <w:vAlign w:val="center"/>
          </w:tcPr>
          <w:p w:rsidR="00317323" w:rsidRDefault="002A71EA">
            <w:pPr>
              <w:jc w:val="right"/>
            </w:pPr>
            <w:r>
              <w:rPr>
                <w:rFonts w:eastAsiaTheme="minorEastAsia"/>
                <w:color w:val="000000" w:themeColor="text1"/>
                <w:szCs w:val="21"/>
              </w:rPr>
              <w:t>0.31%</w:t>
            </w:r>
          </w:p>
        </w:tc>
      </w:tr>
      <w:tr w:rsidR="00317323">
        <w:tc>
          <w:tcPr>
            <w:tcW w:w="1290" w:type="dxa"/>
            <w:vAlign w:val="center"/>
          </w:tcPr>
          <w:p w:rsidR="00317323" w:rsidRDefault="002A71EA">
            <w:pPr>
              <w:jc w:val="left"/>
            </w:pPr>
            <w:r>
              <w:rPr>
                <w:rFonts w:eastAsiaTheme="minorEastAsia"/>
                <w:color w:val="000000" w:themeColor="text1"/>
                <w:szCs w:val="21"/>
              </w:rPr>
              <w:t>过去六个月</w:t>
            </w:r>
          </w:p>
        </w:tc>
        <w:tc>
          <w:tcPr>
            <w:tcW w:w="1291" w:type="dxa"/>
            <w:vAlign w:val="center"/>
          </w:tcPr>
          <w:p w:rsidR="00317323" w:rsidRDefault="002A71EA">
            <w:pPr>
              <w:jc w:val="right"/>
            </w:pPr>
            <w:r>
              <w:rPr>
                <w:rFonts w:eastAsiaTheme="minorEastAsia"/>
                <w:color w:val="000000" w:themeColor="text1"/>
                <w:szCs w:val="21"/>
              </w:rPr>
              <w:t>-14.47%</w:t>
            </w:r>
          </w:p>
        </w:tc>
        <w:tc>
          <w:tcPr>
            <w:tcW w:w="1291" w:type="dxa"/>
            <w:vAlign w:val="center"/>
          </w:tcPr>
          <w:p w:rsidR="00317323" w:rsidRDefault="002A71EA">
            <w:pPr>
              <w:jc w:val="right"/>
            </w:pPr>
            <w:r>
              <w:rPr>
                <w:rFonts w:eastAsiaTheme="minorEastAsia"/>
                <w:color w:val="000000" w:themeColor="text1"/>
                <w:szCs w:val="21"/>
              </w:rPr>
              <w:t>1.25%</w:t>
            </w:r>
          </w:p>
        </w:tc>
        <w:tc>
          <w:tcPr>
            <w:tcW w:w="1291" w:type="dxa"/>
            <w:vAlign w:val="center"/>
          </w:tcPr>
          <w:p w:rsidR="00317323" w:rsidRDefault="002A71EA">
            <w:pPr>
              <w:jc w:val="right"/>
            </w:pPr>
            <w:r>
              <w:rPr>
                <w:rFonts w:eastAsiaTheme="minorEastAsia"/>
                <w:color w:val="000000" w:themeColor="text1"/>
                <w:szCs w:val="21"/>
              </w:rPr>
              <w:t>5.39%</w:t>
            </w:r>
          </w:p>
        </w:tc>
        <w:tc>
          <w:tcPr>
            <w:tcW w:w="1291" w:type="dxa"/>
            <w:vAlign w:val="center"/>
          </w:tcPr>
          <w:p w:rsidR="00317323" w:rsidRDefault="002A71EA">
            <w:pPr>
              <w:jc w:val="right"/>
            </w:pPr>
            <w:r>
              <w:rPr>
                <w:rFonts w:eastAsiaTheme="minorEastAsia"/>
                <w:color w:val="000000" w:themeColor="text1"/>
                <w:szCs w:val="21"/>
              </w:rPr>
              <w:t>0.88%</w:t>
            </w:r>
          </w:p>
        </w:tc>
        <w:tc>
          <w:tcPr>
            <w:tcW w:w="1291" w:type="dxa"/>
            <w:vAlign w:val="center"/>
          </w:tcPr>
          <w:p w:rsidR="00317323" w:rsidRDefault="002A71EA">
            <w:pPr>
              <w:jc w:val="right"/>
            </w:pPr>
            <w:r>
              <w:rPr>
                <w:rFonts w:eastAsiaTheme="minorEastAsia"/>
                <w:color w:val="000000" w:themeColor="text1"/>
                <w:szCs w:val="21"/>
              </w:rPr>
              <w:t>-19.86%</w:t>
            </w:r>
          </w:p>
        </w:tc>
        <w:tc>
          <w:tcPr>
            <w:tcW w:w="1291" w:type="dxa"/>
            <w:vAlign w:val="center"/>
          </w:tcPr>
          <w:p w:rsidR="00317323" w:rsidRDefault="002A71EA">
            <w:pPr>
              <w:jc w:val="right"/>
            </w:pPr>
            <w:r>
              <w:rPr>
                <w:rFonts w:eastAsiaTheme="minorEastAsia"/>
                <w:color w:val="000000" w:themeColor="text1"/>
                <w:szCs w:val="21"/>
              </w:rPr>
              <w:t>0.37%</w:t>
            </w:r>
          </w:p>
        </w:tc>
      </w:tr>
      <w:tr w:rsidR="00317323">
        <w:tc>
          <w:tcPr>
            <w:tcW w:w="1290" w:type="dxa"/>
            <w:vAlign w:val="center"/>
          </w:tcPr>
          <w:p w:rsidR="00317323" w:rsidRDefault="002A71EA">
            <w:pPr>
              <w:jc w:val="left"/>
            </w:pPr>
            <w:r>
              <w:rPr>
                <w:rFonts w:eastAsiaTheme="minorEastAsia"/>
                <w:color w:val="000000" w:themeColor="text1"/>
                <w:szCs w:val="21"/>
              </w:rPr>
              <w:t>过去一年</w:t>
            </w:r>
          </w:p>
        </w:tc>
        <w:tc>
          <w:tcPr>
            <w:tcW w:w="1291" w:type="dxa"/>
            <w:vAlign w:val="center"/>
          </w:tcPr>
          <w:p w:rsidR="00317323" w:rsidRDefault="002A71EA">
            <w:pPr>
              <w:jc w:val="right"/>
            </w:pPr>
            <w:r>
              <w:rPr>
                <w:rFonts w:eastAsiaTheme="minorEastAsia"/>
                <w:color w:val="000000" w:themeColor="text1"/>
                <w:szCs w:val="21"/>
              </w:rPr>
              <w:t>-18.81%</w:t>
            </w:r>
          </w:p>
        </w:tc>
        <w:tc>
          <w:tcPr>
            <w:tcW w:w="1291" w:type="dxa"/>
            <w:vAlign w:val="center"/>
          </w:tcPr>
          <w:p w:rsidR="00317323" w:rsidRDefault="002A71EA">
            <w:pPr>
              <w:jc w:val="right"/>
            </w:pPr>
            <w:r>
              <w:rPr>
                <w:rFonts w:eastAsiaTheme="minorEastAsia"/>
                <w:color w:val="000000" w:themeColor="text1"/>
                <w:szCs w:val="21"/>
              </w:rPr>
              <w:t>1.60%</w:t>
            </w:r>
          </w:p>
        </w:tc>
        <w:tc>
          <w:tcPr>
            <w:tcW w:w="1291" w:type="dxa"/>
            <w:vAlign w:val="center"/>
          </w:tcPr>
          <w:p w:rsidR="00317323" w:rsidRDefault="002A71EA">
            <w:pPr>
              <w:jc w:val="right"/>
            </w:pPr>
            <w:r>
              <w:rPr>
                <w:rFonts w:eastAsiaTheme="minorEastAsia"/>
                <w:color w:val="000000" w:themeColor="text1"/>
                <w:szCs w:val="21"/>
              </w:rPr>
              <w:t>-2.57%</w:t>
            </w:r>
          </w:p>
        </w:tc>
        <w:tc>
          <w:tcPr>
            <w:tcW w:w="1291" w:type="dxa"/>
            <w:vAlign w:val="center"/>
          </w:tcPr>
          <w:p w:rsidR="00317323" w:rsidRDefault="002A71EA">
            <w:pPr>
              <w:jc w:val="right"/>
            </w:pPr>
            <w:r>
              <w:rPr>
                <w:rFonts w:eastAsiaTheme="minorEastAsia"/>
                <w:color w:val="000000" w:themeColor="text1"/>
                <w:szCs w:val="21"/>
              </w:rPr>
              <w:t>0.92%</w:t>
            </w:r>
          </w:p>
        </w:tc>
        <w:tc>
          <w:tcPr>
            <w:tcW w:w="1291" w:type="dxa"/>
            <w:vAlign w:val="center"/>
          </w:tcPr>
          <w:p w:rsidR="00317323" w:rsidRDefault="002A71EA">
            <w:pPr>
              <w:jc w:val="right"/>
            </w:pPr>
            <w:r>
              <w:rPr>
                <w:rFonts w:eastAsiaTheme="minorEastAsia"/>
                <w:color w:val="000000" w:themeColor="text1"/>
                <w:szCs w:val="21"/>
              </w:rPr>
              <w:t>-16.24%</w:t>
            </w:r>
          </w:p>
        </w:tc>
        <w:tc>
          <w:tcPr>
            <w:tcW w:w="1291" w:type="dxa"/>
            <w:vAlign w:val="center"/>
          </w:tcPr>
          <w:p w:rsidR="00317323" w:rsidRDefault="002A71EA">
            <w:pPr>
              <w:jc w:val="right"/>
            </w:pPr>
            <w:r>
              <w:rPr>
                <w:rFonts w:eastAsiaTheme="minorEastAsia"/>
                <w:color w:val="000000" w:themeColor="text1"/>
                <w:szCs w:val="21"/>
              </w:rPr>
              <w:t>0.68%</w:t>
            </w:r>
          </w:p>
        </w:tc>
      </w:tr>
      <w:tr w:rsidR="00317323">
        <w:tc>
          <w:tcPr>
            <w:tcW w:w="1290" w:type="dxa"/>
            <w:vAlign w:val="center"/>
          </w:tcPr>
          <w:p w:rsidR="00317323" w:rsidRDefault="002A71EA">
            <w:pPr>
              <w:jc w:val="left"/>
            </w:pPr>
            <w:r>
              <w:rPr>
                <w:rFonts w:eastAsiaTheme="minorEastAsia"/>
                <w:color w:val="000000" w:themeColor="text1"/>
                <w:szCs w:val="21"/>
              </w:rPr>
              <w:t>过去三年</w:t>
            </w:r>
          </w:p>
        </w:tc>
        <w:tc>
          <w:tcPr>
            <w:tcW w:w="1291" w:type="dxa"/>
            <w:vAlign w:val="center"/>
          </w:tcPr>
          <w:p w:rsidR="00317323" w:rsidRDefault="002A71EA">
            <w:pPr>
              <w:jc w:val="right"/>
            </w:pPr>
            <w:r>
              <w:rPr>
                <w:rFonts w:eastAsiaTheme="minorEastAsia"/>
                <w:color w:val="000000" w:themeColor="text1"/>
                <w:szCs w:val="21"/>
              </w:rPr>
              <w:t>20.09%</w:t>
            </w:r>
          </w:p>
        </w:tc>
        <w:tc>
          <w:tcPr>
            <w:tcW w:w="1291" w:type="dxa"/>
            <w:vAlign w:val="center"/>
          </w:tcPr>
          <w:p w:rsidR="00317323" w:rsidRDefault="002A71EA">
            <w:pPr>
              <w:jc w:val="right"/>
            </w:pPr>
            <w:r>
              <w:rPr>
                <w:rFonts w:eastAsiaTheme="minorEastAsia"/>
                <w:color w:val="000000" w:themeColor="text1"/>
                <w:szCs w:val="21"/>
              </w:rPr>
              <w:t>1.69%</w:t>
            </w:r>
          </w:p>
        </w:tc>
        <w:tc>
          <w:tcPr>
            <w:tcW w:w="1291" w:type="dxa"/>
            <w:vAlign w:val="center"/>
          </w:tcPr>
          <w:p w:rsidR="00317323" w:rsidRDefault="002A71EA">
            <w:pPr>
              <w:jc w:val="right"/>
            </w:pPr>
            <w:r>
              <w:rPr>
                <w:rFonts w:eastAsiaTheme="minorEastAsia"/>
                <w:color w:val="000000" w:themeColor="text1"/>
                <w:szCs w:val="21"/>
              </w:rPr>
              <w:t>9.97%</w:t>
            </w:r>
          </w:p>
        </w:tc>
        <w:tc>
          <w:tcPr>
            <w:tcW w:w="1291" w:type="dxa"/>
            <w:vAlign w:val="center"/>
          </w:tcPr>
          <w:p w:rsidR="00317323" w:rsidRDefault="002A71EA">
            <w:pPr>
              <w:jc w:val="right"/>
            </w:pPr>
            <w:r>
              <w:rPr>
                <w:rFonts w:eastAsiaTheme="minorEastAsia"/>
                <w:color w:val="000000" w:themeColor="text1"/>
                <w:szCs w:val="21"/>
              </w:rPr>
              <w:t>0.96%</w:t>
            </w:r>
          </w:p>
        </w:tc>
        <w:tc>
          <w:tcPr>
            <w:tcW w:w="1291" w:type="dxa"/>
            <w:vAlign w:val="center"/>
          </w:tcPr>
          <w:p w:rsidR="00317323" w:rsidRDefault="002A71EA">
            <w:pPr>
              <w:jc w:val="right"/>
            </w:pPr>
            <w:r>
              <w:rPr>
                <w:rFonts w:eastAsiaTheme="minorEastAsia"/>
                <w:color w:val="000000" w:themeColor="text1"/>
                <w:szCs w:val="21"/>
              </w:rPr>
              <w:t>10.12%</w:t>
            </w:r>
          </w:p>
        </w:tc>
        <w:tc>
          <w:tcPr>
            <w:tcW w:w="1291" w:type="dxa"/>
            <w:vAlign w:val="center"/>
          </w:tcPr>
          <w:p w:rsidR="00317323" w:rsidRDefault="002A71EA">
            <w:pPr>
              <w:jc w:val="right"/>
            </w:pPr>
            <w:r>
              <w:rPr>
                <w:rFonts w:eastAsiaTheme="minorEastAsia"/>
                <w:color w:val="000000" w:themeColor="text1"/>
                <w:szCs w:val="21"/>
              </w:rPr>
              <w:t>0.73%</w:t>
            </w:r>
          </w:p>
        </w:tc>
      </w:tr>
      <w:tr w:rsidR="00317323">
        <w:tc>
          <w:tcPr>
            <w:tcW w:w="1290" w:type="dxa"/>
            <w:vAlign w:val="center"/>
          </w:tcPr>
          <w:p w:rsidR="00317323" w:rsidRDefault="002A71EA">
            <w:pPr>
              <w:jc w:val="left"/>
            </w:pPr>
            <w:r>
              <w:rPr>
                <w:rFonts w:eastAsiaTheme="minorEastAsia"/>
                <w:color w:val="000000" w:themeColor="text1"/>
                <w:szCs w:val="21"/>
              </w:rPr>
              <w:t>过去五年</w:t>
            </w:r>
          </w:p>
        </w:tc>
        <w:tc>
          <w:tcPr>
            <w:tcW w:w="1291" w:type="dxa"/>
            <w:vAlign w:val="center"/>
          </w:tcPr>
          <w:p w:rsidR="00317323" w:rsidRDefault="002A71EA">
            <w:pPr>
              <w:jc w:val="right"/>
            </w:pPr>
            <w:r>
              <w:rPr>
                <w:rFonts w:eastAsiaTheme="minorEastAsia"/>
                <w:color w:val="000000" w:themeColor="text1"/>
                <w:szCs w:val="21"/>
              </w:rPr>
              <w:t>13.57%</w:t>
            </w:r>
          </w:p>
        </w:tc>
        <w:tc>
          <w:tcPr>
            <w:tcW w:w="1291" w:type="dxa"/>
            <w:vAlign w:val="center"/>
          </w:tcPr>
          <w:p w:rsidR="00317323" w:rsidRDefault="002A71EA">
            <w:pPr>
              <w:jc w:val="right"/>
            </w:pPr>
            <w:r>
              <w:rPr>
                <w:rFonts w:eastAsiaTheme="minorEastAsia"/>
                <w:color w:val="000000" w:themeColor="text1"/>
                <w:szCs w:val="21"/>
              </w:rPr>
              <w:t>1.72%</w:t>
            </w:r>
          </w:p>
        </w:tc>
        <w:tc>
          <w:tcPr>
            <w:tcW w:w="1291" w:type="dxa"/>
            <w:vAlign w:val="center"/>
          </w:tcPr>
          <w:p w:rsidR="00317323" w:rsidRDefault="002A71EA">
            <w:pPr>
              <w:jc w:val="right"/>
            </w:pPr>
            <w:r>
              <w:rPr>
                <w:rFonts w:eastAsiaTheme="minorEastAsia"/>
                <w:color w:val="000000" w:themeColor="text1"/>
                <w:szCs w:val="21"/>
              </w:rPr>
              <w:t>7.67%</w:t>
            </w:r>
          </w:p>
        </w:tc>
        <w:tc>
          <w:tcPr>
            <w:tcW w:w="1291" w:type="dxa"/>
            <w:vAlign w:val="center"/>
          </w:tcPr>
          <w:p w:rsidR="00317323" w:rsidRDefault="002A71EA">
            <w:pPr>
              <w:jc w:val="right"/>
            </w:pPr>
            <w:r>
              <w:rPr>
                <w:rFonts w:eastAsiaTheme="minorEastAsia"/>
                <w:color w:val="000000" w:themeColor="text1"/>
                <w:szCs w:val="21"/>
              </w:rPr>
              <w:t>1.03%</w:t>
            </w:r>
          </w:p>
        </w:tc>
        <w:tc>
          <w:tcPr>
            <w:tcW w:w="1291" w:type="dxa"/>
            <w:vAlign w:val="center"/>
          </w:tcPr>
          <w:p w:rsidR="00317323" w:rsidRDefault="002A71EA">
            <w:pPr>
              <w:jc w:val="right"/>
            </w:pPr>
            <w:r>
              <w:rPr>
                <w:rFonts w:eastAsiaTheme="minorEastAsia"/>
                <w:color w:val="000000" w:themeColor="text1"/>
                <w:szCs w:val="21"/>
              </w:rPr>
              <w:t>5.90%</w:t>
            </w:r>
          </w:p>
        </w:tc>
        <w:tc>
          <w:tcPr>
            <w:tcW w:w="1291" w:type="dxa"/>
            <w:vAlign w:val="center"/>
          </w:tcPr>
          <w:p w:rsidR="00317323" w:rsidRDefault="002A71EA">
            <w:pPr>
              <w:jc w:val="right"/>
            </w:pPr>
            <w:r>
              <w:rPr>
                <w:rFonts w:eastAsiaTheme="minorEastAsia"/>
                <w:color w:val="000000" w:themeColor="text1"/>
                <w:szCs w:val="21"/>
              </w:rPr>
              <w:t>0.69%</w:t>
            </w:r>
          </w:p>
        </w:tc>
      </w:tr>
      <w:tr w:rsidR="00317323">
        <w:tc>
          <w:tcPr>
            <w:tcW w:w="1290" w:type="dxa"/>
            <w:vAlign w:val="center"/>
          </w:tcPr>
          <w:p w:rsidR="00317323" w:rsidRDefault="002A71EA">
            <w:pPr>
              <w:jc w:val="left"/>
            </w:pPr>
            <w:r>
              <w:rPr>
                <w:rFonts w:eastAsiaTheme="minorEastAsia"/>
                <w:color w:val="000000" w:themeColor="text1"/>
                <w:szCs w:val="21"/>
              </w:rPr>
              <w:t>自基金合同生效起至今</w:t>
            </w:r>
          </w:p>
        </w:tc>
        <w:tc>
          <w:tcPr>
            <w:tcW w:w="1291" w:type="dxa"/>
            <w:vAlign w:val="center"/>
          </w:tcPr>
          <w:p w:rsidR="00317323" w:rsidRDefault="002A71EA">
            <w:pPr>
              <w:jc w:val="right"/>
            </w:pPr>
            <w:r>
              <w:rPr>
                <w:rFonts w:eastAsiaTheme="minorEastAsia"/>
                <w:color w:val="000000" w:themeColor="text1"/>
                <w:szCs w:val="21"/>
              </w:rPr>
              <w:t>118.67%</w:t>
            </w:r>
          </w:p>
        </w:tc>
        <w:tc>
          <w:tcPr>
            <w:tcW w:w="1291" w:type="dxa"/>
            <w:vAlign w:val="center"/>
          </w:tcPr>
          <w:p w:rsidR="00317323" w:rsidRDefault="002A71EA">
            <w:pPr>
              <w:jc w:val="right"/>
            </w:pPr>
            <w:r>
              <w:rPr>
                <w:rFonts w:eastAsiaTheme="minorEastAsia"/>
                <w:color w:val="000000" w:themeColor="text1"/>
                <w:szCs w:val="21"/>
              </w:rPr>
              <w:t>1.73%</w:t>
            </w:r>
          </w:p>
        </w:tc>
        <w:tc>
          <w:tcPr>
            <w:tcW w:w="1291" w:type="dxa"/>
            <w:vAlign w:val="center"/>
          </w:tcPr>
          <w:p w:rsidR="00317323" w:rsidRDefault="002A71EA">
            <w:pPr>
              <w:jc w:val="right"/>
            </w:pPr>
            <w:r>
              <w:rPr>
                <w:rFonts w:eastAsiaTheme="minorEastAsia"/>
                <w:color w:val="000000" w:themeColor="text1"/>
                <w:szCs w:val="21"/>
              </w:rPr>
              <w:t>37.88%</w:t>
            </w:r>
          </w:p>
        </w:tc>
        <w:tc>
          <w:tcPr>
            <w:tcW w:w="1291" w:type="dxa"/>
            <w:vAlign w:val="center"/>
          </w:tcPr>
          <w:p w:rsidR="00317323" w:rsidRDefault="002A71EA">
            <w:pPr>
              <w:jc w:val="right"/>
            </w:pPr>
            <w:r>
              <w:rPr>
                <w:rFonts w:eastAsiaTheme="minorEastAsia"/>
                <w:color w:val="000000" w:themeColor="text1"/>
                <w:szCs w:val="21"/>
              </w:rPr>
              <w:t>1.33%</w:t>
            </w:r>
          </w:p>
        </w:tc>
        <w:tc>
          <w:tcPr>
            <w:tcW w:w="1291" w:type="dxa"/>
            <w:vAlign w:val="center"/>
          </w:tcPr>
          <w:p w:rsidR="00317323" w:rsidRDefault="002A71EA">
            <w:pPr>
              <w:jc w:val="right"/>
            </w:pPr>
            <w:r>
              <w:rPr>
                <w:rFonts w:eastAsiaTheme="minorEastAsia"/>
                <w:color w:val="000000" w:themeColor="text1"/>
                <w:szCs w:val="21"/>
              </w:rPr>
              <w:t>80.79%</w:t>
            </w:r>
          </w:p>
        </w:tc>
        <w:tc>
          <w:tcPr>
            <w:tcW w:w="1291" w:type="dxa"/>
            <w:vAlign w:val="center"/>
          </w:tcPr>
          <w:p w:rsidR="00317323" w:rsidRDefault="002A71EA">
            <w:pPr>
              <w:jc w:val="right"/>
            </w:pPr>
            <w:r>
              <w:rPr>
                <w:rFonts w:eastAsiaTheme="minorEastAsia"/>
                <w:color w:val="000000" w:themeColor="text1"/>
                <w:szCs w:val="21"/>
              </w:rPr>
              <w:t>0.40%</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摩根内需动力混合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317323">
        <w:tc>
          <w:tcPr>
            <w:tcW w:w="1290" w:type="dxa"/>
            <w:vAlign w:val="center"/>
          </w:tcPr>
          <w:p w:rsidR="00317323" w:rsidRDefault="002A71EA">
            <w:pPr>
              <w:jc w:val="left"/>
            </w:pPr>
            <w:r>
              <w:rPr>
                <w:rFonts w:eastAsiaTheme="minorEastAsia"/>
                <w:color w:val="000000" w:themeColor="text1"/>
                <w:szCs w:val="21"/>
              </w:rPr>
              <w:t>过去三个月</w:t>
            </w:r>
          </w:p>
        </w:tc>
        <w:tc>
          <w:tcPr>
            <w:tcW w:w="1291" w:type="dxa"/>
            <w:vAlign w:val="center"/>
          </w:tcPr>
          <w:p w:rsidR="00317323" w:rsidRDefault="002A71EA">
            <w:pPr>
              <w:jc w:val="right"/>
            </w:pPr>
            <w:r>
              <w:rPr>
                <w:rFonts w:eastAsiaTheme="minorEastAsia"/>
                <w:color w:val="000000" w:themeColor="text1"/>
                <w:szCs w:val="21"/>
              </w:rPr>
              <w:t>0.64%</w:t>
            </w:r>
          </w:p>
        </w:tc>
        <w:tc>
          <w:tcPr>
            <w:tcW w:w="1291" w:type="dxa"/>
            <w:vAlign w:val="center"/>
          </w:tcPr>
          <w:p w:rsidR="00317323" w:rsidRDefault="002A71EA">
            <w:pPr>
              <w:jc w:val="right"/>
            </w:pPr>
            <w:r>
              <w:rPr>
                <w:rFonts w:eastAsiaTheme="minorEastAsia"/>
                <w:color w:val="000000" w:themeColor="text1"/>
                <w:szCs w:val="21"/>
              </w:rPr>
              <w:t>1.00%</w:t>
            </w:r>
          </w:p>
        </w:tc>
        <w:tc>
          <w:tcPr>
            <w:tcW w:w="1291" w:type="dxa"/>
            <w:vAlign w:val="center"/>
          </w:tcPr>
          <w:p w:rsidR="00317323" w:rsidRDefault="002A71EA">
            <w:pPr>
              <w:jc w:val="right"/>
            </w:pPr>
            <w:r>
              <w:rPr>
                <w:rFonts w:eastAsiaTheme="minorEastAsia"/>
                <w:color w:val="000000" w:themeColor="text1"/>
                <w:szCs w:val="21"/>
              </w:rPr>
              <w:t>3.85%</w:t>
            </w:r>
          </w:p>
        </w:tc>
        <w:tc>
          <w:tcPr>
            <w:tcW w:w="1291" w:type="dxa"/>
            <w:vAlign w:val="center"/>
          </w:tcPr>
          <w:p w:rsidR="00317323" w:rsidRDefault="002A71EA">
            <w:pPr>
              <w:jc w:val="right"/>
            </w:pPr>
            <w:r>
              <w:rPr>
                <w:rFonts w:eastAsiaTheme="minorEastAsia"/>
                <w:color w:val="000000" w:themeColor="text1"/>
                <w:szCs w:val="21"/>
              </w:rPr>
              <w:t>0.69%</w:t>
            </w:r>
          </w:p>
        </w:tc>
        <w:tc>
          <w:tcPr>
            <w:tcW w:w="1291" w:type="dxa"/>
            <w:vAlign w:val="center"/>
          </w:tcPr>
          <w:p w:rsidR="00317323" w:rsidRDefault="002A71EA">
            <w:pPr>
              <w:jc w:val="right"/>
            </w:pPr>
            <w:r>
              <w:rPr>
                <w:rFonts w:eastAsiaTheme="minorEastAsia"/>
                <w:color w:val="000000" w:themeColor="text1"/>
                <w:szCs w:val="21"/>
              </w:rPr>
              <w:t>-3.21%</w:t>
            </w:r>
          </w:p>
        </w:tc>
        <w:tc>
          <w:tcPr>
            <w:tcW w:w="1291" w:type="dxa"/>
            <w:vAlign w:val="center"/>
          </w:tcPr>
          <w:p w:rsidR="00317323" w:rsidRDefault="002A71EA">
            <w:pPr>
              <w:jc w:val="right"/>
            </w:pPr>
            <w:r>
              <w:rPr>
                <w:rFonts w:eastAsiaTheme="minorEastAsia"/>
                <w:color w:val="000000" w:themeColor="text1"/>
                <w:szCs w:val="21"/>
              </w:rPr>
              <w:t>0.31%</w:t>
            </w:r>
          </w:p>
        </w:tc>
      </w:tr>
      <w:tr w:rsidR="00317323">
        <w:tc>
          <w:tcPr>
            <w:tcW w:w="1290" w:type="dxa"/>
            <w:vAlign w:val="center"/>
          </w:tcPr>
          <w:p w:rsidR="00317323" w:rsidRDefault="002A71EA">
            <w:pPr>
              <w:jc w:val="left"/>
            </w:pPr>
            <w:r>
              <w:rPr>
                <w:rFonts w:eastAsiaTheme="minorEastAsia"/>
                <w:color w:val="000000" w:themeColor="text1"/>
                <w:szCs w:val="21"/>
              </w:rPr>
              <w:t>过去六个月</w:t>
            </w:r>
          </w:p>
        </w:tc>
        <w:tc>
          <w:tcPr>
            <w:tcW w:w="1291" w:type="dxa"/>
            <w:vAlign w:val="center"/>
          </w:tcPr>
          <w:p w:rsidR="00317323" w:rsidRDefault="002A71EA">
            <w:pPr>
              <w:jc w:val="right"/>
            </w:pPr>
            <w:r>
              <w:rPr>
                <w:rFonts w:eastAsiaTheme="minorEastAsia"/>
                <w:color w:val="000000" w:themeColor="text1"/>
                <w:szCs w:val="21"/>
              </w:rPr>
              <w:t>-14.66%</w:t>
            </w:r>
          </w:p>
        </w:tc>
        <w:tc>
          <w:tcPr>
            <w:tcW w:w="1291" w:type="dxa"/>
            <w:vAlign w:val="center"/>
          </w:tcPr>
          <w:p w:rsidR="00317323" w:rsidRDefault="002A71EA">
            <w:pPr>
              <w:jc w:val="right"/>
            </w:pPr>
            <w:r>
              <w:rPr>
                <w:rFonts w:eastAsiaTheme="minorEastAsia"/>
                <w:color w:val="000000" w:themeColor="text1"/>
                <w:szCs w:val="21"/>
              </w:rPr>
              <w:t>1.25%</w:t>
            </w:r>
          </w:p>
        </w:tc>
        <w:tc>
          <w:tcPr>
            <w:tcW w:w="1291" w:type="dxa"/>
            <w:vAlign w:val="center"/>
          </w:tcPr>
          <w:p w:rsidR="00317323" w:rsidRDefault="002A71EA">
            <w:pPr>
              <w:jc w:val="right"/>
            </w:pPr>
            <w:r>
              <w:rPr>
                <w:rFonts w:eastAsiaTheme="minorEastAsia"/>
                <w:color w:val="000000" w:themeColor="text1"/>
                <w:szCs w:val="21"/>
              </w:rPr>
              <w:t>5.39%</w:t>
            </w:r>
          </w:p>
        </w:tc>
        <w:tc>
          <w:tcPr>
            <w:tcW w:w="1291" w:type="dxa"/>
            <w:vAlign w:val="center"/>
          </w:tcPr>
          <w:p w:rsidR="00317323" w:rsidRDefault="002A71EA">
            <w:pPr>
              <w:jc w:val="right"/>
            </w:pPr>
            <w:r>
              <w:rPr>
                <w:rFonts w:eastAsiaTheme="minorEastAsia"/>
                <w:color w:val="000000" w:themeColor="text1"/>
                <w:szCs w:val="21"/>
              </w:rPr>
              <w:t>0.88%</w:t>
            </w:r>
          </w:p>
        </w:tc>
        <w:tc>
          <w:tcPr>
            <w:tcW w:w="1291" w:type="dxa"/>
            <w:vAlign w:val="center"/>
          </w:tcPr>
          <w:p w:rsidR="00317323" w:rsidRDefault="002A71EA">
            <w:pPr>
              <w:jc w:val="right"/>
            </w:pPr>
            <w:r>
              <w:rPr>
                <w:rFonts w:eastAsiaTheme="minorEastAsia"/>
                <w:color w:val="000000" w:themeColor="text1"/>
                <w:szCs w:val="21"/>
              </w:rPr>
              <w:t>-20.05%</w:t>
            </w:r>
          </w:p>
        </w:tc>
        <w:tc>
          <w:tcPr>
            <w:tcW w:w="1291" w:type="dxa"/>
            <w:vAlign w:val="center"/>
          </w:tcPr>
          <w:p w:rsidR="00317323" w:rsidRDefault="002A71EA">
            <w:pPr>
              <w:jc w:val="right"/>
            </w:pPr>
            <w:r>
              <w:rPr>
                <w:rFonts w:eastAsiaTheme="minorEastAsia"/>
                <w:color w:val="000000" w:themeColor="text1"/>
                <w:szCs w:val="21"/>
              </w:rPr>
              <w:t>0.37%</w:t>
            </w:r>
          </w:p>
        </w:tc>
      </w:tr>
      <w:tr w:rsidR="00317323">
        <w:tc>
          <w:tcPr>
            <w:tcW w:w="1290" w:type="dxa"/>
            <w:vAlign w:val="center"/>
          </w:tcPr>
          <w:p w:rsidR="00317323" w:rsidRDefault="002A71EA">
            <w:pPr>
              <w:jc w:val="left"/>
            </w:pPr>
            <w:r>
              <w:rPr>
                <w:rFonts w:eastAsiaTheme="minorEastAsia"/>
                <w:color w:val="000000" w:themeColor="text1"/>
                <w:szCs w:val="21"/>
              </w:rPr>
              <w:t>过去一年</w:t>
            </w:r>
          </w:p>
        </w:tc>
        <w:tc>
          <w:tcPr>
            <w:tcW w:w="1291" w:type="dxa"/>
            <w:vAlign w:val="center"/>
          </w:tcPr>
          <w:p w:rsidR="00317323" w:rsidRDefault="002A71EA">
            <w:pPr>
              <w:jc w:val="right"/>
            </w:pPr>
            <w:r>
              <w:rPr>
                <w:rFonts w:eastAsiaTheme="minorEastAsia"/>
                <w:color w:val="000000" w:themeColor="text1"/>
                <w:szCs w:val="21"/>
              </w:rPr>
              <w:t>-</w:t>
            </w:r>
          </w:p>
        </w:tc>
        <w:tc>
          <w:tcPr>
            <w:tcW w:w="1291" w:type="dxa"/>
            <w:vAlign w:val="center"/>
          </w:tcPr>
          <w:p w:rsidR="00317323" w:rsidRDefault="002A71EA">
            <w:pPr>
              <w:jc w:val="right"/>
            </w:pPr>
            <w:r>
              <w:rPr>
                <w:rFonts w:eastAsiaTheme="minorEastAsia"/>
                <w:color w:val="000000" w:themeColor="text1"/>
                <w:szCs w:val="21"/>
              </w:rPr>
              <w:t>-</w:t>
            </w:r>
          </w:p>
        </w:tc>
        <w:tc>
          <w:tcPr>
            <w:tcW w:w="1291" w:type="dxa"/>
            <w:vAlign w:val="center"/>
          </w:tcPr>
          <w:p w:rsidR="00317323" w:rsidRDefault="002A71EA">
            <w:pPr>
              <w:jc w:val="right"/>
            </w:pPr>
            <w:r>
              <w:rPr>
                <w:rFonts w:eastAsiaTheme="minorEastAsia"/>
                <w:color w:val="000000" w:themeColor="text1"/>
                <w:szCs w:val="21"/>
              </w:rPr>
              <w:t>-</w:t>
            </w:r>
          </w:p>
        </w:tc>
        <w:tc>
          <w:tcPr>
            <w:tcW w:w="1291" w:type="dxa"/>
            <w:vAlign w:val="center"/>
          </w:tcPr>
          <w:p w:rsidR="00317323" w:rsidRDefault="002A71EA">
            <w:pPr>
              <w:jc w:val="right"/>
            </w:pPr>
            <w:r>
              <w:rPr>
                <w:rFonts w:eastAsiaTheme="minorEastAsia"/>
                <w:color w:val="000000" w:themeColor="text1"/>
                <w:szCs w:val="21"/>
              </w:rPr>
              <w:t>-</w:t>
            </w:r>
          </w:p>
        </w:tc>
        <w:tc>
          <w:tcPr>
            <w:tcW w:w="1291" w:type="dxa"/>
            <w:vAlign w:val="center"/>
          </w:tcPr>
          <w:p w:rsidR="00317323" w:rsidRDefault="002A71EA">
            <w:pPr>
              <w:jc w:val="right"/>
            </w:pPr>
            <w:r>
              <w:rPr>
                <w:rFonts w:eastAsiaTheme="minorEastAsia"/>
                <w:color w:val="000000" w:themeColor="text1"/>
                <w:szCs w:val="21"/>
              </w:rPr>
              <w:t>-</w:t>
            </w:r>
          </w:p>
        </w:tc>
        <w:tc>
          <w:tcPr>
            <w:tcW w:w="1291" w:type="dxa"/>
            <w:vAlign w:val="center"/>
          </w:tcPr>
          <w:p w:rsidR="00317323" w:rsidRDefault="002A71EA">
            <w:pPr>
              <w:jc w:val="right"/>
            </w:pPr>
            <w:r>
              <w:rPr>
                <w:rFonts w:eastAsiaTheme="minorEastAsia"/>
                <w:color w:val="000000" w:themeColor="text1"/>
                <w:szCs w:val="21"/>
              </w:rPr>
              <w:t>-</w:t>
            </w:r>
          </w:p>
        </w:tc>
      </w:tr>
      <w:tr w:rsidR="00317323">
        <w:tc>
          <w:tcPr>
            <w:tcW w:w="1290" w:type="dxa"/>
            <w:vAlign w:val="center"/>
          </w:tcPr>
          <w:p w:rsidR="00317323" w:rsidRDefault="002A71EA">
            <w:pPr>
              <w:jc w:val="left"/>
            </w:pPr>
            <w:r>
              <w:rPr>
                <w:rFonts w:eastAsiaTheme="minorEastAsia"/>
                <w:color w:val="000000" w:themeColor="text1"/>
                <w:szCs w:val="21"/>
              </w:rPr>
              <w:t>过去三年</w:t>
            </w:r>
          </w:p>
        </w:tc>
        <w:tc>
          <w:tcPr>
            <w:tcW w:w="1291" w:type="dxa"/>
            <w:vAlign w:val="center"/>
          </w:tcPr>
          <w:p w:rsidR="00317323" w:rsidRDefault="002A71EA">
            <w:pPr>
              <w:jc w:val="right"/>
            </w:pPr>
            <w:r>
              <w:rPr>
                <w:rFonts w:eastAsiaTheme="minorEastAsia"/>
                <w:color w:val="000000" w:themeColor="text1"/>
                <w:szCs w:val="21"/>
              </w:rPr>
              <w:t>-</w:t>
            </w:r>
          </w:p>
        </w:tc>
        <w:tc>
          <w:tcPr>
            <w:tcW w:w="1291" w:type="dxa"/>
            <w:vAlign w:val="center"/>
          </w:tcPr>
          <w:p w:rsidR="00317323" w:rsidRDefault="002A71EA">
            <w:pPr>
              <w:jc w:val="right"/>
            </w:pPr>
            <w:r>
              <w:rPr>
                <w:rFonts w:eastAsiaTheme="minorEastAsia"/>
                <w:color w:val="000000" w:themeColor="text1"/>
                <w:szCs w:val="21"/>
              </w:rPr>
              <w:t>-</w:t>
            </w:r>
          </w:p>
        </w:tc>
        <w:tc>
          <w:tcPr>
            <w:tcW w:w="1291" w:type="dxa"/>
            <w:vAlign w:val="center"/>
          </w:tcPr>
          <w:p w:rsidR="00317323" w:rsidRDefault="002A71EA">
            <w:pPr>
              <w:jc w:val="right"/>
            </w:pPr>
            <w:r>
              <w:rPr>
                <w:rFonts w:eastAsiaTheme="minorEastAsia"/>
                <w:color w:val="000000" w:themeColor="text1"/>
                <w:szCs w:val="21"/>
              </w:rPr>
              <w:t>-</w:t>
            </w:r>
          </w:p>
        </w:tc>
        <w:tc>
          <w:tcPr>
            <w:tcW w:w="1291" w:type="dxa"/>
            <w:vAlign w:val="center"/>
          </w:tcPr>
          <w:p w:rsidR="00317323" w:rsidRDefault="002A71EA">
            <w:pPr>
              <w:jc w:val="right"/>
            </w:pPr>
            <w:r>
              <w:rPr>
                <w:rFonts w:eastAsiaTheme="minorEastAsia"/>
                <w:color w:val="000000" w:themeColor="text1"/>
                <w:szCs w:val="21"/>
              </w:rPr>
              <w:t>-</w:t>
            </w:r>
          </w:p>
        </w:tc>
        <w:tc>
          <w:tcPr>
            <w:tcW w:w="1291" w:type="dxa"/>
            <w:vAlign w:val="center"/>
          </w:tcPr>
          <w:p w:rsidR="00317323" w:rsidRDefault="002A71EA">
            <w:pPr>
              <w:jc w:val="right"/>
            </w:pPr>
            <w:r>
              <w:rPr>
                <w:rFonts w:eastAsiaTheme="minorEastAsia"/>
                <w:color w:val="000000" w:themeColor="text1"/>
                <w:szCs w:val="21"/>
              </w:rPr>
              <w:t>-</w:t>
            </w:r>
          </w:p>
        </w:tc>
        <w:tc>
          <w:tcPr>
            <w:tcW w:w="1291" w:type="dxa"/>
            <w:vAlign w:val="center"/>
          </w:tcPr>
          <w:p w:rsidR="00317323" w:rsidRDefault="002A71EA">
            <w:pPr>
              <w:jc w:val="right"/>
            </w:pPr>
            <w:r>
              <w:rPr>
                <w:rFonts w:eastAsiaTheme="minorEastAsia"/>
                <w:color w:val="000000" w:themeColor="text1"/>
                <w:szCs w:val="21"/>
              </w:rPr>
              <w:t>-</w:t>
            </w:r>
          </w:p>
        </w:tc>
      </w:tr>
      <w:tr w:rsidR="00317323">
        <w:tc>
          <w:tcPr>
            <w:tcW w:w="1290" w:type="dxa"/>
            <w:vAlign w:val="center"/>
          </w:tcPr>
          <w:p w:rsidR="00317323" w:rsidRDefault="002A71EA">
            <w:pPr>
              <w:jc w:val="left"/>
            </w:pPr>
            <w:r>
              <w:rPr>
                <w:rFonts w:eastAsiaTheme="minorEastAsia"/>
                <w:color w:val="000000" w:themeColor="text1"/>
                <w:szCs w:val="21"/>
              </w:rPr>
              <w:t>过去五年</w:t>
            </w:r>
          </w:p>
        </w:tc>
        <w:tc>
          <w:tcPr>
            <w:tcW w:w="1291" w:type="dxa"/>
            <w:vAlign w:val="center"/>
          </w:tcPr>
          <w:p w:rsidR="00317323" w:rsidRDefault="002A71EA">
            <w:pPr>
              <w:jc w:val="right"/>
            </w:pPr>
            <w:r>
              <w:rPr>
                <w:rFonts w:eastAsiaTheme="minorEastAsia"/>
                <w:color w:val="000000" w:themeColor="text1"/>
                <w:szCs w:val="21"/>
              </w:rPr>
              <w:t>-</w:t>
            </w:r>
          </w:p>
        </w:tc>
        <w:tc>
          <w:tcPr>
            <w:tcW w:w="1291" w:type="dxa"/>
            <w:vAlign w:val="center"/>
          </w:tcPr>
          <w:p w:rsidR="00317323" w:rsidRDefault="002A71EA">
            <w:pPr>
              <w:jc w:val="right"/>
            </w:pPr>
            <w:r>
              <w:rPr>
                <w:rFonts w:eastAsiaTheme="minorEastAsia"/>
                <w:color w:val="000000" w:themeColor="text1"/>
                <w:szCs w:val="21"/>
              </w:rPr>
              <w:t>-</w:t>
            </w:r>
          </w:p>
        </w:tc>
        <w:tc>
          <w:tcPr>
            <w:tcW w:w="1291" w:type="dxa"/>
            <w:vAlign w:val="center"/>
          </w:tcPr>
          <w:p w:rsidR="00317323" w:rsidRDefault="002A71EA">
            <w:pPr>
              <w:jc w:val="right"/>
            </w:pPr>
            <w:r>
              <w:rPr>
                <w:rFonts w:eastAsiaTheme="minorEastAsia"/>
                <w:color w:val="000000" w:themeColor="text1"/>
                <w:szCs w:val="21"/>
              </w:rPr>
              <w:t>-</w:t>
            </w:r>
          </w:p>
        </w:tc>
        <w:tc>
          <w:tcPr>
            <w:tcW w:w="1291" w:type="dxa"/>
            <w:vAlign w:val="center"/>
          </w:tcPr>
          <w:p w:rsidR="00317323" w:rsidRDefault="002A71EA">
            <w:pPr>
              <w:jc w:val="right"/>
            </w:pPr>
            <w:r>
              <w:rPr>
                <w:rFonts w:eastAsiaTheme="minorEastAsia"/>
                <w:color w:val="000000" w:themeColor="text1"/>
                <w:szCs w:val="21"/>
              </w:rPr>
              <w:t>-</w:t>
            </w:r>
          </w:p>
        </w:tc>
        <w:tc>
          <w:tcPr>
            <w:tcW w:w="1291" w:type="dxa"/>
            <w:vAlign w:val="center"/>
          </w:tcPr>
          <w:p w:rsidR="00317323" w:rsidRDefault="002A71EA">
            <w:pPr>
              <w:jc w:val="right"/>
            </w:pPr>
            <w:r>
              <w:rPr>
                <w:rFonts w:eastAsiaTheme="minorEastAsia"/>
                <w:color w:val="000000" w:themeColor="text1"/>
                <w:szCs w:val="21"/>
              </w:rPr>
              <w:t>-</w:t>
            </w:r>
          </w:p>
        </w:tc>
        <w:tc>
          <w:tcPr>
            <w:tcW w:w="1291" w:type="dxa"/>
            <w:vAlign w:val="center"/>
          </w:tcPr>
          <w:p w:rsidR="00317323" w:rsidRDefault="002A71EA">
            <w:pPr>
              <w:jc w:val="right"/>
            </w:pPr>
            <w:r>
              <w:rPr>
                <w:rFonts w:eastAsiaTheme="minorEastAsia"/>
                <w:color w:val="000000" w:themeColor="text1"/>
                <w:szCs w:val="21"/>
              </w:rPr>
              <w:t>-</w:t>
            </w:r>
          </w:p>
        </w:tc>
      </w:tr>
      <w:tr w:rsidR="00317323">
        <w:tc>
          <w:tcPr>
            <w:tcW w:w="1290" w:type="dxa"/>
            <w:vAlign w:val="center"/>
          </w:tcPr>
          <w:p w:rsidR="00317323" w:rsidRDefault="002A71EA">
            <w:pPr>
              <w:jc w:val="left"/>
            </w:pPr>
            <w:r>
              <w:rPr>
                <w:rFonts w:eastAsiaTheme="minorEastAsia"/>
                <w:color w:val="000000" w:themeColor="text1"/>
                <w:szCs w:val="21"/>
              </w:rPr>
              <w:t>自基金合同生效起至今</w:t>
            </w:r>
          </w:p>
        </w:tc>
        <w:tc>
          <w:tcPr>
            <w:tcW w:w="1291" w:type="dxa"/>
            <w:vAlign w:val="center"/>
          </w:tcPr>
          <w:p w:rsidR="00317323" w:rsidRDefault="002A71EA">
            <w:pPr>
              <w:jc w:val="right"/>
            </w:pPr>
            <w:r>
              <w:rPr>
                <w:rFonts w:eastAsiaTheme="minorEastAsia"/>
                <w:color w:val="000000" w:themeColor="text1"/>
                <w:szCs w:val="21"/>
              </w:rPr>
              <w:t>-31.94%</w:t>
            </w:r>
          </w:p>
        </w:tc>
        <w:tc>
          <w:tcPr>
            <w:tcW w:w="1291" w:type="dxa"/>
            <w:vAlign w:val="center"/>
          </w:tcPr>
          <w:p w:rsidR="00317323" w:rsidRDefault="002A71EA">
            <w:pPr>
              <w:jc w:val="right"/>
            </w:pPr>
            <w:r>
              <w:rPr>
                <w:rFonts w:eastAsiaTheme="minorEastAsia"/>
                <w:color w:val="000000" w:themeColor="text1"/>
                <w:szCs w:val="21"/>
              </w:rPr>
              <w:t>1.46%</w:t>
            </w:r>
          </w:p>
        </w:tc>
        <w:tc>
          <w:tcPr>
            <w:tcW w:w="1291" w:type="dxa"/>
            <w:vAlign w:val="center"/>
          </w:tcPr>
          <w:p w:rsidR="00317323" w:rsidRDefault="002A71EA">
            <w:pPr>
              <w:jc w:val="right"/>
            </w:pPr>
            <w:r>
              <w:rPr>
                <w:rFonts w:eastAsiaTheme="minorEastAsia"/>
                <w:color w:val="000000" w:themeColor="text1"/>
                <w:szCs w:val="21"/>
              </w:rPr>
              <w:t>-2.18%</w:t>
            </w:r>
          </w:p>
        </w:tc>
        <w:tc>
          <w:tcPr>
            <w:tcW w:w="1291" w:type="dxa"/>
            <w:vAlign w:val="center"/>
          </w:tcPr>
          <w:p w:rsidR="00317323" w:rsidRDefault="002A71EA">
            <w:pPr>
              <w:jc w:val="right"/>
            </w:pPr>
            <w:r>
              <w:rPr>
                <w:rFonts w:eastAsiaTheme="minorEastAsia"/>
                <w:color w:val="000000" w:themeColor="text1"/>
                <w:szCs w:val="21"/>
              </w:rPr>
              <w:t>0.85%</w:t>
            </w:r>
          </w:p>
        </w:tc>
        <w:tc>
          <w:tcPr>
            <w:tcW w:w="1291" w:type="dxa"/>
            <w:vAlign w:val="center"/>
          </w:tcPr>
          <w:p w:rsidR="00317323" w:rsidRDefault="002A71EA">
            <w:pPr>
              <w:jc w:val="right"/>
            </w:pPr>
            <w:r>
              <w:rPr>
                <w:rFonts w:eastAsiaTheme="minorEastAsia"/>
                <w:color w:val="000000" w:themeColor="text1"/>
                <w:szCs w:val="21"/>
              </w:rPr>
              <w:t>-29.76%</w:t>
            </w:r>
          </w:p>
        </w:tc>
        <w:tc>
          <w:tcPr>
            <w:tcW w:w="1291" w:type="dxa"/>
            <w:vAlign w:val="center"/>
          </w:tcPr>
          <w:p w:rsidR="00317323" w:rsidRDefault="002A71EA">
            <w:pPr>
              <w:jc w:val="right"/>
            </w:pPr>
            <w:r>
              <w:rPr>
                <w:rFonts w:eastAsiaTheme="minorEastAsia"/>
                <w:color w:val="000000" w:themeColor="text1"/>
                <w:szCs w:val="21"/>
              </w:rPr>
              <w:t>0.61%</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摩根内需动力混合型证券投资基金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(2007</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4</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13</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．摩根内需动力混合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317323" w:rsidRDefault="002A71EA">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13</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．摩根内需动力混合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317323" w:rsidRDefault="002A71EA">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2022</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317323">
        <w:tc>
          <w:tcPr>
            <w:tcW w:w="952" w:type="dxa"/>
            <w:vAlign w:val="center"/>
          </w:tcPr>
          <w:p w:rsidR="00317323" w:rsidRDefault="002A71EA">
            <w:pPr>
              <w:jc w:val="center"/>
            </w:pPr>
            <w:r>
              <w:rPr>
                <w:rFonts w:eastAsiaTheme="minorEastAsia"/>
                <w:color w:val="000000" w:themeColor="text1"/>
                <w:szCs w:val="21"/>
              </w:rPr>
              <w:t>杨景喻</w:t>
            </w:r>
          </w:p>
        </w:tc>
        <w:tc>
          <w:tcPr>
            <w:tcW w:w="930" w:type="dxa"/>
            <w:vAlign w:val="center"/>
          </w:tcPr>
          <w:p w:rsidR="00317323" w:rsidRDefault="002A71EA">
            <w:pPr>
              <w:jc w:val="center"/>
            </w:pPr>
            <w:r>
              <w:rPr>
                <w:rFonts w:eastAsiaTheme="minorEastAsia"/>
                <w:color w:val="000000" w:themeColor="text1"/>
                <w:szCs w:val="21"/>
              </w:rPr>
              <w:t>本基金基金经理</w:t>
            </w:r>
          </w:p>
        </w:tc>
        <w:tc>
          <w:tcPr>
            <w:tcW w:w="1210" w:type="dxa"/>
            <w:vAlign w:val="center"/>
          </w:tcPr>
          <w:p w:rsidR="00317323" w:rsidRDefault="002A71EA">
            <w:pPr>
              <w:jc w:val="center"/>
            </w:pPr>
            <w:r>
              <w:rPr>
                <w:rFonts w:eastAsiaTheme="minorEastAsia"/>
                <w:color w:val="000000" w:themeColor="text1"/>
                <w:szCs w:val="21"/>
              </w:rPr>
              <w:t>2022-06-29</w:t>
            </w:r>
          </w:p>
        </w:tc>
        <w:tc>
          <w:tcPr>
            <w:tcW w:w="1309" w:type="dxa"/>
            <w:vAlign w:val="center"/>
          </w:tcPr>
          <w:p w:rsidR="00317323" w:rsidRDefault="002A71EA">
            <w:pPr>
              <w:jc w:val="center"/>
            </w:pPr>
            <w:r>
              <w:rPr>
                <w:rFonts w:eastAsiaTheme="minorEastAsia"/>
                <w:color w:val="000000" w:themeColor="text1"/>
                <w:szCs w:val="21"/>
              </w:rPr>
              <w:t>-</w:t>
            </w:r>
          </w:p>
        </w:tc>
        <w:tc>
          <w:tcPr>
            <w:tcW w:w="1254" w:type="dxa"/>
            <w:vAlign w:val="center"/>
          </w:tcPr>
          <w:p w:rsidR="00317323" w:rsidRDefault="002A71EA">
            <w:pPr>
              <w:jc w:val="center"/>
            </w:pPr>
            <w:r>
              <w:rPr>
                <w:rFonts w:eastAsiaTheme="minorEastAsia"/>
                <w:color w:val="000000" w:themeColor="text1"/>
                <w:szCs w:val="21"/>
              </w:rPr>
              <w:t>14</w:t>
            </w:r>
            <w:r>
              <w:rPr>
                <w:rFonts w:eastAsiaTheme="minorEastAsia"/>
                <w:color w:val="000000" w:themeColor="text1"/>
                <w:szCs w:val="21"/>
              </w:rPr>
              <w:t>年</w:t>
            </w:r>
          </w:p>
        </w:tc>
        <w:tc>
          <w:tcPr>
            <w:tcW w:w="3276" w:type="dxa"/>
            <w:vAlign w:val="center"/>
          </w:tcPr>
          <w:p w:rsidR="00317323" w:rsidRDefault="002A71EA">
            <w:r>
              <w:rPr>
                <w:rFonts w:eastAsiaTheme="minorEastAsia"/>
                <w:color w:val="000000" w:themeColor="text1"/>
                <w:szCs w:val="21"/>
              </w:rPr>
              <w:t>杨景喻先生曾任广发基金管理有限公司研究员。</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月起加入摩根基金管理（中国）有限公司（原上投摩根基金管理有限公司），历任行业专家、基金经理助理、基金经理，现任高级基金经理。</w:t>
            </w:r>
          </w:p>
        </w:tc>
      </w:tr>
    </w:tbl>
    <w:p w:rsidR="00317323" w:rsidRDefault="002A71E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 xml:space="preserve">2. </w:t>
      </w:r>
      <w:r w:rsidRPr="00B27A29">
        <w:rPr>
          <w:rFonts w:eastAsiaTheme="minorEastAsia"/>
          <w:color w:val="000000" w:themeColor="text1"/>
          <w:szCs w:val="21"/>
        </w:rPr>
        <w:t>证券从业的含义遵从行业协会《证券业从业人员资格管理办法》的相关规定。</w:t>
      </w:r>
    </w:p>
    <w:p w:rsidR="005C671B" w:rsidRPr="00B27A29" w:rsidRDefault="005C671B" w:rsidP="005C671B">
      <w:pPr>
        <w:autoSpaceDE w:val="0"/>
        <w:autoSpaceDN w:val="0"/>
        <w:adjustRightInd w:val="0"/>
        <w:spacing w:line="360" w:lineRule="auto"/>
        <w:jc w:val="left"/>
        <w:rPr>
          <w:rFonts w:eastAsia="Times New Roman"/>
          <w:b/>
          <w:color w:val="000000"/>
          <w:kern w:val="0"/>
          <w:sz w:val="24"/>
          <w:szCs w:val="21"/>
        </w:rPr>
      </w:pPr>
      <w:bookmarkStart w:id="1" w:name="_Hlk44921484"/>
      <w:r w:rsidRPr="00B27A29">
        <w:rPr>
          <w:b/>
          <w:color w:val="000000"/>
          <w:kern w:val="0"/>
          <w:sz w:val="24"/>
        </w:rPr>
        <w:t>4</w:t>
      </w:r>
      <w:r w:rsidRPr="00B27A29">
        <w:rPr>
          <w:rFonts w:eastAsia="Times New Roman"/>
          <w:b/>
          <w:color w:val="000000"/>
          <w:kern w:val="0"/>
          <w:sz w:val="24"/>
        </w:rPr>
        <w:t>.</w:t>
      </w:r>
      <w:r w:rsidRPr="00B27A29">
        <w:rPr>
          <w:b/>
          <w:color w:val="000000"/>
          <w:kern w:val="0"/>
          <w:sz w:val="24"/>
        </w:rPr>
        <w:t xml:space="preserve">1.1 </w:t>
      </w:r>
      <w:r w:rsidRPr="00B27A29">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2305"/>
        <w:gridCol w:w="2595"/>
        <w:gridCol w:w="1835"/>
        <w:gridCol w:w="1371"/>
      </w:tblGrid>
      <w:tr w:rsidR="005C671B" w:rsidRPr="00B27A29" w:rsidTr="005C671B">
        <w:tc>
          <w:tcPr>
            <w:tcW w:w="959"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color w:val="000000"/>
                <w:szCs w:val="21"/>
              </w:rPr>
            </w:pPr>
            <w:r w:rsidRPr="00B27A29">
              <w:rPr>
                <w:color w:val="000000"/>
                <w:szCs w:val="21"/>
              </w:rPr>
              <w:t>资产净值</w:t>
            </w:r>
            <w:r w:rsidRPr="00B27A29">
              <w:rPr>
                <w:color w:val="000000"/>
                <w:szCs w:val="21"/>
              </w:rPr>
              <w:t>(</w:t>
            </w:r>
            <w:r w:rsidRPr="00B27A29">
              <w:rPr>
                <w:color w:val="000000"/>
                <w:szCs w:val="21"/>
              </w:rPr>
              <w:t>元</w:t>
            </w: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任职时间</w:t>
            </w:r>
          </w:p>
        </w:tc>
      </w:tr>
      <w:tr w:rsidR="005C671B" w:rsidRPr="00B27A29" w:rsidTr="005C671B">
        <w:tc>
          <w:tcPr>
            <w:tcW w:w="959" w:type="dxa"/>
            <w:vMerge w:val="restart"/>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杨景喻</w:t>
            </w: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公募基金</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5</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2,618,651,952.60</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2015-08-04</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3,074,457,946.35</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2022-06-06</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其他组合</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合计</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6</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5,693,109,898.95</w:t>
            </w:r>
          </w:p>
        </w:tc>
        <w:tc>
          <w:tcPr>
            <w:tcW w:w="1381" w:type="dxa"/>
            <w:tcBorders>
              <w:top w:val="single" w:sz="4" w:space="0" w:color="auto"/>
              <w:left w:val="single" w:sz="4" w:space="0" w:color="auto"/>
              <w:bottom w:val="single" w:sz="4" w:space="0" w:color="auto"/>
              <w:right w:val="single" w:sz="4" w:space="0" w:color="auto"/>
            </w:tcBorders>
          </w:tcPr>
          <w:p w:rsidR="005C671B" w:rsidRPr="00B27A29" w:rsidRDefault="005C671B">
            <w:pPr>
              <w:spacing w:line="288" w:lineRule="auto"/>
              <w:jc w:val="left"/>
              <w:rPr>
                <w:color w:val="000000"/>
                <w:szCs w:val="21"/>
              </w:rPr>
            </w:pP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317323" w:rsidRDefault="002A71EA">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w:t>
      </w:r>
      <w:r>
        <w:rPr>
          <w:rFonts w:eastAsiaTheme="minorEastAsia"/>
          <w:color w:val="000000" w:themeColor="text1"/>
          <w:szCs w:val="21"/>
        </w:rPr>
        <w:t>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317323" w:rsidRDefault="002A71EA">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w:t>
      </w:r>
      <w:r>
        <w:rPr>
          <w:rFonts w:eastAsiaTheme="minorEastAsia"/>
          <w:color w:val="000000" w:themeColor="text1"/>
          <w:szCs w:val="21"/>
        </w:rPr>
        <w:t>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317323" w:rsidRDefault="002A71EA">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317323" w:rsidRDefault="002A71EA">
      <w:pPr>
        <w:spacing w:line="360" w:lineRule="auto"/>
        <w:ind w:firstLineChars="200" w:firstLine="420"/>
        <w:rPr>
          <w:rFonts w:eastAsiaTheme="minorEastAsia"/>
          <w:color w:val="000000" w:themeColor="text1"/>
          <w:szCs w:val="21"/>
        </w:rPr>
      </w:pPr>
      <w:r>
        <w:rPr>
          <w:rFonts w:eastAsiaTheme="minorEastAsia"/>
          <w:color w:val="000000" w:themeColor="text1"/>
          <w:szCs w:val="21"/>
        </w:rPr>
        <w:t>一季度市场整体呈现上涨态势，各类指数均实现上涨。春节前，以白酒、地产链为代表性的受益宏观经济复苏的板块上涨明显。春节后，由于宏观经济的复苏弱于此前预期，政策的支持力度并未出现特别大的提升，消费品、周期品、制造业等行业表现疲软，以</w:t>
      </w:r>
      <w:r>
        <w:rPr>
          <w:rFonts w:eastAsiaTheme="minorEastAsia"/>
          <w:color w:val="000000" w:themeColor="text1"/>
          <w:szCs w:val="21"/>
        </w:rPr>
        <w:t>AI</w:t>
      </w:r>
      <w:r>
        <w:rPr>
          <w:rFonts w:eastAsiaTheme="minorEastAsia"/>
          <w:color w:val="000000" w:themeColor="text1"/>
          <w:szCs w:val="21"/>
        </w:rPr>
        <w:t>为代表的信息科技相关股票表现极为夺目。我们对组合结构进行了一定的调整，增加了计算机软件和</w:t>
      </w:r>
      <w:r>
        <w:rPr>
          <w:rFonts w:eastAsiaTheme="minorEastAsia"/>
          <w:color w:val="000000" w:themeColor="text1"/>
          <w:szCs w:val="21"/>
        </w:rPr>
        <w:t>AI</w:t>
      </w:r>
      <w:r>
        <w:rPr>
          <w:rFonts w:eastAsiaTheme="minorEastAsia"/>
          <w:color w:val="000000" w:themeColor="text1"/>
          <w:szCs w:val="21"/>
        </w:rPr>
        <w:t>产业相关公司的配置，同时我们也重点配置了部分大消费行业优质企业，降低了制造业尤其是新能源板块的配置。</w:t>
      </w:r>
    </w:p>
    <w:p w:rsidR="00317323" w:rsidRDefault="002A71EA">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我们重点配置了行业中优质的计算机软件公司，我们认为这些企业本身拥有很强的开发能力，同时具备开放的心态，能够在于</w:t>
      </w:r>
      <w:r>
        <w:rPr>
          <w:rFonts w:eastAsiaTheme="minorEastAsia"/>
          <w:color w:val="000000" w:themeColor="text1"/>
          <w:szCs w:val="21"/>
        </w:rPr>
        <w:t>AI</w:t>
      </w:r>
      <w:r>
        <w:rPr>
          <w:rFonts w:eastAsiaTheme="minorEastAsia"/>
          <w:color w:val="000000" w:themeColor="text1"/>
          <w:szCs w:val="21"/>
        </w:rPr>
        <w:t>相结合的过程中大放异彩。同时，我们也必须承认，</w:t>
      </w:r>
      <w:r>
        <w:rPr>
          <w:rFonts w:eastAsiaTheme="minorEastAsia"/>
          <w:color w:val="000000" w:themeColor="text1"/>
          <w:szCs w:val="21"/>
        </w:rPr>
        <w:t>AI</w:t>
      </w:r>
      <w:r>
        <w:rPr>
          <w:rFonts w:eastAsiaTheme="minorEastAsia"/>
          <w:color w:val="000000" w:themeColor="text1"/>
          <w:szCs w:val="21"/>
        </w:rPr>
        <w:t>处于快速的发展迭代过程当中，今天领先的企业未来未必领先，反之亦然，因此我们需要动态的去研究、观察我们的目标公司。</w:t>
      </w:r>
    </w:p>
    <w:p w:rsidR="00317323" w:rsidRDefault="002A71EA">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仍然坚持认可大消费板块的投资价值。虽然短期来看由于宏观经济的复苏较弱，传导到消费的大幅改善仍需较长时间，但我们能够在板块内寻找到部分增长仍然较好、估值较低的标的，尤其是在食品、白酒、中医中药等板块，我们将以价值投资的方法论为依据，较长期持有并跟踪这些公司的基本面变化，相信其会获得良好的投资收益。</w:t>
      </w:r>
    </w:p>
    <w:p w:rsidR="00317323" w:rsidRDefault="002A71EA">
      <w:pPr>
        <w:spacing w:line="360" w:lineRule="auto"/>
        <w:ind w:firstLineChars="200" w:firstLine="420"/>
        <w:rPr>
          <w:rFonts w:eastAsiaTheme="minorEastAsia"/>
          <w:color w:val="000000" w:themeColor="text1"/>
          <w:szCs w:val="21"/>
        </w:rPr>
      </w:pPr>
      <w:r>
        <w:rPr>
          <w:rFonts w:eastAsiaTheme="minorEastAsia"/>
          <w:color w:val="000000" w:themeColor="text1"/>
          <w:szCs w:val="21"/>
        </w:rPr>
        <w:t>制造业板块一季度表现较差，我们认为与宏观经济偏弱、以及海外出口疲弱关系较大。该领域的投资机会更多偏向个股，我们相信优质的制造业公司能够穿越周期，获得更大的市场份额。</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本基金将继续为持有人争取良好的超额收益。</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317323" w:rsidRDefault="002A71EA">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本报告期本基金</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:0.77%</w:t>
      </w:r>
      <w:r>
        <w:rPr>
          <w:rFonts w:eastAsiaTheme="minorEastAsia"/>
          <w:color w:val="000000" w:themeColor="text1"/>
          <w:szCs w:val="21"/>
        </w:rPr>
        <w:t>，同期业绩比较基准收益率为</w:t>
      </w:r>
      <w:r>
        <w:rPr>
          <w:rFonts w:eastAsiaTheme="minorEastAsia"/>
          <w:color w:val="000000" w:themeColor="text1"/>
          <w:szCs w:val="21"/>
        </w:rPr>
        <w:t>:3.85%</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:0.64%</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:3.85%</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1,741,699,571.44</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92.21</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1,741,699,571.44</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92.21</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141,028,654.77</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7.47</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6,022,736.89</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0.32</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1,888,750,963.10</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26,755,153.20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1.44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1,211,570,815.04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65.41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6,619.60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78,679,494.00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4.25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359,384,399.99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19.40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59,717,181.61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3.22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5,585,908.00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0.30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1,741,699,571.44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94.03</w:t>
            </w:r>
          </w:p>
        </w:tc>
      </w:tr>
    </w:tbl>
    <w:p w:rsidR="00B27A29" w:rsidRPr="00B27A29" w:rsidRDefault="00B27A29" w:rsidP="00B27A29">
      <w:pPr>
        <w:spacing w:line="360" w:lineRule="auto"/>
        <w:rPr>
          <w:rFonts w:eastAsiaTheme="minorEastAsia"/>
          <w:szCs w:val="21"/>
        </w:rPr>
      </w:pPr>
      <w:bookmarkStart w:id="2"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317323">
        <w:tc>
          <w:tcPr>
            <w:tcW w:w="817" w:type="dxa"/>
            <w:vAlign w:val="center"/>
          </w:tcPr>
          <w:p w:rsidR="00317323" w:rsidRDefault="002A71EA">
            <w:pPr>
              <w:jc w:val="center"/>
            </w:pPr>
            <w:r>
              <w:rPr>
                <w:rFonts w:eastAsiaTheme="minorEastAsia"/>
                <w:kern w:val="0"/>
                <w:szCs w:val="21"/>
              </w:rPr>
              <w:t>1</w:t>
            </w:r>
          </w:p>
        </w:tc>
        <w:tc>
          <w:tcPr>
            <w:tcW w:w="1276" w:type="dxa"/>
            <w:vAlign w:val="center"/>
          </w:tcPr>
          <w:p w:rsidR="00317323" w:rsidRDefault="002A71EA">
            <w:pPr>
              <w:jc w:val="center"/>
            </w:pPr>
            <w:r>
              <w:rPr>
                <w:rFonts w:eastAsiaTheme="minorEastAsia"/>
                <w:kern w:val="0"/>
                <w:szCs w:val="21"/>
              </w:rPr>
              <w:t>002236</w:t>
            </w:r>
          </w:p>
        </w:tc>
        <w:tc>
          <w:tcPr>
            <w:tcW w:w="1701" w:type="dxa"/>
            <w:vAlign w:val="center"/>
          </w:tcPr>
          <w:p w:rsidR="00317323" w:rsidRDefault="002A71EA">
            <w:pPr>
              <w:jc w:val="center"/>
            </w:pPr>
            <w:r>
              <w:rPr>
                <w:rFonts w:eastAsiaTheme="minorEastAsia"/>
                <w:kern w:val="0"/>
                <w:szCs w:val="21"/>
              </w:rPr>
              <w:t>大华股份</w:t>
            </w:r>
          </w:p>
        </w:tc>
        <w:tc>
          <w:tcPr>
            <w:tcW w:w="1276" w:type="dxa"/>
            <w:vAlign w:val="center"/>
          </w:tcPr>
          <w:p w:rsidR="00317323" w:rsidRDefault="002A71EA">
            <w:pPr>
              <w:jc w:val="right"/>
            </w:pPr>
            <w:r>
              <w:rPr>
                <w:rFonts w:eastAsiaTheme="minorEastAsia"/>
                <w:kern w:val="0"/>
                <w:szCs w:val="21"/>
              </w:rPr>
              <w:t>5,102,795</w:t>
            </w:r>
          </w:p>
        </w:tc>
        <w:tc>
          <w:tcPr>
            <w:tcW w:w="1842" w:type="dxa"/>
            <w:vAlign w:val="center"/>
          </w:tcPr>
          <w:p w:rsidR="00317323" w:rsidRDefault="002A71EA">
            <w:pPr>
              <w:jc w:val="right"/>
            </w:pPr>
            <w:r>
              <w:rPr>
                <w:rFonts w:eastAsiaTheme="minorEastAsia"/>
                <w:kern w:val="0"/>
                <w:szCs w:val="21"/>
              </w:rPr>
              <w:t>115,374,194.95</w:t>
            </w:r>
          </w:p>
        </w:tc>
        <w:tc>
          <w:tcPr>
            <w:tcW w:w="1616" w:type="dxa"/>
            <w:vAlign w:val="center"/>
          </w:tcPr>
          <w:p w:rsidR="00317323" w:rsidRDefault="002A71EA">
            <w:pPr>
              <w:jc w:val="right"/>
            </w:pPr>
            <w:r>
              <w:rPr>
                <w:rFonts w:eastAsiaTheme="minorEastAsia"/>
                <w:kern w:val="0"/>
                <w:szCs w:val="21"/>
              </w:rPr>
              <w:t>6.23</w:t>
            </w:r>
          </w:p>
        </w:tc>
      </w:tr>
      <w:tr w:rsidR="00317323">
        <w:tc>
          <w:tcPr>
            <w:tcW w:w="817" w:type="dxa"/>
            <w:vAlign w:val="center"/>
          </w:tcPr>
          <w:p w:rsidR="00317323" w:rsidRDefault="002A71EA">
            <w:pPr>
              <w:jc w:val="center"/>
            </w:pPr>
            <w:r>
              <w:rPr>
                <w:rFonts w:eastAsiaTheme="minorEastAsia"/>
                <w:kern w:val="0"/>
                <w:szCs w:val="21"/>
              </w:rPr>
              <w:t>2</w:t>
            </w:r>
          </w:p>
        </w:tc>
        <w:tc>
          <w:tcPr>
            <w:tcW w:w="1276" w:type="dxa"/>
            <w:vAlign w:val="center"/>
          </w:tcPr>
          <w:p w:rsidR="00317323" w:rsidRDefault="002A71EA">
            <w:pPr>
              <w:jc w:val="center"/>
            </w:pPr>
            <w:r>
              <w:rPr>
                <w:rFonts w:eastAsiaTheme="minorEastAsia"/>
                <w:kern w:val="0"/>
                <w:szCs w:val="21"/>
              </w:rPr>
              <w:t>002368</w:t>
            </w:r>
          </w:p>
        </w:tc>
        <w:tc>
          <w:tcPr>
            <w:tcW w:w="1701" w:type="dxa"/>
            <w:vAlign w:val="center"/>
          </w:tcPr>
          <w:p w:rsidR="00317323" w:rsidRDefault="002A71EA">
            <w:pPr>
              <w:jc w:val="center"/>
            </w:pPr>
            <w:r>
              <w:rPr>
                <w:rFonts w:eastAsiaTheme="minorEastAsia"/>
                <w:kern w:val="0"/>
                <w:szCs w:val="21"/>
              </w:rPr>
              <w:t>太极股份</w:t>
            </w:r>
          </w:p>
        </w:tc>
        <w:tc>
          <w:tcPr>
            <w:tcW w:w="1276" w:type="dxa"/>
            <w:vAlign w:val="center"/>
          </w:tcPr>
          <w:p w:rsidR="00317323" w:rsidRDefault="002A71EA">
            <w:pPr>
              <w:jc w:val="right"/>
            </w:pPr>
            <w:r>
              <w:rPr>
                <w:rFonts w:eastAsiaTheme="minorEastAsia"/>
                <w:kern w:val="0"/>
                <w:szCs w:val="21"/>
              </w:rPr>
              <w:t>2,654,103</w:t>
            </w:r>
          </w:p>
        </w:tc>
        <w:tc>
          <w:tcPr>
            <w:tcW w:w="1842" w:type="dxa"/>
            <w:vAlign w:val="center"/>
          </w:tcPr>
          <w:p w:rsidR="00317323" w:rsidRDefault="002A71EA">
            <w:pPr>
              <w:jc w:val="right"/>
            </w:pPr>
            <w:r>
              <w:rPr>
                <w:rFonts w:eastAsiaTheme="minorEastAsia"/>
                <w:kern w:val="0"/>
                <w:szCs w:val="21"/>
              </w:rPr>
              <w:t>111,950,064.54</w:t>
            </w:r>
          </w:p>
        </w:tc>
        <w:tc>
          <w:tcPr>
            <w:tcW w:w="1616" w:type="dxa"/>
            <w:vAlign w:val="center"/>
          </w:tcPr>
          <w:p w:rsidR="00317323" w:rsidRDefault="002A71EA">
            <w:pPr>
              <w:jc w:val="right"/>
            </w:pPr>
            <w:r>
              <w:rPr>
                <w:rFonts w:eastAsiaTheme="minorEastAsia"/>
                <w:kern w:val="0"/>
                <w:szCs w:val="21"/>
              </w:rPr>
              <w:t>6.04</w:t>
            </w:r>
          </w:p>
        </w:tc>
      </w:tr>
      <w:tr w:rsidR="00317323">
        <w:tc>
          <w:tcPr>
            <w:tcW w:w="817" w:type="dxa"/>
            <w:vAlign w:val="center"/>
          </w:tcPr>
          <w:p w:rsidR="00317323" w:rsidRDefault="002A71EA">
            <w:pPr>
              <w:jc w:val="center"/>
            </w:pPr>
            <w:r>
              <w:rPr>
                <w:rFonts w:eastAsiaTheme="minorEastAsia"/>
                <w:kern w:val="0"/>
                <w:szCs w:val="21"/>
              </w:rPr>
              <w:t>3</w:t>
            </w:r>
          </w:p>
        </w:tc>
        <w:tc>
          <w:tcPr>
            <w:tcW w:w="1276" w:type="dxa"/>
            <w:vAlign w:val="center"/>
          </w:tcPr>
          <w:p w:rsidR="00317323" w:rsidRDefault="002A71EA">
            <w:pPr>
              <w:jc w:val="center"/>
            </w:pPr>
            <w:r>
              <w:rPr>
                <w:rFonts w:eastAsiaTheme="minorEastAsia"/>
                <w:kern w:val="0"/>
                <w:szCs w:val="21"/>
              </w:rPr>
              <w:t>600519</w:t>
            </w:r>
          </w:p>
        </w:tc>
        <w:tc>
          <w:tcPr>
            <w:tcW w:w="1701" w:type="dxa"/>
            <w:vAlign w:val="center"/>
          </w:tcPr>
          <w:p w:rsidR="00317323" w:rsidRDefault="002A71EA">
            <w:pPr>
              <w:jc w:val="center"/>
            </w:pPr>
            <w:r>
              <w:rPr>
                <w:rFonts w:eastAsiaTheme="minorEastAsia"/>
                <w:kern w:val="0"/>
                <w:szCs w:val="21"/>
              </w:rPr>
              <w:t>贵州茅台</w:t>
            </w:r>
          </w:p>
        </w:tc>
        <w:tc>
          <w:tcPr>
            <w:tcW w:w="1276" w:type="dxa"/>
            <w:vAlign w:val="center"/>
          </w:tcPr>
          <w:p w:rsidR="00317323" w:rsidRDefault="002A71EA">
            <w:pPr>
              <w:jc w:val="right"/>
            </w:pPr>
            <w:r>
              <w:rPr>
                <w:rFonts w:eastAsiaTheme="minorEastAsia"/>
                <w:kern w:val="0"/>
                <w:szCs w:val="21"/>
              </w:rPr>
              <w:t>58,690</w:t>
            </w:r>
          </w:p>
        </w:tc>
        <w:tc>
          <w:tcPr>
            <w:tcW w:w="1842" w:type="dxa"/>
            <w:vAlign w:val="center"/>
          </w:tcPr>
          <w:p w:rsidR="00317323" w:rsidRDefault="002A71EA">
            <w:pPr>
              <w:jc w:val="right"/>
            </w:pPr>
            <w:r>
              <w:rPr>
                <w:rFonts w:eastAsiaTheme="minorEastAsia"/>
                <w:kern w:val="0"/>
                <w:szCs w:val="21"/>
              </w:rPr>
              <w:t>106,815,800.00</w:t>
            </w:r>
          </w:p>
        </w:tc>
        <w:tc>
          <w:tcPr>
            <w:tcW w:w="1616" w:type="dxa"/>
            <w:vAlign w:val="center"/>
          </w:tcPr>
          <w:p w:rsidR="00317323" w:rsidRDefault="002A71EA">
            <w:pPr>
              <w:jc w:val="right"/>
            </w:pPr>
            <w:r>
              <w:rPr>
                <w:rFonts w:eastAsiaTheme="minorEastAsia"/>
                <w:kern w:val="0"/>
                <w:szCs w:val="21"/>
              </w:rPr>
              <w:t>5.77</w:t>
            </w:r>
          </w:p>
        </w:tc>
      </w:tr>
      <w:tr w:rsidR="00317323">
        <w:tc>
          <w:tcPr>
            <w:tcW w:w="817" w:type="dxa"/>
            <w:vAlign w:val="center"/>
          </w:tcPr>
          <w:p w:rsidR="00317323" w:rsidRDefault="002A71EA">
            <w:pPr>
              <w:jc w:val="center"/>
            </w:pPr>
            <w:r>
              <w:rPr>
                <w:rFonts w:eastAsiaTheme="minorEastAsia"/>
                <w:kern w:val="0"/>
                <w:szCs w:val="21"/>
              </w:rPr>
              <w:t>4</w:t>
            </w:r>
          </w:p>
        </w:tc>
        <w:tc>
          <w:tcPr>
            <w:tcW w:w="1276" w:type="dxa"/>
            <w:vAlign w:val="center"/>
          </w:tcPr>
          <w:p w:rsidR="00317323" w:rsidRDefault="002A71EA">
            <w:pPr>
              <w:jc w:val="center"/>
            </w:pPr>
            <w:r>
              <w:rPr>
                <w:rFonts w:eastAsiaTheme="minorEastAsia"/>
                <w:kern w:val="0"/>
                <w:szCs w:val="21"/>
              </w:rPr>
              <w:t>000032</w:t>
            </w:r>
          </w:p>
        </w:tc>
        <w:tc>
          <w:tcPr>
            <w:tcW w:w="1701" w:type="dxa"/>
            <w:vAlign w:val="center"/>
          </w:tcPr>
          <w:p w:rsidR="00317323" w:rsidRDefault="002A71EA">
            <w:pPr>
              <w:jc w:val="center"/>
            </w:pPr>
            <w:r>
              <w:rPr>
                <w:rFonts w:eastAsiaTheme="minorEastAsia"/>
                <w:kern w:val="0"/>
                <w:szCs w:val="21"/>
              </w:rPr>
              <w:t>深桑达Ａ</w:t>
            </w:r>
          </w:p>
        </w:tc>
        <w:tc>
          <w:tcPr>
            <w:tcW w:w="1276" w:type="dxa"/>
            <w:vAlign w:val="center"/>
          </w:tcPr>
          <w:p w:rsidR="00317323" w:rsidRDefault="002A71EA">
            <w:pPr>
              <w:jc w:val="right"/>
            </w:pPr>
            <w:r>
              <w:rPr>
                <w:rFonts w:eastAsiaTheme="minorEastAsia"/>
                <w:kern w:val="0"/>
                <w:szCs w:val="21"/>
              </w:rPr>
              <w:t>2,379,900</w:t>
            </w:r>
          </w:p>
        </w:tc>
        <w:tc>
          <w:tcPr>
            <w:tcW w:w="1842" w:type="dxa"/>
            <w:vAlign w:val="center"/>
          </w:tcPr>
          <w:p w:rsidR="00317323" w:rsidRDefault="002A71EA">
            <w:pPr>
              <w:jc w:val="right"/>
            </w:pPr>
            <w:r>
              <w:rPr>
                <w:rFonts w:eastAsiaTheme="minorEastAsia"/>
                <w:kern w:val="0"/>
                <w:szCs w:val="21"/>
              </w:rPr>
              <w:t>78,679,494.00</w:t>
            </w:r>
          </w:p>
        </w:tc>
        <w:tc>
          <w:tcPr>
            <w:tcW w:w="1616" w:type="dxa"/>
            <w:vAlign w:val="center"/>
          </w:tcPr>
          <w:p w:rsidR="00317323" w:rsidRDefault="002A71EA">
            <w:pPr>
              <w:jc w:val="right"/>
            </w:pPr>
            <w:r>
              <w:rPr>
                <w:rFonts w:eastAsiaTheme="minorEastAsia"/>
                <w:kern w:val="0"/>
                <w:szCs w:val="21"/>
              </w:rPr>
              <w:t>4.25</w:t>
            </w:r>
          </w:p>
        </w:tc>
      </w:tr>
      <w:tr w:rsidR="00317323">
        <w:tc>
          <w:tcPr>
            <w:tcW w:w="817" w:type="dxa"/>
            <w:vAlign w:val="center"/>
          </w:tcPr>
          <w:p w:rsidR="00317323" w:rsidRDefault="002A71EA">
            <w:pPr>
              <w:jc w:val="center"/>
            </w:pPr>
            <w:r>
              <w:rPr>
                <w:rFonts w:eastAsiaTheme="minorEastAsia"/>
                <w:kern w:val="0"/>
                <w:szCs w:val="21"/>
              </w:rPr>
              <w:t>5</w:t>
            </w:r>
          </w:p>
        </w:tc>
        <w:tc>
          <w:tcPr>
            <w:tcW w:w="1276" w:type="dxa"/>
            <w:vAlign w:val="center"/>
          </w:tcPr>
          <w:p w:rsidR="00317323" w:rsidRDefault="002A71EA">
            <w:pPr>
              <w:jc w:val="center"/>
            </w:pPr>
            <w:r>
              <w:rPr>
                <w:rFonts w:eastAsiaTheme="minorEastAsia"/>
                <w:kern w:val="0"/>
                <w:szCs w:val="21"/>
              </w:rPr>
              <w:t>603027</w:t>
            </w:r>
          </w:p>
        </w:tc>
        <w:tc>
          <w:tcPr>
            <w:tcW w:w="1701" w:type="dxa"/>
            <w:vAlign w:val="center"/>
          </w:tcPr>
          <w:p w:rsidR="00317323" w:rsidRDefault="002A71EA">
            <w:pPr>
              <w:jc w:val="center"/>
            </w:pPr>
            <w:r>
              <w:rPr>
                <w:rFonts w:eastAsiaTheme="minorEastAsia"/>
                <w:kern w:val="0"/>
                <w:szCs w:val="21"/>
              </w:rPr>
              <w:t>千禾味业</w:t>
            </w:r>
          </w:p>
        </w:tc>
        <w:tc>
          <w:tcPr>
            <w:tcW w:w="1276" w:type="dxa"/>
            <w:vAlign w:val="center"/>
          </w:tcPr>
          <w:p w:rsidR="00317323" w:rsidRDefault="002A71EA">
            <w:pPr>
              <w:jc w:val="right"/>
            </w:pPr>
            <w:r>
              <w:rPr>
                <w:rFonts w:eastAsiaTheme="minorEastAsia"/>
                <w:kern w:val="0"/>
                <w:szCs w:val="21"/>
              </w:rPr>
              <w:t>3,053,873</w:t>
            </w:r>
          </w:p>
        </w:tc>
        <w:tc>
          <w:tcPr>
            <w:tcW w:w="1842" w:type="dxa"/>
            <w:vAlign w:val="center"/>
          </w:tcPr>
          <w:p w:rsidR="00317323" w:rsidRDefault="002A71EA">
            <w:pPr>
              <w:jc w:val="right"/>
            </w:pPr>
            <w:r>
              <w:rPr>
                <w:rFonts w:eastAsiaTheme="minorEastAsia"/>
                <w:kern w:val="0"/>
                <w:szCs w:val="21"/>
              </w:rPr>
              <w:t>73,109,719.62</w:t>
            </w:r>
          </w:p>
        </w:tc>
        <w:tc>
          <w:tcPr>
            <w:tcW w:w="1616" w:type="dxa"/>
            <w:vAlign w:val="center"/>
          </w:tcPr>
          <w:p w:rsidR="00317323" w:rsidRDefault="002A71EA">
            <w:pPr>
              <w:jc w:val="right"/>
            </w:pPr>
            <w:r>
              <w:rPr>
                <w:rFonts w:eastAsiaTheme="minorEastAsia"/>
                <w:kern w:val="0"/>
                <w:szCs w:val="21"/>
              </w:rPr>
              <w:t>3.95</w:t>
            </w:r>
          </w:p>
        </w:tc>
      </w:tr>
      <w:tr w:rsidR="00317323">
        <w:tc>
          <w:tcPr>
            <w:tcW w:w="817" w:type="dxa"/>
            <w:vAlign w:val="center"/>
          </w:tcPr>
          <w:p w:rsidR="00317323" w:rsidRDefault="002A71EA">
            <w:pPr>
              <w:jc w:val="center"/>
            </w:pPr>
            <w:r>
              <w:rPr>
                <w:rFonts w:eastAsiaTheme="minorEastAsia"/>
                <w:kern w:val="0"/>
                <w:szCs w:val="21"/>
              </w:rPr>
              <w:t>6</w:t>
            </w:r>
          </w:p>
        </w:tc>
        <w:tc>
          <w:tcPr>
            <w:tcW w:w="1276" w:type="dxa"/>
            <w:vAlign w:val="center"/>
          </w:tcPr>
          <w:p w:rsidR="00317323" w:rsidRDefault="002A71EA">
            <w:pPr>
              <w:jc w:val="center"/>
            </w:pPr>
            <w:r>
              <w:rPr>
                <w:rFonts w:eastAsiaTheme="minorEastAsia"/>
                <w:kern w:val="0"/>
                <w:szCs w:val="21"/>
              </w:rPr>
              <w:t>688111</w:t>
            </w:r>
          </w:p>
        </w:tc>
        <w:tc>
          <w:tcPr>
            <w:tcW w:w="1701" w:type="dxa"/>
            <w:vAlign w:val="center"/>
          </w:tcPr>
          <w:p w:rsidR="00317323" w:rsidRDefault="002A71EA">
            <w:pPr>
              <w:jc w:val="center"/>
            </w:pPr>
            <w:r>
              <w:rPr>
                <w:rFonts w:eastAsiaTheme="minorEastAsia"/>
                <w:kern w:val="0"/>
                <w:szCs w:val="21"/>
              </w:rPr>
              <w:t>金山办公</w:t>
            </w:r>
          </w:p>
        </w:tc>
        <w:tc>
          <w:tcPr>
            <w:tcW w:w="1276" w:type="dxa"/>
            <w:vAlign w:val="center"/>
          </w:tcPr>
          <w:p w:rsidR="00317323" w:rsidRDefault="002A71EA">
            <w:pPr>
              <w:jc w:val="right"/>
            </w:pPr>
            <w:r>
              <w:rPr>
                <w:rFonts w:eastAsiaTheme="minorEastAsia"/>
                <w:kern w:val="0"/>
                <w:szCs w:val="21"/>
              </w:rPr>
              <w:t>135,417</w:t>
            </w:r>
          </w:p>
        </w:tc>
        <w:tc>
          <w:tcPr>
            <w:tcW w:w="1842" w:type="dxa"/>
            <w:vAlign w:val="center"/>
          </w:tcPr>
          <w:p w:rsidR="00317323" w:rsidRDefault="002A71EA">
            <w:pPr>
              <w:jc w:val="right"/>
            </w:pPr>
            <w:r>
              <w:rPr>
                <w:rFonts w:eastAsiaTheme="minorEastAsia"/>
                <w:kern w:val="0"/>
                <w:szCs w:val="21"/>
              </w:rPr>
              <w:t>64,052,241.00</w:t>
            </w:r>
          </w:p>
        </w:tc>
        <w:tc>
          <w:tcPr>
            <w:tcW w:w="1616" w:type="dxa"/>
            <w:vAlign w:val="center"/>
          </w:tcPr>
          <w:p w:rsidR="00317323" w:rsidRDefault="002A71EA">
            <w:pPr>
              <w:jc w:val="right"/>
            </w:pPr>
            <w:r>
              <w:rPr>
                <w:rFonts w:eastAsiaTheme="minorEastAsia"/>
                <w:kern w:val="0"/>
                <w:szCs w:val="21"/>
              </w:rPr>
              <w:t>3.46</w:t>
            </w:r>
          </w:p>
        </w:tc>
      </w:tr>
      <w:tr w:rsidR="00317323">
        <w:tc>
          <w:tcPr>
            <w:tcW w:w="817" w:type="dxa"/>
            <w:vAlign w:val="center"/>
          </w:tcPr>
          <w:p w:rsidR="00317323" w:rsidRDefault="002A71EA">
            <w:pPr>
              <w:jc w:val="center"/>
            </w:pPr>
            <w:r>
              <w:rPr>
                <w:rFonts w:eastAsiaTheme="minorEastAsia"/>
                <w:kern w:val="0"/>
                <w:szCs w:val="21"/>
              </w:rPr>
              <w:t>7</w:t>
            </w:r>
          </w:p>
        </w:tc>
        <w:tc>
          <w:tcPr>
            <w:tcW w:w="1276" w:type="dxa"/>
            <w:vAlign w:val="center"/>
          </w:tcPr>
          <w:p w:rsidR="00317323" w:rsidRDefault="002A71EA">
            <w:pPr>
              <w:jc w:val="center"/>
            </w:pPr>
            <w:r>
              <w:rPr>
                <w:rFonts w:eastAsiaTheme="minorEastAsia"/>
                <w:kern w:val="0"/>
                <w:szCs w:val="21"/>
              </w:rPr>
              <w:t>300059</w:t>
            </w:r>
          </w:p>
        </w:tc>
        <w:tc>
          <w:tcPr>
            <w:tcW w:w="1701" w:type="dxa"/>
            <w:vAlign w:val="center"/>
          </w:tcPr>
          <w:p w:rsidR="00317323" w:rsidRDefault="002A71EA">
            <w:pPr>
              <w:jc w:val="center"/>
            </w:pPr>
            <w:r>
              <w:rPr>
                <w:rFonts w:eastAsiaTheme="minorEastAsia"/>
                <w:kern w:val="0"/>
                <w:szCs w:val="21"/>
              </w:rPr>
              <w:t>东方财富</w:t>
            </w:r>
          </w:p>
        </w:tc>
        <w:tc>
          <w:tcPr>
            <w:tcW w:w="1276" w:type="dxa"/>
            <w:vAlign w:val="center"/>
          </w:tcPr>
          <w:p w:rsidR="00317323" w:rsidRDefault="002A71EA">
            <w:pPr>
              <w:jc w:val="right"/>
            </w:pPr>
            <w:r>
              <w:rPr>
                <w:rFonts w:eastAsiaTheme="minorEastAsia"/>
                <w:kern w:val="0"/>
                <w:szCs w:val="21"/>
              </w:rPr>
              <w:t>2,981,387</w:t>
            </w:r>
          </w:p>
        </w:tc>
        <w:tc>
          <w:tcPr>
            <w:tcW w:w="1842" w:type="dxa"/>
            <w:vAlign w:val="center"/>
          </w:tcPr>
          <w:p w:rsidR="00317323" w:rsidRDefault="002A71EA">
            <w:pPr>
              <w:jc w:val="right"/>
            </w:pPr>
            <w:r>
              <w:rPr>
                <w:rFonts w:eastAsiaTheme="minorEastAsia"/>
                <w:kern w:val="0"/>
                <w:szCs w:val="21"/>
              </w:rPr>
              <w:t>59,717,181.61</w:t>
            </w:r>
          </w:p>
        </w:tc>
        <w:tc>
          <w:tcPr>
            <w:tcW w:w="1616" w:type="dxa"/>
            <w:vAlign w:val="center"/>
          </w:tcPr>
          <w:p w:rsidR="00317323" w:rsidRDefault="002A71EA">
            <w:pPr>
              <w:jc w:val="right"/>
            </w:pPr>
            <w:r>
              <w:rPr>
                <w:rFonts w:eastAsiaTheme="minorEastAsia"/>
                <w:kern w:val="0"/>
                <w:szCs w:val="21"/>
              </w:rPr>
              <w:t>3.22</w:t>
            </w:r>
          </w:p>
        </w:tc>
      </w:tr>
      <w:tr w:rsidR="00317323">
        <w:tc>
          <w:tcPr>
            <w:tcW w:w="817" w:type="dxa"/>
            <w:vAlign w:val="center"/>
          </w:tcPr>
          <w:p w:rsidR="00317323" w:rsidRDefault="002A71EA">
            <w:pPr>
              <w:jc w:val="center"/>
            </w:pPr>
            <w:r>
              <w:rPr>
                <w:rFonts w:eastAsiaTheme="minorEastAsia"/>
                <w:kern w:val="0"/>
                <w:szCs w:val="21"/>
              </w:rPr>
              <w:t>8</w:t>
            </w:r>
          </w:p>
        </w:tc>
        <w:tc>
          <w:tcPr>
            <w:tcW w:w="1276" w:type="dxa"/>
            <w:vAlign w:val="center"/>
          </w:tcPr>
          <w:p w:rsidR="00317323" w:rsidRDefault="002A71EA">
            <w:pPr>
              <w:jc w:val="center"/>
            </w:pPr>
            <w:r>
              <w:rPr>
                <w:rFonts w:eastAsiaTheme="minorEastAsia"/>
                <w:kern w:val="0"/>
                <w:szCs w:val="21"/>
              </w:rPr>
              <w:t>002230</w:t>
            </w:r>
          </w:p>
        </w:tc>
        <w:tc>
          <w:tcPr>
            <w:tcW w:w="1701" w:type="dxa"/>
            <w:vAlign w:val="center"/>
          </w:tcPr>
          <w:p w:rsidR="00317323" w:rsidRDefault="002A71EA">
            <w:pPr>
              <w:jc w:val="center"/>
            </w:pPr>
            <w:r>
              <w:rPr>
                <w:rFonts w:eastAsiaTheme="minorEastAsia"/>
                <w:kern w:val="0"/>
                <w:szCs w:val="21"/>
              </w:rPr>
              <w:t>科大讯飞</w:t>
            </w:r>
          </w:p>
        </w:tc>
        <w:tc>
          <w:tcPr>
            <w:tcW w:w="1276" w:type="dxa"/>
            <w:vAlign w:val="center"/>
          </w:tcPr>
          <w:p w:rsidR="00317323" w:rsidRDefault="002A71EA">
            <w:pPr>
              <w:jc w:val="right"/>
            </w:pPr>
            <w:r>
              <w:rPr>
                <w:rFonts w:eastAsiaTheme="minorEastAsia"/>
                <w:kern w:val="0"/>
                <w:szCs w:val="21"/>
              </w:rPr>
              <w:t>907,300</w:t>
            </w:r>
          </w:p>
        </w:tc>
        <w:tc>
          <w:tcPr>
            <w:tcW w:w="1842" w:type="dxa"/>
            <w:vAlign w:val="center"/>
          </w:tcPr>
          <w:p w:rsidR="00317323" w:rsidRDefault="002A71EA">
            <w:pPr>
              <w:jc w:val="right"/>
            </w:pPr>
            <w:r>
              <w:rPr>
                <w:rFonts w:eastAsiaTheme="minorEastAsia"/>
                <w:kern w:val="0"/>
                <w:szCs w:val="21"/>
              </w:rPr>
              <w:t>57,776,864.00</w:t>
            </w:r>
          </w:p>
        </w:tc>
        <w:tc>
          <w:tcPr>
            <w:tcW w:w="1616" w:type="dxa"/>
            <w:vAlign w:val="center"/>
          </w:tcPr>
          <w:p w:rsidR="00317323" w:rsidRDefault="002A71EA">
            <w:pPr>
              <w:jc w:val="right"/>
            </w:pPr>
            <w:r>
              <w:rPr>
                <w:rFonts w:eastAsiaTheme="minorEastAsia"/>
                <w:kern w:val="0"/>
                <w:szCs w:val="21"/>
              </w:rPr>
              <w:t>3.12</w:t>
            </w:r>
          </w:p>
        </w:tc>
      </w:tr>
      <w:tr w:rsidR="00317323">
        <w:tc>
          <w:tcPr>
            <w:tcW w:w="817" w:type="dxa"/>
            <w:vAlign w:val="center"/>
          </w:tcPr>
          <w:p w:rsidR="00317323" w:rsidRDefault="002A71EA">
            <w:pPr>
              <w:jc w:val="center"/>
            </w:pPr>
            <w:r>
              <w:rPr>
                <w:rFonts w:eastAsiaTheme="minorEastAsia"/>
                <w:kern w:val="0"/>
                <w:szCs w:val="21"/>
              </w:rPr>
              <w:t>9</w:t>
            </w:r>
          </w:p>
        </w:tc>
        <w:tc>
          <w:tcPr>
            <w:tcW w:w="1276" w:type="dxa"/>
            <w:vAlign w:val="center"/>
          </w:tcPr>
          <w:p w:rsidR="00317323" w:rsidRDefault="002A71EA">
            <w:pPr>
              <w:jc w:val="center"/>
            </w:pPr>
            <w:r>
              <w:rPr>
                <w:rFonts w:eastAsiaTheme="minorEastAsia"/>
                <w:kern w:val="0"/>
                <w:szCs w:val="21"/>
              </w:rPr>
              <w:t>000938</w:t>
            </w:r>
          </w:p>
        </w:tc>
        <w:tc>
          <w:tcPr>
            <w:tcW w:w="1701" w:type="dxa"/>
            <w:vAlign w:val="center"/>
          </w:tcPr>
          <w:p w:rsidR="00317323" w:rsidRDefault="002A71EA">
            <w:pPr>
              <w:jc w:val="center"/>
            </w:pPr>
            <w:r>
              <w:rPr>
                <w:rFonts w:eastAsiaTheme="minorEastAsia"/>
                <w:kern w:val="0"/>
                <w:szCs w:val="21"/>
              </w:rPr>
              <w:t>紫光股份</w:t>
            </w:r>
          </w:p>
        </w:tc>
        <w:tc>
          <w:tcPr>
            <w:tcW w:w="1276" w:type="dxa"/>
            <w:vAlign w:val="center"/>
          </w:tcPr>
          <w:p w:rsidR="00317323" w:rsidRDefault="002A71EA">
            <w:pPr>
              <w:jc w:val="right"/>
            </w:pPr>
            <w:r>
              <w:rPr>
                <w:rFonts w:eastAsiaTheme="minorEastAsia"/>
                <w:kern w:val="0"/>
                <w:szCs w:val="21"/>
              </w:rPr>
              <w:t>1,916,900</w:t>
            </w:r>
          </w:p>
        </w:tc>
        <w:tc>
          <w:tcPr>
            <w:tcW w:w="1842" w:type="dxa"/>
            <w:vAlign w:val="center"/>
          </w:tcPr>
          <w:p w:rsidR="00317323" w:rsidRDefault="002A71EA">
            <w:pPr>
              <w:jc w:val="right"/>
            </w:pPr>
            <w:r>
              <w:rPr>
                <w:rFonts w:eastAsiaTheme="minorEastAsia"/>
                <w:kern w:val="0"/>
                <w:szCs w:val="21"/>
              </w:rPr>
              <w:t>56,146,001.00</w:t>
            </w:r>
          </w:p>
        </w:tc>
        <w:tc>
          <w:tcPr>
            <w:tcW w:w="1616" w:type="dxa"/>
            <w:vAlign w:val="center"/>
          </w:tcPr>
          <w:p w:rsidR="00317323" w:rsidRDefault="002A71EA">
            <w:pPr>
              <w:jc w:val="right"/>
            </w:pPr>
            <w:r>
              <w:rPr>
                <w:rFonts w:eastAsiaTheme="minorEastAsia"/>
                <w:kern w:val="0"/>
                <w:szCs w:val="21"/>
              </w:rPr>
              <w:t>3.03</w:t>
            </w:r>
          </w:p>
        </w:tc>
      </w:tr>
      <w:tr w:rsidR="00317323">
        <w:tc>
          <w:tcPr>
            <w:tcW w:w="817" w:type="dxa"/>
            <w:vAlign w:val="center"/>
          </w:tcPr>
          <w:p w:rsidR="00317323" w:rsidRDefault="002A71EA">
            <w:pPr>
              <w:jc w:val="center"/>
            </w:pPr>
            <w:r>
              <w:rPr>
                <w:rFonts w:eastAsiaTheme="minorEastAsia"/>
                <w:kern w:val="0"/>
                <w:szCs w:val="21"/>
              </w:rPr>
              <w:t>10</w:t>
            </w:r>
          </w:p>
        </w:tc>
        <w:tc>
          <w:tcPr>
            <w:tcW w:w="1276" w:type="dxa"/>
            <w:vAlign w:val="center"/>
          </w:tcPr>
          <w:p w:rsidR="00317323" w:rsidRDefault="002A71EA">
            <w:pPr>
              <w:jc w:val="center"/>
            </w:pPr>
            <w:r>
              <w:rPr>
                <w:rFonts w:eastAsiaTheme="minorEastAsia"/>
                <w:kern w:val="0"/>
                <w:szCs w:val="21"/>
              </w:rPr>
              <w:t>600570</w:t>
            </w:r>
          </w:p>
        </w:tc>
        <w:tc>
          <w:tcPr>
            <w:tcW w:w="1701" w:type="dxa"/>
            <w:vAlign w:val="center"/>
          </w:tcPr>
          <w:p w:rsidR="00317323" w:rsidRDefault="002A71EA">
            <w:pPr>
              <w:jc w:val="center"/>
            </w:pPr>
            <w:r>
              <w:rPr>
                <w:rFonts w:eastAsiaTheme="minorEastAsia"/>
                <w:kern w:val="0"/>
                <w:szCs w:val="21"/>
              </w:rPr>
              <w:t>恒生电子</w:t>
            </w:r>
          </w:p>
        </w:tc>
        <w:tc>
          <w:tcPr>
            <w:tcW w:w="1276" w:type="dxa"/>
            <w:vAlign w:val="center"/>
          </w:tcPr>
          <w:p w:rsidR="00317323" w:rsidRDefault="002A71EA">
            <w:pPr>
              <w:jc w:val="right"/>
            </w:pPr>
            <w:r>
              <w:rPr>
                <w:rFonts w:eastAsiaTheme="minorEastAsia"/>
                <w:kern w:val="0"/>
                <w:szCs w:val="21"/>
              </w:rPr>
              <w:t>1,006,760</w:t>
            </w:r>
          </w:p>
        </w:tc>
        <w:tc>
          <w:tcPr>
            <w:tcW w:w="1842" w:type="dxa"/>
            <w:vAlign w:val="center"/>
          </w:tcPr>
          <w:p w:rsidR="00317323" w:rsidRDefault="002A71EA">
            <w:pPr>
              <w:jc w:val="right"/>
            </w:pPr>
            <w:r>
              <w:rPr>
                <w:rFonts w:eastAsiaTheme="minorEastAsia"/>
                <w:kern w:val="0"/>
                <w:szCs w:val="21"/>
              </w:rPr>
              <w:t>53,579,767.20</w:t>
            </w:r>
          </w:p>
        </w:tc>
        <w:tc>
          <w:tcPr>
            <w:tcW w:w="1616" w:type="dxa"/>
            <w:vAlign w:val="center"/>
          </w:tcPr>
          <w:p w:rsidR="00317323" w:rsidRDefault="002A71EA">
            <w:pPr>
              <w:jc w:val="right"/>
            </w:pPr>
            <w:r>
              <w:rPr>
                <w:rFonts w:eastAsiaTheme="minorEastAsia"/>
                <w:kern w:val="0"/>
                <w:szCs w:val="21"/>
              </w:rPr>
              <w:t>2.89</w:t>
            </w:r>
          </w:p>
        </w:tc>
      </w:tr>
    </w:tbl>
    <w:bookmarkEnd w:id="2"/>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709,071.64</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5,120,325.93</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193,339.32</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6,022,736.89</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摩根内需动力混合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摩根内需动力混合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2,290,174,662.01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1,220,175.85</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62,728,190.60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1,649,742.17</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35,602,583.80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1,083,248.73</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2,317,300,268.81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1,786,669.29</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317323" w:rsidRDefault="002A71EA">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、中国证监会核准本基金募集的文件；</w:t>
      </w:r>
    </w:p>
    <w:p w:rsidR="00317323" w:rsidRDefault="002A71EA">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、《摩根内需动力混合型证券投资基金基金合同》；</w:t>
      </w:r>
    </w:p>
    <w:p w:rsidR="00317323" w:rsidRDefault="002A71EA">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、《摩根内需动力混合型证券投资基金登记结算服务协议》；</w:t>
      </w:r>
    </w:p>
    <w:p w:rsidR="00317323" w:rsidRDefault="002A71EA">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、《摩根内需动力混合型证券投资基金托管协议》；</w:t>
      </w:r>
    </w:p>
    <w:p w:rsidR="00317323" w:rsidRDefault="002A71EA">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、法律意见书；</w:t>
      </w:r>
    </w:p>
    <w:p w:rsidR="00317323" w:rsidRDefault="002A71EA">
      <w:pPr>
        <w:spacing w:line="360" w:lineRule="auto"/>
        <w:ind w:firstLineChars="200" w:firstLine="420"/>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、基金管理人业务资格批件、营业执照；</w:t>
      </w:r>
    </w:p>
    <w:p w:rsidR="00317323" w:rsidRDefault="002A71EA">
      <w:pPr>
        <w:spacing w:line="360" w:lineRule="auto"/>
        <w:ind w:firstLineChars="200" w:firstLine="420"/>
        <w:rPr>
          <w:rFonts w:eastAsiaTheme="minorEastAsia"/>
          <w:color w:val="000000" w:themeColor="text1"/>
          <w:szCs w:val="21"/>
        </w:rPr>
      </w:pPr>
      <w:r>
        <w:rPr>
          <w:rFonts w:eastAsiaTheme="minorEastAsia"/>
          <w:color w:val="000000" w:themeColor="text1"/>
          <w:szCs w:val="21"/>
        </w:rPr>
        <w:t>7</w:t>
      </w:r>
      <w:r>
        <w:rPr>
          <w:rFonts w:eastAsiaTheme="minorEastAsia"/>
          <w:color w:val="000000" w:themeColor="text1"/>
          <w:szCs w:val="21"/>
        </w:rPr>
        <w:t>、基金托管人业务资格批件、营业执照；</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8</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二〇二三年四月二十一日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7B" w:rsidRDefault="00ED407B">
      <w:r>
        <w:separator/>
      </w:r>
    </w:p>
  </w:endnote>
  <w:endnote w:type="continuationSeparator" w:id="0">
    <w:p w:rsidR="00ED407B" w:rsidRDefault="00E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2A71EA">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2A71EA">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2A71EA">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7B" w:rsidRDefault="00ED407B">
      <w:r>
        <w:separator/>
      </w:r>
    </w:p>
  </w:footnote>
  <w:footnote w:type="continuationSeparator" w:id="0">
    <w:p w:rsidR="00ED407B" w:rsidRDefault="00ED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摩根内需动力混合型证券投资基金</w:t>
    </w:r>
    <w:r>
      <w:t>2023</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1EA"/>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323"/>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A2EF74-3616-43B2-99D8-59FA88DEE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22</TotalTime>
  <Pages>13</Pages>
  <Words>1109</Words>
  <Characters>6325</Characters>
  <Application>Microsoft Office Word</Application>
  <DocSecurity>0</DocSecurity>
  <Lines>52</Lines>
  <Paragraphs>14</Paragraphs>
  <ScaleCrop>false</ScaleCrop>
  <Company>TRT. Ltd. Co.</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Wenyu.Qiu@FA</cp:lastModifiedBy>
  <cp:revision>219</cp:revision>
  <cp:lastPrinted>2007-07-19T00:46:00Z</cp:lastPrinted>
  <dcterms:created xsi:type="dcterms:W3CDTF">2013-06-21T06:56:00Z</dcterms:created>
  <dcterms:modified xsi:type="dcterms:W3CDTF">2023-04-20T05:26:00Z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