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上投摩根内需动力混合型证券投资基金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bookmarkStart w:id="0" w:name="_GoBack"/>
      <w:bookmarkEnd w:id="0"/>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上投摩根内需动力混合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377020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377020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2007</w:t>
            </w:r>
            <w:r w:rsidRPr="00FF6B9A">
              <w:rPr>
                <w:rFonts w:eastAsiaTheme="minorEastAsia"/>
                <w:color w:val="000000" w:themeColor="text1"/>
                <w:kern w:val="0"/>
              </w:rPr>
              <w:t>年</w:t>
            </w:r>
            <w:r w:rsidRPr="00FF6B9A">
              <w:rPr>
                <w:rFonts w:eastAsiaTheme="minorEastAsia"/>
                <w:color w:val="000000" w:themeColor="text1"/>
                <w:kern w:val="0"/>
              </w:rPr>
              <w:t>4</w:t>
            </w:r>
            <w:r w:rsidRPr="00FF6B9A">
              <w:rPr>
                <w:rFonts w:eastAsiaTheme="minorEastAsia"/>
                <w:color w:val="000000" w:themeColor="text1"/>
                <w:kern w:val="0"/>
              </w:rPr>
              <w:t>月</w:t>
            </w:r>
            <w:r w:rsidRPr="00FF6B9A">
              <w:rPr>
                <w:rFonts w:eastAsiaTheme="minorEastAsia"/>
                <w:color w:val="000000" w:themeColor="text1"/>
                <w:kern w:val="0"/>
              </w:rPr>
              <w:t>13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2,022,207,899.02</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本基金重点投资于内需增长背景下具有竞争优势的上市公司，把握中国经济和行业快速增长带来的投资机会，追求基金资产长期稳定增值。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1</w:t>
            </w:r>
            <w:r>
              <w:rPr>
                <w:rFonts w:eastAsiaTheme="minorEastAsia"/>
                <w:color w:val="000000" w:themeColor="text1"/>
                <w:kern w:val="0"/>
              </w:rPr>
              <w:t>）股票投资策略</w:t>
            </w:r>
          </w:p>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在投资组合构建和管理的过程中，本基金将采取</w:t>
            </w:r>
            <w:r>
              <w:rPr>
                <w:rFonts w:eastAsiaTheme="minorEastAsia"/>
                <w:color w:val="000000" w:themeColor="text1"/>
                <w:kern w:val="0"/>
              </w:rPr>
              <w:t>“</w:t>
            </w:r>
            <w:r>
              <w:rPr>
                <w:rFonts w:eastAsiaTheme="minorEastAsia"/>
                <w:color w:val="000000" w:themeColor="text1"/>
                <w:kern w:val="0"/>
              </w:rPr>
              <w:t>自上而下</w:t>
            </w:r>
            <w:r>
              <w:rPr>
                <w:rFonts w:eastAsiaTheme="minorEastAsia"/>
                <w:color w:val="000000" w:themeColor="text1"/>
                <w:kern w:val="0"/>
              </w:rPr>
              <w:t>”</w:t>
            </w:r>
            <w:r>
              <w:rPr>
                <w:rFonts w:eastAsiaTheme="minorEastAsia"/>
                <w:color w:val="000000" w:themeColor="text1"/>
                <w:kern w:val="0"/>
              </w:rPr>
              <w:t>与</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相结合的方法。基金管理人在内需驱动行业分析的基础上，选择具有可持续增长前景的优势上市公</w:t>
            </w:r>
            <w:r>
              <w:rPr>
                <w:rFonts w:eastAsiaTheme="minorEastAsia"/>
                <w:color w:val="000000" w:themeColor="text1"/>
                <w:kern w:val="0"/>
              </w:rPr>
              <w:lastRenderedPageBreak/>
              <w:t>司股票，以合理价格买入并进行中长期投资。</w:t>
            </w:r>
          </w:p>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2</w:t>
            </w:r>
            <w:r>
              <w:rPr>
                <w:rFonts w:eastAsiaTheme="minorEastAsia"/>
                <w:color w:val="000000" w:themeColor="text1"/>
                <w:kern w:val="0"/>
              </w:rPr>
              <w:t>）固定收益类投资策略</w:t>
            </w:r>
          </w:p>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本基金以股票投资为主，一般市场情况下，基金管理人不会积极追求大类资产配置，但为进一步控制投资风险，优化组合流动性管理，本基金将适度防御性资产配置，进行债券、货币市场工具等品种投资。</w:t>
            </w:r>
          </w:p>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3</w:t>
            </w:r>
            <w:r>
              <w:rPr>
                <w:rFonts w:eastAsiaTheme="minorEastAsia"/>
                <w:color w:val="000000" w:themeColor="text1"/>
                <w:kern w:val="0"/>
              </w:rPr>
              <w:t>）存托凭证投资策略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本基金将根据本基金的投资目标和股票投资策略，基于对基础证券投资价值的深入研究判断，进行存托凭证的投资。</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×80%</w:t>
            </w:r>
            <w:r w:rsidRPr="00FF6B9A">
              <w:rPr>
                <w:rFonts w:eastAsiaTheme="minorEastAsia"/>
                <w:color w:val="000000" w:themeColor="text1"/>
                <w:kern w:val="0"/>
              </w:rPr>
              <w:t>＋上证国债指数收益率</w:t>
            </w:r>
            <w:r w:rsidRPr="00FF6B9A">
              <w:rPr>
                <w:rFonts w:eastAsiaTheme="minorEastAsia"/>
                <w:color w:val="000000" w:themeColor="text1"/>
                <w:kern w:val="0"/>
              </w:rPr>
              <w:t>×20</w:t>
            </w:r>
            <w:r w:rsidRPr="00FF6B9A">
              <w:rPr>
                <w:rFonts w:eastAsiaTheme="minorEastAsia"/>
                <w:color w:val="000000" w:themeColor="text1"/>
                <w:kern w:val="0"/>
              </w:rPr>
              <w:t>％</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0F23EA" w:rsidRDefault="00D35990">
            <w:pPr>
              <w:adjustRightInd w:val="0"/>
              <w:spacing w:before="29" w:line="360" w:lineRule="auto"/>
              <w:ind w:left="17"/>
              <w:rPr>
                <w:rFonts w:eastAsiaTheme="minorEastAsia"/>
                <w:color w:val="000000" w:themeColor="text1"/>
              </w:rPr>
            </w:pPr>
            <w:r>
              <w:rPr>
                <w:rFonts w:eastAsiaTheme="minorEastAsia"/>
                <w:color w:val="000000" w:themeColor="text1"/>
                <w:kern w:val="0"/>
              </w:rPr>
              <w:t>本基金是一只混合型基金，其预期风险和预期收益低于股票型基金、高于债券型基金和货币市场基金，属于较高风险、较高预期收益的基金产品。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35990" w:rsidRPr="00FF6B9A" w:rsidTr="00D35990">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D35990" w:rsidRPr="00FF6B9A" w:rsidTr="00D35990">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251,743,876.17</w:t>
            </w:r>
          </w:p>
        </w:tc>
      </w:tr>
      <w:tr w:rsidR="00D35990" w:rsidRPr="00FF6B9A" w:rsidTr="00D35990">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684,379,825.19</w:t>
            </w:r>
          </w:p>
        </w:tc>
      </w:tr>
      <w:tr w:rsidR="00D35990" w:rsidRPr="00FF6B9A" w:rsidTr="00D35990">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0.3330</w:t>
            </w:r>
          </w:p>
        </w:tc>
      </w:tr>
      <w:tr w:rsidR="00D35990" w:rsidRPr="00FF6B9A" w:rsidTr="00D35990">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3,415,763,969.35</w:t>
            </w:r>
          </w:p>
        </w:tc>
      </w:tr>
      <w:tr w:rsidR="00D35990" w:rsidRPr="00FF6B9A" w:rsidTr="00D35990">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1.6891</w:t>
            </w:r>
          </w:p>
        </w:tc>
      </w:tr>
    </w:tbl>
    <w:p w:rsidR="000F23EA" w:rsidRDefault="00D35990">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0F23EA">
        <w:tc>
          <w:tcPr>
            <w:tcW w:w="1395" w:type="dxa"/>
            <w:vAlign w:val="center"/>
          </w:tcPr>
          <w:p w:rsidR="000F23EA" w:rsidRDefault="00D35990">
            <w:pPr>
              <w:jc w:val="left"/>
            </w:pPr>
            <w:r>
              <w:rPr>
                <w:rFonts w:eastAsiaTheme="minorEastAsia"/>
                <w:color w:val="000000" w:themeColor="text1"/>
                <w:kern w:val="0"/>
              </w:rPr>
              <w:t>过去三个月</w:t>
            </w:r>
          </w:p>
        </w:tc>
        <w:tc>
          <w:tcPr>
            <w:tcW w:w="1092" w:type="dxa"/>
            <w:vAlign w:val="center"/>
          </w:tcPr>
          <w:p w:rsidR="000F23EA" w:rsidRDefault="00D35990">
            <w:pPr>
              <w:jc w:val="center"/>
            </w:pPr>
            <w:r>
              <w:rPr>
                <w:rFonts w:eastAsiaTheme="minorEastAsia"/>
                <w:color w:val="000000" w:themeColor="text1"/>
                <w:kern w:val="0"/>
              </w:rPr>
              <w:t>24.52%</w:t>
            </w:r>
          </w:p>
        </w:tc>
        <w:tc>
          <w:tcPr>
            <w:tcW w:w="1161" w:type="dxa"/>
            <w:vAlign w:val="center"/>
          </w:tcPr>
          <w:p w:rsidR="000F23EA" w:rsidRDefault="00D35990">
            <w:pPr>
              <w:jc w:val="center"/>
            </w:pPr>
            <w:r>
              <w:rPr>
                <w:rFonts w:eastAsiaTheme="minorEastAsia"/>
                <w:color w:val="000000" w:themeColor="text1"/>
                <w:kern w:val="0"/>
              </w:rPr>
              <w:t>1.56%</w:t>
            </w:r>
          </w:p>
        </w:tc>
        <w:tc>
          <w:tcPr>
            <w:tcW w:w="1181" w:type="dxa"/>
            <w:vAlign w:val="center"/>
          </w:tcPr>
          <w:p w:rsidR="000F23EA" w:rsidRDefault="00D35990">
            <w:pPr>
              <w:jc w:val="center"/>
            </w:pPr>
            <w:r>
              <w:rPr>
                <w:rFonts w:eastAsiaTheme="minorEastAsia"/>
                <w:color w:val="000000" w:themeColor="text1"/>
                <w:kern w:val="0"/>
              </w:rPr>
              <w:t>2.96%</w:t>
            </w:r>
          </w:p>
        </w:tc>
        <w:tc>
          <w:tcPr>
            <w:tcW w:w="1188" w:type="dxa"/>
            <w:vAlign w:val="center"/>
          </w:tcPr>
          <w:p w:rsidR="000F23EA" w:rsidRDefault="00D35990">
            <w:pPr>
              <w:jc w:val="center"/>
            </w:pPr>
            <w:r>
              <w:rPr>
                <w:rFonts w:eastAsiaTheme="minorEastAsia"/>
                <w:color w:val="000000" w:themeColor="text1"/>
                <w:kern w:val="0"/>
              </w:rPr>
              <w:t>0.78%</w:t>
            </w:r>
          </w:p>
        </w:tc>
        <w:tc>
          <w:tcPr>
            <w:tcW w:w="1199" w:type="dxa"/>
            <w:vAlign w:val="center"/>
          </w:tcPr>
          <w:p w:rsidR="000F23EA" w:rsidRDefault="00D35990">
            <w:pPr>
              <w:jc w:val="center"/>
            </w:pPr>
            <w:r>
              <w:rPr>
                <w:rFonts w:eastAsiaTheme="minorEastAsia"/>
                <w:color w:val="000000" w:themeColor="text1"/>
                <w:kern w:val="0"/>
              </w:rPr>
              <w:t>21.56%</w:t>
            </w:r>
          </w:p>
        </w:tc>
        <w:tc>
          <w:tcPr>
            <w:tcW w:w="1204" w:type="dxa"/>
            <w:vAlign w:val="center"/>
          </w:tcPr>
          <w:p w:rsidR="000F23EA" w:rsidRDefault="00D35990">
            <w:pPr>
              <w:jc w:val="center"/>
            </w:pPr>
            <w:r>
              <w:rPr>
                <w:rFonts w:eastAsiaTheme="minorEastAsia"/>
                <w:color w:val="000000" w:themeColor="text1"/>
                <w:kern w:val="0"/>
              </w:rPr>
              <w:t>0.78%</w:t>
            </w:r>
          </w:p>
        </w:tc>
      </w:tr>
      <w:tr w:rsidR="000F23EA">
        <w:tc>
          <w:tcPr>
            <w:tcW w:w="1395" w:type="dxa"/>
            <w:vAlign w:val="center"/>
          </w:tcPr>
          <w:p w:rsidR="000F23EA" w:rsidRDefault="00D35990">
            <w:pPr>
              <w:jc w:val="left"/>
            </w:pPr>
            <w:r>
              <w:rPr>
                <w:rFonts w:eastAsiaTheme="minorEastAsia"/>
                <w:color w:val="000000" w:themeColor="text1"/>
                <w:kern w:val="0"/>
              </w:rPr>
              <w:t>过去六个月</w:t>
            </w:r>
          </w:p>
        </w:tc>
        <w:tc>
          <w:tcPr>
            <w:tcW w:w="1092" w:type="dxa"/>
            <w:vAlign w:val="center"/>
          </w:tcPr>
          <w:p w:rsidR="000F23EA" w:rsidRDefault="00D35990">
            <w:pPr>
              <w:jc w:val="center"/>
            </w:pPr>
            <w:r>
              <w:rPr>
                <w:rFonts w:eastAsiaTheme="minorEastAsia"/>
                <w:color w:val="000000" w:themeColor="text1"/>
                <w:kern w:val="0"/>
              </w:rPr>
              <w:t>19.72%</w:t>
            </w:r>
          </w:p>
        </w:tc>
        <w:tc>
          <w:tcPr>
            <w:tcW w:w="1161" w:type="dxa"/>
            <w:vAlign w:val="center"/>
          </w:tcPr>
          <w:p w:rsidR="000F23EA" w:rsidRDefault="00D35990">
            <w:pPr>
              <w:jc w:val="center"/>
            </w:pPr>
            <w:r>
              <w:rPr>
                <w:rFonts w:eastAsiaTheme="minorEastAsia"/>
                <w:color w:val="000000" w:themeColor="text1"/>
                <w:kern w:val="0"/>
              </w:rPr>
              <w:t>1.94%</w:t>
            </w:r>
          </w:p>
        </w:tc>
        <w:tc>
          <w:tcPr>
            <w:tcW w:w="1181" w:type="dxa"/>
            <w:vAlign w:val="center"/>
          </w:tcPr>
          <w:p w:rsidR="000F23EA" w:rsidRDefault="00D35990">
            <w:pPr>
              <w:jc w:val="center"/>
            </w:pPr>
            <w:r>
              <w:rPr>
                <w:rFonts w:eastAsiaTheme="minorEastAsia"/>
                <w:color w:val="000000" w:themeColor="text1"/>
                <w:kern w:val="0"/>
              </w:rPr>
              <w:t>0.53%</w:t>
            </w:r>
          </w:p>
        </w:tc>
        <w:tc>
          <w:tcPr>
            <w:tcW w:w="1188" w:type="dxa"/>
            <w:vAlign w:val="center"/>
          </w:tcPr>
          <w:p w:rsidR="000F23EA" w:rsidRDefault="00D35990">
            <w:pPr>
              <w:jc w:val="center"/>
            </w:pPr>
            <w:r>
              <w:rPr>
                <w:rFonts w:eastAsiaTheme="minorEastAsia"/>
                <w:color w:val="000000" w:themeColor="text1"/>
                <w:kern w:val="0"/>
              </w:rPr>
              <w:t>1.05%</w:t>
            </w:r>
          </w:p>
        </w:tc>
        <w:tc>
          <w:tcPr>
            <w:tcW w:w="1199" w:type="dxa"/>
            <w:vAlign w:val="center"/>
          </w:tcPr>
          <w:p w:rsidR="000F23EA" w:rsidRDefault="00D35990">
            <w:pPr>
              <w:jc w:val="center"/>
            </w:pPr>
            <w:r>
              <w:rPr>
                <w:rFonts w:eastAsiaTheme="minorEastAsia"/>
                <w:color w:val="000000" w:themeColor="text1"/>
                <w:kern w:val="0"/>
              </w:rPr>
              <w:t>19.19%</w:t>
            </w:r>
          </w:p>
        </w:tc>
        <w:tc>
          <w:tcPr>
            <w:tcW w:w="1204" w:type="dxa"/>
            <w:vAlign w:val="center"/>
          </w:tcPr>
          <w:p w:rsidR="000F23EA" w:rsidRDefault="00D35990">
            <w:pPr>
              <w:jc w:val="center"/>
            </w:pPr>
            <w:r>
              <w:rPr>
                <w:rFonts w:eastAsiaTheme="minorEastAsia"/>
                <w:color w:val="000000" w:themeColor="text1"/>
                <w:kern w:val="0"/>
              </w:rPr>
              <w:t>0.89%</w:t>
            </w:r>
          </w:p>
        </w:tc>
      </w:tr>
      <w:tr w:rsidR="000F23EA">
        <w:tc>
          <w:tcPr>
            <w:tcW w:w="1395" w:type="dxa"/>
            <w:vAlign w:val="center"/>
          </w:tcPr>
          <w:p w:rsidR="000F23EA" w:rsidRDefault="00D35990">
            <w:pPr>
              <w:jc w:val="left"/>
            </w:pPr>
            <w:r>
              <w:rPr>
                <w:rFonts w:eastAsiaTheme="minorEastAsia"/>
                <w:color w:val="000000" w:themeColor="text1"/>
                <w:kern w:val="0"/>
              </w:rPr>
              <w:t>过去一年</w:t>
            </w:r>
          </w:p>
        </w:tc>
        <w:tc>
          <w:tcPr>
            <w:tcW w:w="1092" w:type="dxa"/>
            <w:vAlign w:val="center"/>
          </w:tcPr>
          <w:p w:rsidR="000F23EA" w:rsidRDefault="00D35990">
            <w:pPr>
              <w:jc w:val="center"/>
            </w:pPr>
            <w:r>
              <w:rPr>
                <w:rFonts w:eastAsiaTheme="minorEastAsia"/>
                <w:color w:val="000000" w:themeColor="text1"/>
                <w:kern w:val="0"/>
              </w:rPr>
              <w:t>53.87%</w:t>
            </w:r>
          </w:p>
        </w:tc>
        <w:tc>
          <w:tcPr>
            <w:tcW w:w="1161" w:type="dxa"/>
            <w:vAlign w:val="center"/>
          </w:tcPr>
          <w:p w:rsidR="000F23EA" w:rsidRDefault="00D35990">
            <w:pPr>
              <w:jc w:val="center"/>
            </w:pPr>
            <w:r>
              <w:rPr>
                <w:rFonts w:eastAsiaTheme="minorEastAsia"/>
                <w:color w:val="000000" w:themeColor="text1"/>
                <w:kern w:val="0"/>
              </w:rPr>
              <w:t>1.78%</w:t>
            </w:r>
          </w:p>
        </w:tc>
        <w:tc>
          <w:tcPr>
            <w:tcW w:w="1181" w:type="dxa"/>
            <w:vAlign w:val="center"/>
          </w:tcPr>
          <w:p w:rsidR="000F23EA" w:rsidRDefault="00D35990">
            <w:pPr>
              <w:jc w:val="center"/>
            </w:pPr>
            <w:r>
              <w:rPr>
                <w:rFonts w:eastAsiaTheme="minorEastAsia"/>
                <w:color w:val="000000" w:themeColor="text1"/>
                <w:kern w:val="0"/>
              </w:rPr>
              <w:t>20.85%</w:t>
            </w:r>
          </w:p>
        </w:tc>
        <w:tc>
          <w:tcPr>
            <w:tcW w:w="1188" w:type="dxa"/>
            <w:vAlign w:val="center"/>
          </w:tcPr>
          <w:p w:rsidR="000F23EA" w:rsidRDefault="00D35990">
            <w:pPr>
              <w:jc w:val="center"/>
            </w:pPr>
            <w:r>
              <w:rPr>
                <w:rFonts w:eastAsiaTheme="minorEastAsia"/>
                <w:color w:val="000000" w:themeColor="text1"/>
                <w:kern w:val="0"/>
              </w:rPr>
              <w:t>1.07%</w:t>
            </w:r>
          </w:p>
        </w:tc>
        <w:tc>
          <w:tcPr>
            <w:tcW w:w="1199" w:type="dxa"/>
            <w:vAlign w:val="center"/>
          </w:tcPr>
          <w:p w:rsidR="000F23EA" w:rsidRDefault="00D35990">
            <w:pPr>
              <w:jc w:val="center"/>
            </w:pPr>
            <w:r>
              <w:rPr>
                <w:rFonts w:eastAsiaTheme="minorEastAsia"/>
                <w:color w:val="000000" w:themeColor="text1"/>
                <w:kern w:val="0"/>
              </w:rPr>
              <w:t>33.02%</w:t>
            </w:r>
          </w:p>
        </w:tc>
        <w:tc>
          <w:tcPr>
            <w:tcW w:w="1204" w:type="dxa"/>
            <w:vAlign w:val="center"/>
          </w:tcPr>
          <w:p w:rsidR="000F23EA" w:rsidRDefault="00D35990">
            <w:pPr>
              <w:jc w:val="center"/>
            </w:pPr>
            <w:r>
              <w:rPr>
                <w:rFonts w:eastAsiaTheme="minorEastAsia"/>
                <w:color w:val="000000" w:themeColor="text1"/>
                <w:kern w:val="0"/>
              </w:rPr>
              <w:t>0.71%</w:t>
            </w:r>
          </w:p>
        </w:tc>
      </w:tr>
      <w:tr w:rsidR="000F23EA">
        <w:tc>
          <w:tcPr>
            <w:tcW w:w="1395" w:type="dxa"/>
            <w:vAlign w:val="center"/>
          </w:tcPr>
          <w:p w:rsidR="000F23EA" w:rsidRDefault="00D35990">
            <w:pPr>
              <w:jc w:val="left"/>
            </w:pPr>
            <w:r>
              <w:rPr>
                <w:rFonts w:eastAsiaTheme="minorEastAsia"/>
                <w:color w:val="000000" w:themeColor="text1"/>
                <w:kern w:val="0"/>
              </w:rPr>
              <w:t>过去三年</w:t>
            </w:r>
          </w:p>
        </w:tc>
        <w:tc>
          <w:tcPr>
            <w:tcW w:w="1092" w:type="dxa"/>
            <w:vAlign w:val="center"/>
          </w:tcPr>
          <w:p w:rsidR="000F23EA" w:rsidRDefault="00D35990">
            <w:pPr>
              <w:jc w:val="center"/>
            </w:pPr>
            <w:r>
              <w:rPr>
                <w:rFonts w:eastAsiaTheme="minorEastAsia"/>
                <w:color w:val="000000" w:themeColor="text1"/>
                <w:kern w:val="0"/>
              </w:rPr>
              <w:t>131.80%</w:t>
            </w:r>
          </w:p>
        </w:tc>
        <w:tc>
          <w:tcPr>
            <w:tcW w:w="1161" w:type="dxa"/>
            <w:vAlign w:val="center"/>
          </w:tcPr>
          <w:p w:rsidR="000F23EA" w:rsidRDefault="00D35990">
            <w:pPr>
              <w:jc w:val="center"/>
            </w:pPr>
            <w:r>
              <w:rPr>
                <w:rFonts w:eastAsiaTheme="minorEastAsia"/>
                <w:color w:val="000000" w:themeColor="text1"/>
                <w:kern w:val="0"/>
              </w:rPr>
              <w:t>1.74%</w:t>
            </w:r>
          </w:p>
        </w:tc>
        <w:tc>
          <w:tcPr>
            <w:tcW w:w="1181" w:type="dxa"/>
            <w:vAlign w:val="center"/>
          </w:tcPr>
          <w:p w:rsidR="000F23EA" w:rsidRDefault="00D35990">
            <w:pPr>
              <w:jc w:val="center"/>
            </w:pPr>
            <w:r>
              <w:rPr>
                <w:rFonts w:eastAsiaTheme="minorEastAsia"/>
                <w:color w:val="000000" w:themeColor="text1"/>
                <w:kern w:val="0"/>
              </w:rPr>
              <w:t>41.62%</w:t>
            </w:r>
          </w:p>
        </w:tc>
        <w:tc>
          <w:tcPr>
            <w:tcW w:w="1188" w:type="dxa"/>
            <w:vAlign w:val="center"/>
          </w:tcPr>
          <w:p w:rsidR="000F23EA" w:rsidRDefault="00D35990">
            <w:pPr>
              <w:jc w:val="center"/>
            </w:pPr>
            <w:r>
              <w:rPr>
                <w:rFonts w:eastAsiaTheme="minorEastAsia"/>
                <w:color w:val="000000" w:themeColor="text1"/>
                <w:kern w:val="0"/>
              </w:rPr>
              <w:t>1.09%</w:t>
            </w:r>
          </w:p>
        </w:tc>
        <w:tc>
          <w:tcPr>
            <w:tcW w:w="1199" w:type="dxa"/>
            <w:vAlign w:val="center"/>
          </w:tcPr>
          <w:p w:rsidR="000F23EA" w:rsidRDefault="00D35990">
            <w:pPr>
              <w:jc w:val="center"/>
            </w:pPr>
            <w:r>
              <w:rPr>
                <w:rFonts w:eastAsiaTheme="minorEastAsia"/>
                <w:color w:val="000000" w:themeColor="text1"/>
                <w:kern w:val="0"/>
              </w:rPr>
              <w:t>90.18%</w:t>
            </w:r>
          </w:p>
        </w:tc>
        <w:tc>
          <w:tcPr>
            <w:tcW w:w="1204" w:type="dxa"/>
            <w:vAlign w:val="center"/>
          </w:tcPr>
          <w:p w:rsidR="000F23EA" w:rsidRDefault="00D35990">
            <w:pPr>
              <w:jc w:val="center"/>
            </w:pPr>
            <w:r>
              <w:rPr>
                <w:rFonts w:eastAsiaTheme="minorEastAsia"/>
                <w:color w:val="000000" w:themeColor="text1"/>
                <w:kern w:val="0"/>
              </w:rPr>
              <w:t>0.65%</w:t>
            </w:r>
          </w:p>
        </w:tc>
      </w:tr>
      <w:tr w:rsidR="000F23EA">
        <w:tc>
          <w:tcPr>
            <w:tcW w:w="1395" w:type="dxa"/>
            <w:vAlign w:val="center"/>
          </w:tcPr>
          <w:p w:rsidR="000F23EA" w:rsidRDefault="00D35990">
            <w:pPr>
              <w:jc w:val="left"/>
            </w:pPr>
            <w:r>
              <w:rPr>
                <w:rFonts w:eastAsiaTheme="minorEastAsia"/>
                <w:color w:val="000000" w:themeColor="text1"/>
                <w:kern w:val="0"/>
              </w:rPr>
              <w:t>过去五年</w:t>
            </w:r>
          </w:p>
        </w:tc>
        <w:tc>
          <w:tcPr>
            <w:tcW w:w="1092" w:type="dxa"/>
            <w:vAlign w:val="center"/>
          </w:tcPr>
          <w:p w:rsidR="000F23EA" w:rsidRDefault="00D35990">
            <w:pPr>
              <w:jc w:val="center"/>
            </w:pPr>
            <w:r>
              <w:rPr>
                <w:rFonts w:eastAsiaTheme="minorEastAsia"/>
                <w:color w:val="000000" w:themeColor="text1"/>
                <w:kern w:val="0"/>
              </w:rPr>
              <w:t>127.04%</w:t>
            </w:r>
          </w:p>
        </w:tc>
        <w:tc>
          <w:tcPr>
            <w:tcW w:w="1161" w:type="dxa"/>
            <w:vAlign w:val="center"/>
          </w:tcPr>
          <w:p w:rsidR="000F23EA" w:rsidRDefault="00D35990">
            <w:pPr>
              <w:jc w:val="center"/>
            </w:pPr>
            <w:r>
              <w:rPr>
                <w:rFonts w:eastAsiaTheme="minorEastAsia"/>
                <w:color w:val="000000" w:themeColor="text1"/>
                <w:kern w:val="0"/>
              </w:rPr>
              <w:t>1.62%</w:t>
            </w:r>
          </w:p>
        </w:tc>
        <w:tc>
          <w:tcPr>
            <w:tcW w:w="1181" w:type="dxa"/>
            <w:vAlign w:val="center"/>
          </w:tcPr>
          <w:p w:rsidR="000F23EA" w:rsidRDefault="00D35990">
            <w:pPr>
              <w:jc w:val="center"/>
            </w:pPr>
            <w:r>
              <w:rPr>
                <w:rFonts w:eastAsiaTheme="minorEastAsia"/>
                <w:color w:val="000000" w:themeColor="text1"/>
                <w:kern w:val="0"/>
              </w:rPr>
              <w:t>56.21%</w:t>
            </w:r>
          </w:p>
        </w:tc>
        <w:tc>
          <w:tcPr>
            <w:tcW w:w="1188" w:type="dxa"/>
            <w:vAlign w:val="center"/>
          </w:tcPr>
          <w:p w:rsidR="000F23EA" w:rsidRDefault="00D35990">
            <w:pPr>
              <w:jc w:val="center"/>
            </w:pPr>
            <w:r>
              <w:rPr>
                <w:rFonts w:eastAsiaTheme="minorEastAsia"/>
                <w:color w:val="000000" w:themeColor="text1"/>
                <w:kern w:val="0"/>
              </w:rPr>
              <w:t>0.94%</w:t>
            </w:r>
          </w:p>
        </w:tc>
        <w:tc>
          <w:tcPr>
            <w:tcW w:w="1199" w:type="dxa"/>
            <w:vAlign w:val="center"/>
          </w:tcPr>
          <w:p w:rsidR="000F23EA" w:rsidRDefault="00D35990">
            <w:pPr>
              <w:jc w:val="center"/>
            </w:pPr>
            <w:r>
              <w:rPr>
                <w:rFonts w:eastAsiaTheme="minorEastAsia"/>
                <w:color w:val="000000" w:themeColor="text1"/>
                <w:kern w:val="0"/>
              </w:rPr>
              <w:t>70.83%</w:t>
            </w:r>
          </w:p>
        </w:tc>
        <w:tc>
          <w:tcPr>
            <w:tcW w:w="1204" w:type="dxa"/>
            <w:vAlign w:val="center"/>
          </w:tcPr>
          <w:p w:rsidR="000F23EA" w:rsidRDefault="00D35990">
            <w:pPr>
              <w:jc w:val="center"/>
            </w:pPr>
            <w:r>
              <w:rPr>
                <w:rFonts w:eastAsiaTheme="minorEastAsia"/>
                <w:color w:val="000000" w:themeColor="text1"/>
                <w:kern w:val="0"/>
              </w:rPr>
              <w:t>0.68%</w:t>
            </w:r>
          </w:p>
        </w:tc>
      </w:tr>
      <w:tr w:rsidR="000F23EA">
        <w:tc>
          <w:tcPr>
            <w:tcW w:w="1395" w:type="dxa"/>
            <w:vAlign w:val="center"/>
          </w:tcPr>
          <w:p w:rsidR="000F23EA" w:rsidRDefault="00D35990">
            <w:pPr>
              <w:jc w:val="left"/>
            </w:pPr>
            <w:r>
              <w:rPr>
                <w:rFonts w:eastAsiaTheme="minorEastAsia"/>
                <w:color w:val="000000" w:themeColor="text1"/>
                <w:kern w:val="0"/>
              </w:rPr>
              <w:t>自基金合同生效起至今</w:t>
            </w:r>
          </w:p>
        </w:tc>
        <w:tc>
          <w:tcPr>
            <w:tcW w:w="1092" w:type="dxa"/>
            <w:vAlign w:val="center"/>
          </w:tcPr>
          <w:p w:rsidR="000F23EA" w:rsidRDefault="00D35990">
            <w:pPr>
              <w:jc w:val="center"/>
            </w:pPr>
            <w:r>
              <w:rPr>
                <w:rFonts w:eastAsiaTheme="minorEastAsia"/>
                <w:color w:val="000000" w:themeColor="text1"/>
                <w:kern w:val="0"/>
              </w:rPr>
              <w:t>292.83%</w:t>
            </w:r>
          </w:p>
        </w:tc>
        <w:tc>
          <w:tcPr>
            <w:tcW w:w="1161" w:type="dxa"/>
            <w:vAlign w:val="center"/>
          </w:tcPr>
          <w:p w:rsidR="000F23EA" w:rsidRDefault="00D35990">
            <w:pPr>
              <w:jc w:val="center"/>
            </w:pPr>
            <w:r>
              <w:rPr>
                <w:rFonts w:eastAsiaTheme="minorEastAsia"/>
                <w:color w:val="000000" w:themeColor="text1"/>
                <w:kern w:val="0"/>
              </w:rPr>
              <w:t>1.74%</w:t>
            </w:r>
          </w:p>
        </w:tc>
        <w:tc>
          <w:tcPr>
            <w:tcW w:w="1181" w:type="dxa"/>
            <w:vAlign w:val="center"/>
          </w:tcPr>
          <w:p w:rsidR="000F23EA" w:rsidRDefault="00D35990">
            <w:pPr>
              <w:jc w:val="center"/>
            </w:pPr>
            <w:r>
              <w:rPr>
                <w:rFonts w:eastAsiaTheme="minorEastAsia"/>
                <w:color w:val="000000" w:themeColor="text1"/>
                <w:kern w:val="0"/>
              </w:rPr>
              <w:t>65.07%</w:t>
            </w:r>
          </w:p>
        </w:tc>
        <w:tc>
          <w:tcPr>
            <w:tcW w:w="1188" w:type="dxa"/>
            <w:vAlign w:val="center"/>
          </w:tcPr>
          <w:p w:rsidR="000F23EA" w:rsidRDefault="00D35990">
            <w:pPr>
              <w:jc w:val="center"/>
            </w:pPr>
            <w:r>
              <w:rPr>
                <w:rFonts w:eastAsiaTheme="minorEastAsia"/>
                <w:color w:val="000000" w:themeColor="text1"/>
                <w:kern w:val="0"/>
              </w:rPr>
              <w:t>1.37%</w:t>
            </w:r>
          </w:p>
        </w:tc>
        <w:tc>
          <w:tcPr>
            <w:tcW w:w="1199" w:type="dxa"/>
            <w:vAlign w:val="center"/>
          </w:tcPr>
          <w:p w:rsidR="000F23EA" w:rsidRDefault="00D35990">
            <w:pPr>
              <w:jc w:val="center"/>
            </w:pPr>
            <w:r>
              <w:rPr>
                <w:rFonts w:eastAsiaTheme="minorEastAsia"/>
                <w:color w:val="000000" w:themeColor="text1"/>
                <w:kern w:val="0"/>
              </w:rPr>
              <w:t>227.76%</w:t>
            </w:r>
          </w:p>
        </w:tc>
        <w:tc>
          <w:tcPr>
            <w:tcW w:w="1204" w:type="dxa"/>
            <w:vAlign w:val="center"/>
          </w:tcPr>
          <w:p w:rsidR="000F23EA" w:rsidRDefault="00D35990">
            <w:pPr>
              <w:jc w:val="center"/>
            </w:pPr>
            <w:r>
              <w:rPr>
                <w:rFonts w:eastAsiaTheme="minorEastAsia"/>
                <w:color w:val="000000" w:themeColor="text1"/>
                <w:kern w:val="0"/>
              </w:rPr>
              <w:t>0.37%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w:t>
      </w:r>
      <w:r w:rsidRPr="00FF6B9A">
        <w:rPr>
          <w:rFonts w:eastAsiaTheme="minorEastAsia"/>
          <w:b/>
          <w:bCs/>
          <w:color w:val="000000" w:themeColor="text1"/>
          <w:kern w:val="0"/>
          <w:sz w:val="24"/>
          <w:szCs w:val="24"/>
        </w:rPr>
        <w:lastRenderedPageBreak/>
        <w:t>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上投摩根内需动力混合型证券投资基金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(2007</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4</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F23EA" w:rsidRDefault="00D35990">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13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0F23EA">
        <w:tc>
          <w:tcPr>
            <w:tcW w:w="851" w:type="dxa"/>
            <w:vAlign w:val="center"/>
          </w:tcPr>
          <w:p w:rsidR="000F23EA" w:rsidRDefault="00D35990">
            <w:pPr>
              <w:jc w:val="center"/>
            </w:pPr>
            <w:r>
              <w:rPr>
                <w:rFonts w:eastAsiaTheme="minorEastAsia"/>
                <w:color w:val="000000" w:themeColor="text1"/>
              </w:rPr>
              <w:t>刘辉</w:t>
            </w:r>
          </w:p>
        </w:tc>
        <w:tc>
          <w:tcPr>
            <w:tcW w:w="850" w:type="dxa"/>
            <w:vAlign w:val="center"/>
          </w:tcPr>
          <w:p w:rsidR="000F23EA" w:rsidRDefault="00D35990">
            <w:pPr>
              <w:jc w:val="center"/>
            </w:pPr>
            <w:r>
              <w:rPr>
                <w:rFonts w:eastAsiaTheme="minorEastAsia"/>
                <w:color w:val="000000" w:themeColor="text1"/>
              </w:rPr>
              <w:t>本基金基金经理</w:t>
            </w:r>
          </w:p>
        </w:tc>
        <w:tc>
          <w:tcPr>
            <w:tcW w:w="1560" w:type="dxa"/>
            <w:vAlign w:val="center"/>
          </w:tcPr>
          <w:p w:rsidR="000F23EA" w:rsidRDefault="00D35990">
            <w:pPr>
              <w:jc w:val="center"/>
            </w:pPr>
            <w:r>
              <w:rPr>
                <w:rFonts w:eastAsiaTheme="minorEastAsia"/>
                <w:color w:val="000000" w:themeColor="text1"/>
              </w:rPr>
              <w:t>2016-01-12</w:t>
            </w:r>
          </w:p>
        </w:tc>
        <w:tc>
          <w:tcPr>
            <w:tcW w:w="1559" w:type="dxa"/>
            <w:vAlign w:val="center"/>
          </w:tcPr>
          <w:p w:rsidR="000F23EA" w:rsidRDefault="00D35990">
            <w:pPr>
              <w:jc w:val="center"/>
            </w:pPr>
            <w:r>
              <w:rPr>
                <w:rFonts w:eastAsiaTheme="minorEastAsia"/>
                <w:color w:val="000000" w:themeColor="text1"/>
              </w:rPr>
              <w:t>-</w:t>
            </w:r>
          </w:p>
        </w:tc>
        <w:tc>
          <w:tcPr>
            <w:tcW w:w="1417" w:type="dxa"/>
            <w:vAlign w:val="center"/>
          </w:tcPr>
          <w:p w:rsidR="000F23EA" w:rsidRDefault="00D35990">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0F23EA" w:rsidRDefault="00D35990">
            <w:r>
              <w:rPr>
                <w:rFonts w:eastAsiaTheme="minorEastAsia"/>
                <w:color w:val="000000" w:themeColor="text1"/>
              </w:rPr>
              <w:t>刘辉先生，</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月在华泰证券股份有限公司研究所担任研究员，</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月在东吴基金管理有限公司研究部担任高级研究员，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月至</w:t>
            </w:r>
            <w:r>
              <w:rPr>
                <w:rFonts w:eastAsiaTheme="minorEastAsia"/>
                <w:color w:val="000000" w:themeColor="text1"/>
              </w:rPr>
              <w:t>2013</w:t>
            </w:r>
            <w:r>
              <w:rPr>
                <w:rFonts w:eastAsiaTheme="minorEastAsia"/>
                <w:color w:val="000000" w:themeColor="text1"/>
              </w:rPr>
              <w:lastRenderedPageBreak/>
              <w:t>年</w:t>
            </w:r>
            <w:r>
              <w:rPr>
                <w:rFonts w:eastAsiaTheme="minorEastAsia"/>
                <w:color w:val="000000" w:themeColor="text1"/>
              </w:rPr>
              <w:t>12</w:t>
            </w:r>
            <w:r>
              <w:rPr>
                <w:rFonts w:eastAsiaTheme="minorEastAsia"/>
                <w:color w:val="000000" w:themeColor="text1"/>
              </w:rPr>
              <w:t>月在汇丰晋信基金管理有限公司历任高级研究员、基金经理、权益投资部助理总监、助理投资总监，</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月在嘉实基金管理有限公司担任资深基金经理。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月起加入上投摩根基金管理有限公司，历任国内权益投资部总监助理兼高级基金经理，现任国内权益投资部发现组组长兼资深基金经理。自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月起任上投摩根内需</w:t>
            </w:r>
            <w:r>
              <w:rPr>
                <w:rFonts w:eastAsiaTheme="minorEastAsia"/>
                <w:color w:val="000000" w:themeColor="text1"/>
              </w:rPr>
              <w:t>动力混合型证券投资基金基金经理，自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月起同时担任上投摩根成长动力混合型证券投资基金基金经理。</w:t>
            </w:r>
          </w:p>
        </w:tc>
      </w:tr>
    </w:tbl>
    <w:p w:rsidR="000F23EA" w:rsidRDefault="00D35990">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内需动力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lastRenderedPageBreak/>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年二季度，由于疫苗的普遍接种，国内新冠疫情对经济的冲击已经明显减弱，宏观经济持续复苏。虽然增长速度会放缓，但是我们对经济活动未来的持续恢复充满信心。从</w:t>
      </w:r>
      <w:r>
        <w:rPr>
          <w:rFonts w:eastAsiaTheme="minorEastAsia"/>
          <w:color w:val="000000" w:themeColor="text1"/>
        </w:rPr>
        <w:t>A</w:t>
      </w:r>
      <w:r>
        <w:rPr>
          <w:rFonts w:eastAsiaTheme="minorEastAsia"/>
          <w:color w:val="000000" w:themeColor="text1"/>
        </w:rPr>
        <w:t>股市场的表现来看，市场出现了明显的上涨，结构性投资机会也比较明显。电气设备、汽车、电子、医药生物、化工涨幅居前，而公用事业、房地产、家电、农林牧渔、银行则表现相对落后。面对这种情况，本基金在二季度主动做出了一些结构性的投资调整，结合严格的基本面分析，重点集中持仓于能够实现估值和业绩增长相匹配的优质公司。</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展望后市，我们的判断仍相对乐观。主要原因在于，从宏观经济发展的角度来看，随着疫苗的普遍接种，预计</w:t>
      </w:r>
      <w:r w:rsidRPr="00FF6B9A">
        <w:rPr>
          <w:rFonts w:eastAsiaTheme="minorEastAsia"/>
          <w:color w:val="000000" w:themeColor="text1"/>
        </w:rPr>
        <w:t>2021</w:t>
      </w:r>
      <w:r w:rsidRPr="00FF6B9A">
        <w:rPr>
          <w:rFonts w:eastAsiaTheme="minorEastAsia"/>
          <w:color w:val="000000" w:themeColor="text1"/>
        </w:rPr>
        <w:t>年世界范围内的疫情应该会得到逐步的缓解，经济增长的动能会得到明显的恢复，因此全球经济复苏应该是大概率的事件。流动性展望来看，随着美国经济的好转，美联储对于加息的意愿在逐步增强。虽然我们判断这件事情不会在年底前落地，但是可能会导致市场整体风险偏好的回落。因此，总体评估后，我们判断后续</w:t>
      </w:r>
      <w:r w:rsidRPr="00FF6B9A">
        <w:rPr>
          <w:rFonts w:eastAsiaTheme="minorEastAsia"/>
          <w:color w:val="000000" w:themeColor="text1"/>
        </w:rPr>
        <w:t>A</w:t>
      </w:r>
      <w:r w:rsidRPr="00FF6B9A">
        <w:rPr>
          <w:rFonts w:eastAsiaTheme="minorEastAsia"/>
          <w:color w:val="000000" w:themeColor="text1"/>
        </w:rPr>
        <w:t>股市场的下行风险相对有限，市场未来可能呈现震荡市的特征，基金仍将会聚焦于结构性的投资机会。从投资方向来看，我们看好医疗健康产业的长期发展空间，看好光伏、新能源汽车产业的长期发展空间，继续看好国内经济内循环大背景下的消费相关产业的投资机会。最后，我们依然将会持续挖掘具备长期竞争力的优秀企业进行重点的投资，力争取得相对较好的投资回报。</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本报告期上投摩根内需动力混合份额净值增长率为</w:t>
      </w:r>
      <w:r w:rsidRPr="00FF6B9A">
        <w:rPr>
          <w:rFonts w:eastAsiaTheme="minorEastAsia"/>
          <w:color w:val="000000" w:themeColor="text1"/>
        </w:rPr>
        <w:t>:24.52%</w:t>
      </w:r>
      <w:r w:rsidRPr="00FF6B9A">
        <w:rPr>
          <w:rFonts w:eastAsiaTheme="minorEastAsia"/>
          <w:color w:val="000000" w:themeColor="text1"/>
        </w:rPr>
        <w:t>，同期业绩比较基准收益率为</w:t>
      </w:r>
      <w:r w:rsidRPr="00FF6B9A">
        <w:rPr>
          <w:rFonts w:eastAsiaTheme="minorEastAsia"/>
          <w:color w:val="000000" w:themeColor="text1"/>
        </w:rPr>
        <w:t>:2.96%</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3,057,449,045.56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87.99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3,057,449,045.56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87.99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325,088,353.01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9.36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92,053,881.56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3,474,591,280.13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w:t>
            </w:r>
            <w:r w:rsidRPr="00FF6B9A">
              <w:rPr>
                <w:rFonts w:eastAsiaTheme="minorEastAsia"/>
                <w:color w:val="000000" w:themeColor="text1"/>
                <w:kern w:val="0"/>
              </w:rPr>
              <w:lastRenderedPageBreak/>
              <w:t>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2,802,281,204.38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82.04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1,894,527.80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52,215,534.99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91,546,405.30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109,511,373.09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3,057,449,045.56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89.51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0F23EA">
        <w:tc>
          <w:tcPr>
            <w:tcW w:w="817" w:type="dxa"/>
            <w:vAlign w:val="center"/>
          </w:tcPr>
          <w:p w:rsidR="000F23EA" w:rsidRDefault="00D35990">
            <w:pPr>
              <w:jc w:val="center"/>
            </w:pPr>
            <w:r>
              <w:rPr>
                <w:rFonts w:eastAsiaTheme="minorEastAsia"/>
                <w:kern w:val="0"/>
                <w:sz w:val="24"/>
                <w:szCs w:val="24"/>
              </w:rPr>
              <w:t>1</w:t>
            </w:r>
          </w:p>
        </w:tc>
        <w:tc>
          <w:tcPr>
            <w:tcW w:w="1276" w:type="dxa"/>
            <w:vAlign w:val="center"/>
          </w:tcPr>
          <w:p w:rsidR="000F23EA" w:rsidRDefault="00D35990">
            <w:pPr>
              <w:jc w:val="center"/>
            </w:pPr>
            <w:r>
              <w:rPr>
                <w:rFonts w:eastAsiaTheme="minorEastAsia"/>
                <w:kern w:val="0"/>
                <w:sz w:val="24"/>
                <w:szCs w:val="24"/>
              </w:rPr>
              <w:t>603486</w:t>
            </w:r>
          </w:p>
        </w:tc>
        <w:tc>
          <w:tcPr>
            <w:tcW w:w="1701" w:type="dxa"/>
            <w:vAlign w:val="center"/>
          </w:tcPr>
          <w:p w:rsidR="000F23EA" w:rsidRDefault="00D35990">
            <w:pPr>
              <w:jc w:val="center"/>
            </w:pPr>
            <w:r>
              <w:rPr>
                <w:rFonts w:eastAsiaTheme="minorEastAsia"/>
                <w:kern w:val="0"/>
                <w:sz w:val="24"/>
                <w:szCs w:val="24"/>
              </w:rPr>
              <w:t>科沃斯</w:t>
            </w:r>
          </w:p>
        </w:tc>
        <w:tc>
          <w:tcPr>
            <w:tcW w:w="1276" w:type="dxa"/>
            <w:vAlign w:val="center"/>
          </w:tcPr>
          <w:p w:rsidR="000F23EA" w:rsidRDefault="00D35990">
            <w:pPr>
              <w:jc w:val="right"/>
            </w:pPr>
            <w:r>
              <w:rPr>
                <w:rFonts w:eastAsiaTheme="minorEastAsia"/>
                <w:kern w:val="0"/>
                <w:sz w:val="24"/>
                <w:szCs w:val="24"/>
              </w:rPr>
              <w:t>1,447,769</w:t>
            </w:r>
          </w:p>
        </w:tc>
        <w:tc>
          <w:tcPr>
            <w:tcW w:w="1842" w:type="dxa"/>
            <w:vAlign w:val="center"/>
          </w:tcPr>
          <w:p w:rsidR="000F23EA" w:rsidRDefault="00D35990">
            <w:pPr>
              <w:jc w:val="right"/>
            </w:pPr>
            <w:r>
              <w:rPr>
                <w:rFonts w:eastAsiaTheme="minorEastAsia"/>
                <w:kern w:val="0"/>
                <w:sz w:val="24"/>
                <w:szCs w:val="24"/>
              </w:rPr>
              <w:t>330,207,153.52</w:t>
            </w:r>
          </w:p>
        </w:tc>
        <w:tc>
          <w:tcPr>
            <w:tcW w:w="1616" w:type="dxa"/>
            <w:vAlign w:val="center"/>
          </w:tcPr>
          <w:p w:rsidR="000F23EA" w:rsidRDefault="00D35990">
            <w:pPr>
              <w:jc w:val="right"/>
            </w:pPr>
            <w:r>
              <w:rPr>
                <w:rFonts w:eastAsiaTheme="minorEastAsia"/>
                <w:kern w:val="0"/>
                <w:sz w:val="24"/>
                <w:szCs w:val="24"/>
              </w:rPr>
              <w:t>9.67</w:t>
            </w:r>
          </w:p>
        </w:tc>
      </w:tr>
      <w:tr w:rsidR="000F23EA">
        <w:tc>
          <w:tcPr>
            <w:tcW w:w="817" w:type="dxa"/>
            <w:vAlign w:val="center"/>
          </w:tcPr>
          <w:p w:rsidR="000F23EA" w:rsidRDefault="00D35990">
            <w:pPr>
              <w:jc w:val="center"/>
            </w:pPr>
            <w:r>
              <w:rPr>
                <w:rFonts w:eastAsiaTheme="minorEastAsia"/>
                <w:kern w:val="0"/>
                <w:sz w:val="24"/>
                <w:szCs w:val="24"/>
              </w:rPr>
              <w:t>2</w:t>
            </w:r>
          </w:p>
        </w:tc>
        <w:tc>
          <w:tcPr>
            <w:tcW w:w="1276" w:type="dxa"/>
            <w:vAlign w:val="center"/>
          </w:tcPr>
          <w:p w:rsidR="000F23EA" w:rsidRDefault="00D35990">
            <w:pPr>
              <w:jc w:val="center"/>
            </w:pPr>
            <w:r>
              <w:rPr>
                <w:rFonts w:eastAsiaTheme="minorEastAsia"/>
                <w:kern w:val="0"/>
                <w:sz w:val="24"/>
                <w:szCs w:val="24"/>
              </w:rPr>
              <w:t>300750</w:t>
            </w:r>
          </w:p>
        </w:tc>
        <w:tc>
          <w:tcPr>
            <w:tcW w:w="1701" w:type="dxa"/>
            <w:vAlign w:val="center"/>
          </w:tcPr>
          <w:p w:rsidR="000F23EA" w:rsidRDefault="00D35990">
            <w:pPr>
              <w:jc w:val="center"/>
            </w:pPr>
            <w:r>
              <w:rPr>
                <w:rFonts w:eastAsiaTheme="minorEastAsia"/>
                <w:kern w:val="0"/>
                <w:sz w:val="24"/>
                <w:szCs w:val="24"/>
              </w:rPr>
              <w:t>宁德时代</w:t>
            </w:r>
          </w:p>
        </w:tc>
        <w:tc>
          <w:tcPr>
            <w:tcW w:w="1276" w:type="dxa"/>
            <w:vAlign w:val="center"/>
          </w:tcPr>
          <w:p w:rsidR="000F23EA" w:rsidRDefault="00D35990">
            <w:pPr>
              <w:jc w:val="right"/>
            </w:pPr>
            <w:r>
              <w:rPr>
                <w:rFonts w:eastAsiaTheme="minorEastAsia"/>
                <w:kern w:val="0"/>
                <w:sz w:val="24"/>
                <w:szCs w:val="24"/>
              </w:rPr>
              <w:t>488,096</w:t>
            </w:r>
          </w:p>
        </w:tc>
        <w:tc>
          <w:tcPr>
            <w:tcW w:w="1842" w:type="dxa"/>
            <w:vAlign w:val="center"/>
          </w:tcPr>
          <w:p w:rsidR="000F23EA" w:rsidRDefault="00D35990">
            <w:pPr>
              <w:jc w:val="right"/>
            </w:pPr>
            <w:r>
              <w:rPr>
                <w:rFonts w:eastAsiaTheme="minorEastAsia"/>
                <w:kern w:val="0"/>
                <w:sz w:val="24"/>
                <w:szCs w:val="24"/>
              </w:rPr>
              <w:t>261,033,740.80</w:t>
            </w:r>
          </w:p>
        </w:tc>
        <w:tc>
          <w:tcPr>
            <w:tcW w:w="1616" w:type="dxa"/>
            <w:vAlign w:val="center"/>
          </w:tcPr>
          <w:p w:rsidR="000F23EA" w:rsidRDefault="00D35990">
            <w:pPr>
              <w:jc w:val="right"/>
            </w:pPr>
            <w:r>
              <w:rPr>
                <w:rFonts w:eastAsiaTheme="minorEastAsia"/>
                <w:kern w:val="0"/>
                <w:sz w:val="24"/>
                <w:szCs w:val="24"/>
              </w:rPr>
              <w:t>7.64</w:t>
            </w:r>
          </w:p>
        </w:tc>
      </w:tr>
      <w:tr w:rsidR="000F23EA">
        <w:tc>
          <w:tcPr>
            <w:tcW w:w="817" w:type="dxa"/>
            <w:vAlign w:val="center"/>
          </w:tcPr>
          <w:p w:rsidR="000F23EA" w:rsidRDefault="00D35990">
            <w:pPr>
              <w:jc w:val="center"/>
            </w:pPr>
            <w:r>
              <w:rPr>
                <w:rFonts w:eastAsiaTheme="minorEastAsia"/>
                <w:kern w:val="0"/>
                <w:sz w:val="24"/>
                <w:szCs w:val="24"/>
              </w:rPr>
              <w:t>3</w:t>
            </w:r>
          </w:p>
        </w:tc>
        <w:tc>
          <w:tcPr>
            <w:tcW w:w="1276" w:type="dxa"/>
            <w:vAlign w:val="center"/>
          </w:tcPr>
          <w:p w:rsidR="000F23EA" w:rsidRDefault="00D35990">
            <w:pPr>
              <w:jc w:val="center"/>
            </w:pPr>
            <w:r>
              <w:rPr>
                <w:rFonts w:eastAsiaTheme="minorEastAsia"/>
                <w:kern w:val="0"/>
                <w:sz w:val="24"/>
                <w:szCs w:val="24"/>
              </w:rPr>
              <w:t>601689</w:t>
            </w:r>
          </w:p>
        </w:tc>
        <w:tc>
          <w:tcPr>
            <w:tcW w:w="1701" w:type="dxa"/>
            <w:vAlign w:val="center"/>
          </w:tcPr>
          <w:p w:rsidR="000F23EA" w:rsidRDefault="00D35990">
            <w:pPr>
              <w:jc w:val="center"/>
            </w:pPr>
            <w:r>
              <w:rPr>
                <w:rFonts w:eastAsiaTheme="minorEastAsia"/>
                <w:kern w:val="0"/>
                <w:sz w:val="24"/>
                <w:szCs w:val="24"/>
              </w:rPr>
              <w:t>拓普集团</w:t>
            </w:r>
          </w:p>
        </w:tc>
        <w:tc>
          <w:tcPr>
            <w:tcW w:w="1276" w:type="dxa"/>
            <w:vAlign w:val="center"/>
          </w:tcPr>
          <w:p w:rsidR="000F23EA" w:rsidRDefault="00D35990">
            <w:pPr>
              <w:jc w:val="right"/>
            </w:pPr>
            <w:r>
              <w:rPr>
                <w:rFonts w:eastAsiaTheme="minorEastAsia"/>
                <w:kern w:val="0"/>
                <w:sz w:val="24"/>
                <w:szCs w:val="24"/>
              </w:rPr>
              <w:t>5,608,561</w:t>
            </w:r>
          </w:p>
        </w:tc>
        <w:tc>
          <w:tcPr>
            <w:tcW w:w="1842" w:type="dxa"/>
            <w:vAlign w:val="center"/>
          </w:tcPr>
          <w:p w:rsidR="000F23EA" w:rsidRDefault="00D35990">
            <w:pPr>
              <w:jc w:val="right"/>
            </w:pPr>
            <w:r>
              <w:rPr>
                <w:rFonts w:eastAsiaTheme="minorEastAsia"/>
                <w:kern w:val="0"/>
                <w:sz w:val="24"/>
                <w:szCs w:val="24"/>
              </w:rPr>
              <w:t>209,928,438.23</w:t>
            </w:r>
          </w:p>
        </w:tc>
        <w:tc>
          <w:tcPr>
            <w:tcW w:w="1616" w:type="dxa"/>
            <w:vAlign w:val="center"/>
          </w:tcPr>
          <w:p w:rsidR="000F23EA" w:rsidRDefault="00D35990">
            <w:pPr>
              <w:jc w:val="right"/>
            </w:pPr>
            <w:r>
              <w:rPr>
                <w:rFonts w:eastAsiaTheme="minorEastAsia"/>
                <w:kern w:val="0"/>
                <w:sz w:val="24"/>
                <w:szCs w:val="24"/>
              </w:rPr>
              <w:t>6.15</w:t>
            </w:r>
          </w:p>
        </w:tc>
      </w:tr>
      <w:tr w:rsidR="000F23EA">
        <w:tc>
          <w:tcPr>
            <w:tcW w:w="817" w:type="dxa"/>
            <w:vAlign w:val="center"/>
          </w:tcPr>
          <w:p w:rsidR="000F23EA" w:rsidRDefault="00D35990">
            <w:pPr>
              <w:jc w:val="center"/>
            </w:pPr>
            <w:r>
              <w:rPr>
                <w:rFonts w:eastAsiaTheme="minorEastAsia"/>
                <w:kern w:val="0"/>
                <w:sz w:val="24"/>
                <w:szCs w:val="24"/>
              </w:rPr>
              <w:t>4</w:t>
            </w:r>
          </w:p>
        </w:tc>
        <w:tc>
          <w:tcPr>
            <w:tcW w:w="1276" w:type="dxa"/>
            <w:vAlign w:val="center"/>
          </w:tcPr>
          <w:p w:rsidR="000F23EA" w:rsidRDefault="00D35990">
            <w:pPr>
              <w:jc w:val="center"/>
            </w:pPr>
            <w:r>
              <w:rPr>
                <w:rFonts w:eastAsiaTheme="minorEastAsia"/>
                <w:kern w:val="0"/>
                <w:sz w:val="24"/>
                <w:szCs w:val="24"/>
              </w:rPr>
              <w:t>300014</w:t>
            </w:r>
          </w:p>
        </w:tc>
        <w:tc>
          <w:tcPr>
            <w:tcW w:w="1701" w:type="dxa"/>
            <w:vAlign w:val="center"/>
          </w:tcPr>
          <w:p w:rsidR="000F23EA" w:rsidRDefault="00D35990">
            <w:pPr>
              <w:jc w:val="center"/>
            </w:pPr>
            <w:r>
              <w:rPr>
                <w:rFonts w:eastAsiaTheme="minorEastAsia"/>
                <w:kern w:val="0"/>
                <w:sz w:val="24"/>
                <w:szCs w:val="24"/>
              </w:rPr>
              <w:t>亿纬锂能</w:t>
            </w:r>
          </w:p>
        </w:tc>
        <w:tc>
          <w:tcPr>
            <w:tcW w:w="1276" w:type="dxa"/>
            <w:vAlign w:val="center"/>
          </w:tcPr>
          <w:p w:rsidR="000F23EA" w:rsidRDefault="00D35990">
            <w:pPr>
              <w:jc w:val="right"/>
            </w:pPr>
            <w:r>
              <w:rPr>
                <w:rFonts w:eastAsiaTheme="minorEastAsia"/>
                <w:kern w:val="0"/>
                <w:sz w:val="24"/>
                <w:szCs w:val="24"/>
              </w:rPr>
              <w:t>1,949,588</w:t>
            </w:r>
          </w:p>
        </w:tc>
        <w:tc>
          <w:tcPr>
            <w:tcW w:w="1842" w:type="dxa"/>
            <w:vAlign w:val="center"/>
          </w:tcPr>
          <w:p w:rsidR="000F23EA" w:rsidRDefault="00D35990">
            <w:pPr>
              <w:jc w:val="right"/>
            </w:pPr>
            <w:r>
              <w:rPr>
                <w:rFonts w:eastAsiaTheme="minorEastAsia"/>
                <w:kern w:val="0"/>
                <w:sz w:val="24"/>
                <w:szCs w:val="24"/>
              </w:rPr>
              <w:t>202,620,680.84</w:t>
            </w:r>
          </w:p>
        </w:tc>
        <w:tc>
          <w:tcPr>
            <w:tcW w:w="1616" w:type="dxa"/>
            <w:vAlign w:val="center"/>
          </w:tcPr>
          <w:p w:rsidR="000F23EA" w:rsidRDefault="00D35990">
            <w:pPr>
              <w:jc w:val="right"/>
            </w:pPr>
            <w:r>
              <w:rPr>
                <w:rFonts w:eastAsiaTheme="minorEastAsia"/>
                <w:kern w:val="0"/>
                <w:sz w:val="24"/>
                <w:szCs w:val="24"/>
              </w:rPr>
              <w:t>5.93</w:t>
            </w:r>
          </w:p>
        </w:tc>
      </w:tr>
      <w:tr w:rsidR="000F23EA">
        <w:tc>
          <w:tcPr>
            <w:tcW w:w="817" w:type="dxa"/>
            <w:vAlign w:val="center"/>
          </w:tcPr>
          <w:p w:rsidR="000F23EA" w:rsidRDefault="00D35990">
            <w:pPr>
              <w:jc w:val="center"/>
            </w:pPr>
            <w:r>
              <w:rPr>
                <w:rFonts w:eastAsiaTheme="minorEastAsia"/>
                <w:kern w:val="0"/>
                <w:sz w:val="24"/>
                <w:szCs w:val="24"/>
              </w:rPr>
              <w:t>5</w:t>
            </w:r>
          </w:p>
        </w:tc>
        <w:tc>
          <w:tcPr>
            <w:tcW w:w="1276" w:type="dxa"/>
            <w:vAlign w:val="center"/>
          </w:tcPr>
          <w:p w:rsidR="000F23EA" w:rsidRDefault="00D35990">
            <w:pPr>
              <w:jc w:val="center"/>
            </w:pPr>
            <w:r>
              <w:rPr>
                <w:rFonts w:eastAsiaTheme="minorEastAsia"/>
                <w:kern w:val="0"/>
                <w:sz w:val="24"/>
                <w:szCs w:val="24"/>
              </w:rPr>
              <w:t>601012</w:t>
            </w:r>
          </w:p>
        </w:tc>
        <w:tc>
          <w:tcPr>
            <w:tcW w:w="1701" w:type="dxa"/>
            <w:vAlign w:val="center"/>
          </w:tcPr>
          <w:p w:rsidR="000F23EA" w:rsidRDefault="00D35990">
            <w:pPr>
              <w:jc w:val="center"/>
            </w:pPr>
            <w:r>
              <w:rPr>
                <w:rFonts w:eastAsiaTheme="minorEastAsia"/>
                <w:kern w:val="0"/>
                <w:sz w:val="24"/>
                <w:szCs w:val="24"/>
              </w:rPr>
              <w:t>隆基股份</w:t>
            </w:r>
          </w:p>
        </w:tc>
        <w:tc>
          <w:tcPr>
            <w:tcW w:w="1276" w:type="dxa"/>
            <w:vAlign w:val="center"/>
          </w:tcPr>
          <w:p w:rsidR="000F23EA" w:rsidRDefault="00D35990">
            <w:pPr>
              <w:jc w:val="right"/>
            </w:pPr>
            <w:r>
              <w:rPr>
                <w:rFonts w:eastAsiaTheme="minorEastAsia"/>
                <w:kern w:val="0"/>
                <w:sz w:val="24"/>
                <w:szCs w:val="24"/>
              </w:rPr>
              <w:t>2,279,674</w:t>
            </w:r>
          </w:p>
        </w:tc>
        <w:tc>
          <w:tcPr>
            <w:tcW w:w="1842" w:type="dxa"/>
            <w:vAlign w:val="center"/>
          </w:tcPr>
          <w:p w:rsidR="000F23EA" w:rsidRDefault="00D35990">
            <w:pPr>
              <w:jc w:val="right"/>
            </w:pPr>
            <w:r>
              <w:rPr>
                <w:rFonts w:eastAsiaTheme="minorEastAsia"/>
                <w:kern w:val="0"/>
                <w:sz w:val="24"/>
                <w:szCs w:val="24"/>
              </w:rPr>
              <w:t>202,526,238.16</w:t>
            </w:r>
          </w:p>
        </w:tc>
        <w:tc>
          <w:tcPr>
            <w:tcW w:w="1616" w:type="dxa"/>
            <w:vAlign w:val="center"/>
          </w:tcPr>
          <w:p w:rsidR="000F23EA" w:rsidRDefault="00D35990">
            <w:pPr>
              <w:jc w:val="right"/>
            </w:pPr>
            <w:r>
              <w:rPr>
                <w:rFonts w:eastAsiaTheme="minorEastAsia"/>
                <w:kern w:val="0"/>
                <w:sz w:val="24"/>
                <w:szCs w:val="24"/>
              </w:rPr>
              <w:t>5.93</w:t>
            </w:r>
          </w:p>
        </w:tc>
      </w:tr>
      <w:tr w:rsidR="000F23EA">
        <w:tc>
          <w:tcPr>
            <w:tcW w:w="817" w:type="dxa"/>
            <w:vAlign w:val="center"/>
          </w:tcPr>
          <w:p w:rsidR="000F23EA" w:rsidRDefault="00D35990">
            <w:pPr>
              <w:jc w:val="center"/>
            </w:pPr>
            <w:r>
              <w:rPr>
                <w:rFonts w:eastAsiaTheme="minorEastAsia"/>
                <w:kern w:val="0"/>
                <w:sz w:val="24"/>
                <w:szCs w:val="24"/>
              </w:rPr>
              <w:t>6</w:t>
            </w:r>
          </w:p>
        </w:tc>
        <w:tc>
          <w:tcPr>
            <w:tcW w:w="1276" w:type="dxa"/>
            <w:vAlign w:val="center"/>
          </w:tcPr>
          <w:p w:rsidR="000F23EA" w:rsidRDefault="00D35990">
            <w:pPr>
              <w:jc w:val="center"/>
            </w:pPr>
            <w:r>
              <w:rPr>
                <w:rFonts w:eastAsiaTheme="minorEastAsia"/>
                <w:kern w:val="0"/>
                <w:sz w:val="24"/>
                <w:szCs w:val="24"/>
              </w:rPr>
              <w:t>688169</w:t>
            </w:r>
          </w:p>
        </w:tc>
        <w:tc>
          <w:tcPr>
            <w:tcW w:w="1701" w:type="dxa"/>
            <w:vAlign w:val="center"/>
          </w:tcPr>
          <w:p w:rsidR="000F23EA" w:rsidRDefault="00D35990">
            <w:pPr>
              <w:jc w:val="center"/>
            </w:pPr>
            <w:r>
              <w:rPr>
                <w:rFonts w:eastAsiaTheme="minorEastAsia"/>
                <w:kern w:val="0"/>
                <w:sz w:val="24"/>
                <w:szCs w:val="24"/>
              </w:rPr>
              <w:t>石头科技</w:t>
            </w:r>
          </w:p>
        </w:tc>
        <w:tc>
          <w:tcPr>
            <w:tcW w:w="1276" w:type="dxa"/>
            <w:vAlign w:val="center"/>
          </w:tcPr>
          <w:p w:rsidR="000F23EA" w:rsidRDefault="00D35990">
            <w:pPr>
              <w:jc w:val="right"/>
            </w:pPr>
            <w:r>
              <w:rPr>
                <w:rFonts w:eastAsiaTheme="minorEastAsia"/>
                <w:kern w:val="0"/>
                <w:sz w:val="24"/>
                <w:szCs w:val="24"/>
              </w:rPr>
              <w:t>144,674</w:t>
            </w:r>
          </w:p>
        </w:tc>
        <w:tc>
          <w:tcPr>
            <w:tcW w:w="1842" w:type="dxa"/>
            <w:vAlign w:val="center"/>
          </w:tcPr>
          <w:p w:rsidR="000F23EA" w:rsidRDefault="00D35990">
            <w:pPr>
              <w:jc w:val="right"/>
            </w:pPr>
            <w:r>
              <w:rPr>
                <w:rFonts w:eastAsiaTheme="minorEastAsia"/>
                <w:kern w:val="0"/>
                <w:sz w:val="24"/>
                <w:szCs w:val="24"/>
              </w:rPr>
              <w:t>182,433,914.00</w:t>
            </w:r>
          </w:p>
        </w:tc>
        <w:tc>
          <w:tcPr>
            <w:tcW w:w="1616" w:type="dxa"/>
            <w:vAlign w:val="center"/>
          </w:tcPr>
          <w:p w:rsidR="000F23EA" w:rsidRDefault="00D35990">
            <w:pPr>
              <w:jc w:val="right"/>
            </w:pPr>
            <w:r>
              <w:rPr>
                <w:rFonts w:eastAsiaTheme="minorEastAsia"/>
                <w:kern w:val="0"/>
                <w:sz w:val="24"/>
                <w:szCs w:val="24"/>
              </w:rPr>
              <w:t>5.34</w:t>
            </w:r>
          </w:p>
        </w:tc>
      </w:tr>
      <w:tr w:rsidR="000F23EA">
        <w:tc>
          <w:tcPr>
            <w:tcW w:w="817" w:type="dxa"/>
            <w:vAlign w:val="center"/>
          </w:tcPr>
          <w:p w:rsidR="000F23EA" w:rsidRDefault="00D35990">
            <w:pPr>
              <w:jc w:val="center"/>
            </w:pPr>
            <w:r>
              <w:rPr>
                <w:rFonts w:eastAsiaTheme="minorEastAsia"/>
                <w:kern w:val="0"/>
                <w:sz w:val="24"/>
                <w:szCs w:val="24"/>
              </w:rPr>
              <w:t>7</w:t>
            </w:r>
          </w:p>
        </w:tc>
        <w:tc>
          <w:tcPr>
            <w:tcW w:w="1276" w:type="dxa"/>
            <w:vAlign w:val="center"/>
          </w:tcPr>
          <w:p w:rsidR="000F23EA" w:rsidRDefault="00D35990">
            <w:pPr>
              <w:jc w:val="center"/>
            </w:pPr>
            <w:r>
              <w:rPr>
                <w:rFonts w:eastAsiaTheme="minorEastAsia"/>
                <w:kern w:val="0"/>
                <w:sz w:val="24"/>
                <w:szCs w:val="24"/>
              </w:rPr>
              <w:t>300595</w:t>
            </w:r>
          </w:p>
        </w:tc>
        <w:tc>
          <w:tcPr>
            <w:tcW w:w="1701" w:type="dxa"/>
            <w:vAlign w:val="center"/>
          </w:tcPr>
          <w:p w:rsidR="000F23EA" w:rsidRDefault="00D35990">
            <w:pPr>
              <w:jc w:val="center"/>
            </w:pPr>
            <w:r>
              <w:rPr>
                <w:rFonts w:eastAsiaTheme="minorEastAsia"/>
                <w:kern w:val="0"/>
                <w:sz w:val="24"/>
                <w:szCs w:val="24"/>
              </w:rPr>
              <w:t>欧普康视</w:t>
            </w:r>
          </w:p>
        </w:tc>
        <w:tc>
          <w:tcPr>
            <w:tcW w:w="1276" w:type="dxa"/>
            <w:vAlign w:val="center"/>
          </w:tcPr>
          <w:p w:rsidR="000F23EA" w:rsidRDefault="00D35990">
            <w:pPr>
              <w:jc w:val="right"/>
            </w:pPr>
            <w:r>
              <w:rPr>
                <w:rFonts w:eastAsiaTheme="minorEastAsia"/>
                <w:kern w:val="0"/>
                <w:sz w:val="24"/>
                <w:szCs w:val="24"/>
              </w:rPr>
              <w:t>1,432,772</w:t>
            </w:r>
          </w:p>
        </w:tc>
        <w:tc>
          <w:tcPr>
            <w:tcW w:w="1842" w:type="dxa"/>
            <w:vAlign w:val="center"/>
          </w:tcPr>
          <w:p w:rsidR="000F23EA" w:rsidRDefault="00D35990">
            <w:pPr>
              <w:jc w:val="right"/>
            </w:pPr>
            <w:r>
              <w:rPr>
                <w:rFonts w:eastAsiaTheme="minorEastAsia"/>
                <w:kern w:val="0"/>
                <w:sz w:val="24"/>
                <w:szCs w:val="24"/>
              </w:rPr>
              <w:t>148,363,540.60</w:t>
            </w:r>
          </w:p>
        </w:tc>
        <w:tc>
          <w:tcPr>
            <w:tcW w:w="1616" w:type="dxa"/>
            <w:vAlign w:val="center"/>
          </w:tcPr>
          <w:p w:rsidR="000F23EA" w:rsidRDefault="00D35990">
            <w:pPr>
              <w:jc w:val="right"/>
            </w:pPr>
            <w:r>
              <w:rPr>
                <w:rFonts w:eastAsiaTheme="minorEastAsia"/>
                <w:kern w:val="0"/>
                <w:sz w:val="24"/>
                <w:szCs w:val="24"/>
              </w:rPr>
              <w:t>4.34</w:t>
            </w:r>
          </w:p>
        </w:tc>
      </w:tr>
      <w:tr w:rsidR="000F23EA">
        <w:tc>
          <w:tcPr>
            <w:tcW w:w="817" w:type="dxa"/>
            <w:vAlign w:val="center"/>
          </w:tcPr>
          <w:p w:rsidR="000F23EA" w:rsidRDefault="00D35990">
            <w:pPr>
              <w:jc w:val="center"/>
            </w:pPr>
            <w:r>
              <w:rPr>
                <w:rFonts w:eastAsiaTheme="minorEastAsia"/>
                <w:kern w:val="0"/>
                <w:sz w:val="24"/>
                <w:szCs w:val="24"/>
              </w:rPr>
              <w:lastRenderedPageBreak/>
              <w:t>8</w:t>
            </w:r>
          </w:p>
        </w:tc>
        <w:tc>
          <w:tcPr>
            <w:tcW w:w="1276" w:type="dxa"/>
            <w:vAlign w:val="center"/>
          </w:tcPr>
          <w:p w:rsidR="000F23EA" w:rsidRDefault="00D35990">
            <w:pPr>
              <w:jc w:val="center"/>
            </w:pPr>
            <w:r>
              <w:rPr>
                <w:rFonts w:eastAsiaTheme="minorEastAsia"/>
                <w:kern w:val="0"/>
                <w:sz w:val="24"/>
                <w:szCs w:val="24"/>
              </w:rPr>
              <w:t>300357</w:t>
            </w:r>
          </w:p>
        </w:tc>
        <w:tc>
          <w:tcPr>
            <w:tcW w:w="1701" w:type="dxa"/>
            <w:vAlign w:val="center"/>
          </w:tcPr>
          <w:p w:rsidR="000F23EA" w:rsidRDefault="00D35990">
            <w:pPr>
              <w:jc w:val="center"/>
            </w:pPr>
            <w:r>
              <w:rPr>
                <w:rFonts w:eastAsiaTheme="minorEastAsia"/>
                <w:kern w:val="0"/>
                <w:sz w:val="24"/>
                <w:szCs w:val="24"/>
              </w:rPr>
              <w:t>我武生物</w:t>
            </w:r>
          </w:p>
        </w:tc>
        <w:tc>
          <w:tcPr>
            <w:tcW w:w="1276" w:type="dxa"/>
            <w:vAlign w:val="center"/>
          </w:tcPr>
          <w:p w:rsidR="000F23EA" w:rsidRDefault="00D35990">
            <w:pPr>
              <w:jc w:val="right"/>
            </w:pPr>
            <w:r>
              <w:rPr>
                <w:rFonts w:eastAsiaTheme="minorEastAsia"/>
                <w:kern w:val="0"/>
                <w:sz w:val="24"/>
                <w:szCs w:val="24"/>
              </w:rPr>
              <w:t>2,080,669</w:t>
            </w:r>
          </w:p>
        </w:tc>
        <w:tc>
          <w:tcPr>
            <w:tcW w:w="1842" w:type="dxa"/>
            <w:vAlign w:val="center"/>
          </w:tcPr>
          <w:p w:rsidR="000F23EA" w:rsidRDefault="00D35990">
            <w:pPr>
              <w:jc w:val="right"/>
            </w:pPr>
            <w:r>
              <w:rPr>
                <w:rFonts w:eastAsiaTheme="minorEastAsia"/>
                <w:kern w:val="0"/>
                <w:sz w:val="24"/>
                <w:szCs w:val="24"/>
              </w:rPr>
              <w:t>133,412,496.28</w:t>
            </w:r>
          </w:p>
        </w:tc>
        <w:tc>
          <w:tcPr>
            <w:tcW w:w="1616" w:type="dxa"/>
            <w:vAlign w:val="center"/>
          </w:tcPr>
          <w:p w:rsidR="000F23EA" w:rsidRDefault="00D35990">
            <w:pPr>
              <w:jc w:val="right"/>
            </w:pPr>
            <w:r>
              <w:rPr>
                <w:rFonts w:eastAsiaTheme="minorEastAsia"/>
                <w:kern w:val="0"/>
                <w:sz w:val="24"/>
                <w:szCs w:val="24"/>
              </w:rPr>
              <w:t>3.91</w:t>
            </w:r>
          </w:p>
        </w:tc>
      </w:tr>
      <w:tr w:rsidR="000F23EA">
        <w:tc>
          <w:tcPr>
            <w:tcW w:w="817" w:type="dxa"/>
            <w:vAlign w:val="center"/>
          </w:tcPr>
          <w:p w:rsidR="000F23EA" w:rsidRDefault="00D35990">
            <w:pPr>
              <w:jc w:val="center"/>
            </w:pPr>
            <w:r>
              <w:rPr>
                <w:rFonts w:eastAsiaTheme="minorEastAsia"/>
                <w:kern w:val="0"/>
                <w:sz w:val="24"/>
                <w:szCs w:val="24"/>
              </w:rPr>
              <w:t>9</w:t>
            </w:r>
          </w:p>
        </w:tc>
        <w:tc>
          <w:tcPr>
            <w:tcW w:w="1276" w:type="dxa"/>
            <w:vAlign w:val="center"/>
          </w:tcPr>
          <w:p w:rsidR="000F23EA" w:rsidRDefault="00D35990">
            <w:pPr>
              <w:jc w:val="center"/>
            </w:pPr>
            <w:r>
              <w:rPr>
                <w:rFonts w:eastAsiaTheme="minorEastAsia"/>
                <w:kern w:val="0"/>
                <w:sz w:val="24"/>
                <w:szCs w:val="24"/>
              </w:rPr>
              <w:t>688363</w:t>
            </w:r>
          </w:p>
        </w:tc>
        <w:tc>
          <w:tcPr>
            <w:tcW w:w="1701" w:type="dxa"/>
            <w:vAlign w:val="center"/>
          </w:tcPr>
          <w:p w:rsidR="000F23EA" w:rsidRDefault="00D35990">
            <w:pPr>
              <w:jc w:val="center"/>
            </w:pPr>
            <w:r>
              <w:rPr>
                <w:rFonts w:eastAsiaTheme="minorEastAsia"/>
                <w:kern w:val="0"/>
                <w:sz w:val="24"/>
                <w:szCs w:val="24"/>
              </w:rPr>
              <w:t>华熙生物</w:t>
            </w:r>
          </w:p>
        </w:tc>
        <w:tc>
          <w:tcPr>
            <w:tcW w:w="1276" w:type="dxa"/>
            <w:vAlign w:val="center"/>
          </w:tcPr>
          <w:p w:rsidR="000F23EA" w:rsidRDefault="00D35990">
            <w:pPr>
              <w:jc w:val="right"/>
            </w:pPr>
            <w:r>
              <w:rPr>
                <w:rFonts w:eastAsiaTheme="minorEastAsia"/>
                <w:kern w:val="0"/>
                <w:sz w:val="24"/>
                <w:szCs w:val="24"/>
              </w:rPr>
              <w:t>442,794</w:t>
            </w:r>
          </w:p>
        </w:tc>
        <w:tc>
          <w:tcPr>
            <w:tcW w:w="1842" w:type="dxa"/>
            <w:vAlign w:val="center"/>
          </w:tcPr>
          <w:p w:rsidR="000F23EA" w:rsidRDefault="00D35990">
            <w:pPr>
              <w:jc w:val="right"/>
            </w:pPr>
            <w:r>
              <w:rPr>
                <w:rFonts w:eastAsiaTheme="minorEastAsia"/>
                <w:kern w:val="0"/>
                <w:sz w:val="24"/>
                <w:szCs w:val="24"/>
              </w:rPr>
              <w:t>123,034,740.84</w:t>
            </w:r>
          </w:p>
        </w:tc>
        <w:tc>
          <w:tcPr>
            <w:tcW w:w="1616" w:type="dxa"/>
            <w:vAlign w:val="center"/>
          </w:tcPr>
          <w:p w:rsidR="000F23EA" w:rsidRDefault="00D35990">
            <w:pPr>
              <w:jc w:val="right"/>
            </w:pPr>
            <w:r>
              <w:rPr>
                <w:rFonts w:eastAsiaTheme="minorEastAsia"/>
                <w:kern w:val="0"/>
                <w:sz w:val="24"/>
                <w:szCs w:val="24"/>
              </w:rPr>
              <w:t>3.60</w:t>
            </w:r>
          </w:p>
        </w:tc>
      </w:tr>
      <w:tr w:rsidR="000F23EA">
        <w:tc>
          <w:tcPr>
            <w:tcW w:w="817" w:type="dxa"/>
            <w:vAlign w:val="center"/>
          </w:tcPr>
          <w:p w:rsidR="000F23EA" w:rsidRDefault="00D35990">
            <w:pPr>
              <w:jc w:val="center"/>
            </w:pPr>
            <w:r>
              <w:rPr>
                <w:rFonts w:eastAsiaTheme="minorEastAsia"/>
                <w:kern w:val="0"/>
                <w:sz w:val="24"/>
                <w:szCs w:val="24"/>
              </w:rPr>
              <w:t>10</w:t>
            </w:r>
          </w:p>
        </w:tc>
        <w:tc>
          <w:tcPr>
            <w:tcW w:w="1276" w:type="dxa"/>
            <w:vAlign w:val="center"/>
          </w:tcPr>
          <w:p w:rsidR="000F23EA" w:rsidRDefault="00D35990">
            <w:pPr>
              <w:jc w:val="center"/>
            </w:pPr>
            <w:r>
              <w:rPr>
                <w:rFonts w:eastAsiaTheme="minorEastAsia"/>
                <w:kern w:val="0"/>
                <w:sz w:val="24"/>
                <w:szCs w:val="24"/>
              </w:rPr>
              <w:t>600519</w:t>
            </w:r>
          </w:p>
        </w:tc>
        <w:tc>
          <w:tcPr>
            <w:tcW w:w="1701" w:type="dxa"/>
            <w:vAlign w:val="center"/>
          </w:tcPr>
          <w:p w:rsidR="000F23EA" w:rsidRDefault="00D35990">
            <w:pPr>
              <w:jc w:val="center"/>
            </w:pPr>
            <w:r>
              <w:rPr>
                <w:rFonts w:eastAsiaTheme="minorEastAsia"/>
                <w:kern w:val="0"/>
                <w:sz w:val="24"/>
                <w:szCs w:val="24"/>
              </w:rPr>
              <w:t>贵州茅台</w:t>
            </w:r>
          </w:p>
        </w:tc>
        <w:tc>
          <w:tcPr>
            <w:tcW w:w="1276" w:type="dxa"/>
            <w:vAlign w:val="center"/>
          </w:tcPr>
          <w:p w:rsidR="000F23EA" w:rsidRDefault="00D35990">
            <w:pPr>
              <w:jc w:val="right"/>
            </w:pPr>
            <w:r>
              <w:rPr>
                <w:rFonts w:eastAsiaTheme="minorEastAsia"/>
                <w:kern w:val="0"/>
                <w:sz w:val="24"/>
                <w:szCs w:val="24"/>
              </w:rPr>
              <w:t>53,350</w:t>
            </w:r>
          </w:p>
        </w:tc>
        <w:tc>
          <w:tcPr>
            <w:tcW w:w="1842" w:type="dxa"/>
            <w:vAlign w:val="center"/>
          </w:tcPr>
          <w:p w:rsidR="000F23EA" w:rsidRDefault="00D35990">
            <w:pPr>
              <w:jc w:val="right"/>
            </w:pPr>
            <w:r>
              <w:rPr>
                <w:rFonts w:eastAsiaTheme="minorEastAsia"/>
                <w:kern w:val="0"/>
                <w:sz w:val="24"/>
                <w:szCs w:val="24"/>
              </w:rPr>
              <w:t>109,724,945.00</w:t>
            </w:r>
          </w:p>
        </w:tc>
        <w:tc>
          <w:tcPr>
            <w:tcW w:w="1616" w:type="dxa"/>
            <w:vAlign w:val="center"/>
          </w:tcPr>
          <w:p w:rsidR="000F23EA" w:rsidRDefault="00D35990">
            <w:pPr>
              <w:jc w:val="right"/>
            </w:pPr>
            <w:r>
              <w:rPr>
                <w:rFonts w:eastAsiaTheme="minorEastAsia"/>
                <w:kern w:val="0"/>
                <w:sz w:val="24"/>
                <w:szCs w:val="24"/>
              </w:rPr>
              <w:t>3.21</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1,082,258.36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88,080,432.83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31,816.18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2,859,374.19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92,053,881.56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2,064,018,875.41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100,128,972.51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141,939,948.90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2,022,207,899.02</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lastRenderedPageBreak/>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、中国证监会批准上投摩根内需动力混合型证券投资基金设立的文件；</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、《上投摩根内需动力混合型证券投资基金基金合同》；</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、《上投摩根内需动力混合型证券投资基金托管协议》；</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、《上投摩根开放式基金业务规则》；</w:t>
      </w:r>
      <w:r>
        <w:rPr>
          <w:rFonts w:eastAsiaTheme="minorEastAsia"/>
          <w:color w:val="000000" w:themeColor="text1"/>
        </w:rPr>
        <w:t xml:space="preserve"> </w:t>
      </w:r>
    </w:p>
    <w:p w:rsidR="000F23EA" w:rsidRDefault="00D35990">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lastRenderedPageBreak/>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D35990" w:rsidRPr="00D35990">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D35990">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上投摩根内需动力混合型证券投资基金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23EA"/>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35990"/>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CCC9D-A5EC-41B8-8BF4-EF0AA20E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268</cp:revision>
  <dcterms:created xsi:type="dcterms:W3CDTF">2012-10-16T06:07:00Z</dcterms:created>
  <dcterms:modified xsi:type="dcterms:W3CDTF">2021-07-20T06:57:00Z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