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上投摩根内需动力混合型证券投资基金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中国工商银行股份有限公司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基金托管人中国工商银行股份有限公司根据本基金合同规定，于2020年10月27日复核了本报告中的财务指标、净值表现和投资组合报告等内容，保证复核内容不存在虚假记载、误导性陈述或者重大遗漏。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上投摩根内需动力混合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377020</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377020</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2007年4月13日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2,031,217,688.46</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本基金重点投资于内需增长背景下具有竞争优势的上市公司，把握中国经济和行业快速增长带来的投资机会，追求基金资产长期稳定增值。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在投资组合构建和管理的过程中，本基金将采取“自上而下”与“自下而上”相结合的方法。基金管理人在内需驱动行业分析的基础上，选择具有可持续增长前景的优势上市公司股票，以合理价格买入并进行中长期投资。</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（2）固定收益类投资策略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本基金以股票投资为主，一般市场情况下，基金管理人不会积极追求大类资产配置，但为进一步控制投资风险，优化组合流动性管理，本基金将适度防御性资产配置，进行债券、货币市场工具等品种投资。</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沪深300指数收益率×80%＋上证国债指数收益率×20％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本基金是一只混合型基金，其预期风险和预期收益低于股票型基金、高于债券型基金和货币市场基金，属于较高风险、较高预期收益的基金产品。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中国工商银行股份有限公司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578,185,966.11</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227,404,298.93</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0.1069</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2,835,813,958.52</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1.3961</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7.75%</w:t>
            </w:r>
          </w:p>
        </w:tc>
        <w:tc>
          <w:tcPr>
            <w:vAlign w:val="center"/>
          </w:tcPr>
          <w:p>
            <w:pPr>
              <w:jc w:val="center"/>
            </w:pPr>
            <w:r>
              <w:rPr>
                <w:rFonts w:asciiTheme="minorEastAsia" w:eastAsiaTheme="minorEastAsia" w:hAnsiTheme="minorEastAsia"/>
                <w:color w:themeColor="text1" w:val="000000"/>
                <w:kern w:val="0"/>
              </w:rPr>
              <w:t>1.88%</w:t>
            </w:r>
          </w:p>
        </w:tc>
        <w:tc>
          <w:tcPr>
            <w:vAlign w:val="center"/>
          </w:tcPr>
          <w:p>
            <w:pPr>
              <w:jc w:val="center"/>
            </w:pPr>
            <w:r>
              <w:rPr>
                <w:rFonts w:asciiTheme="minorEastAsia" w:eastAsiaTheme="minorEastAsia" w:hAnsiTheme="minorEastAsia"/>
                <w:color w:themeColor="text1" w:val="000000"/>
                <w:kern w:val="0"/>
              </w:rPr>
              <w:t>8.20%</w:t>
            </w:r>
          </w:p>
        </w:tc>
        <w:tc>
          <w:tcPr>
            <w:vAlign w:val="center"/>
          </w:tcPr>
          <w:p>
            <w:pPr>
              <w:jc w:val="center"/>
            </w:pPr>
            <w:r>
              <w:rPr>
                <w:rFonts w:asciiTheme="minorEastAsia" w:eastAsiaTheme="minorEastAsia" w:hAnsiTheme="minorEastAsia"/>
                <w:color w:themeColor="text1" w:val="000000"/>
                <w:kern w:val="0"/>
              </w:rPr>
              <w:t>1.29%</w:t>
            </w:r>
          </w:p>
        </w:tc>
        <w:tc>
          <w:tcPr>
            <w:vAlign w:val="center"/>
          </w:tcPr>
          <w:p>
            <w:pPr>
              <w:jc w:val="center"/>
            </w:pPr>
            <w:r>
              <w:rPr>
                <w:rFonts w:asciiTheme="minorEastAsia" w:eastAsiaTheme="minorEastAsia" w:hAnsiTheme="minorEastAsia"/>
                <w:color w:themeColor="text1" w:val="000000"/>
                <w:kern w:val="0"/>
              </w:rPr>
              <w:t>-0.45%</w:t>
            </w:r>
          </w:p>
        </w:tc>
        <w:tc>
          <w:tcPr>
            <w:vAlign w:val="center"/>
          </w:tcPr>
          <w:p>
            <w:pPr>
              <w:jc w:val="center"/>
            </w:pPr>
            <w:r>
              <w:rPr>
                <w:rFonts w:asciiTheme="minorEastAsia" w:eastAsiaTheme="minorEastAsia" w:hAnsiTheme="minorEastAsia"/>
                <w:color w:themeColor="text1" w:val="000000"/>
                <w:kern w:val="0"/>
              </w:rPr>
              <w:t>0.59%</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51.06%</w:t>
            </w:r>
          </w:p>
        </w:tc>
        <w:tc>
          <w:tcPr>
            <w:vAlign w:val="center"/>
          </w:tcPr>
          <w:p>
            <w:pPr>
              <w:jc w:val="center"/>
            </w:pPr>
            <w:r>
              <w:rPr>
                <w:rFonts w:asciiTheme="minorEastAsia" w:eastAsiaTheme="minorEastAsia" w:hAnsiTheme="minorEastAsia"/>
                <w:color w:themeColor="text1" w:val="000000"/>
                <w:kern w:val="0"/>
              </w:rPr>
              <w:t>1.67%</w:t>
            </w:r>
          </w:p>
        </w:tc>
        <w:tc>
          <w:tcPr>
            <w:vAlign w:val="center"/>
          </w:tcPr>
          <w:p>
            <w:pPr>
              <w:jc w:val="center"/>
            </w:pPr>
            <w:r>
              <w:rPr>
                <w:rFonts w:asciiTheme="minorEastAsia" w:eastAsiaTheme="minorEastAsia" w:hAnsiTheme="minorEastAsia"/>
                <w:color w:themeColor="text1" w:val="000000"/>
                <w:kern w:val="0"/>
              </w:rPr>
              <w:t>19.75%</w:t>
            </w:r>
          </w:p>
        </w:tc>
        <w:tc>
          <w:tcPr>
            <w:vAlign w:val="center"/>
          </w:tcPr>
          <w:p>
            <w:pPr>
              <w:jc w:val="center"/>
            </w:pPr>
            <w:r>
              <w:rPr>
                <w:rFonts w:asciiTheme="minorEastAsia" w:eastAsiaTheme="minorEastAsia" w:hAnsiTheme="minorEastAsia"/>
                <w:color w:themeColor="text1" w:val="000000"/>
                <w:kern w:val="0"/>
              </w:rPr>
              <w:t>1.06%</w:t>
            </w:r>
          </w:p>
        </w:tc>
        <w:tc>
          <w:tcPr>
            <w:vAlign w:val="center"/>
          </w:tcPr>
          <w:p>
            <w:pPr>
              <w:jc w:val="center"/>
            </w:pPr>
            <w:r>
              <w:rPr>
                <w:rFonts w:asciiTheme="minorEastAsia" w:eastAsiaTheme="minorEastAsia" w:hAnsiTheme="minorEastAsia"/>
                <w:color w:themeColor="text1" w:val="000000"/>
                <w:kern w:val="0"/>
              </w:rPr>
              <w:t>31.31%</w:t>
            </w:r>
          </w:p>
        </w:tc>
        <w:tc>
          <w:tcPr>
            <w:vAlign w:val="center"/>
          </w:tcPr>
          <w:p>
            <w:pPr>
              <w:jc w:val="center"/>
            </w:pPr>
            <w:r>
              <w:rPr>
                <w:rFonts w:asciiTheme="minorEastAsia" w:eastAsiaTheme="minorEastAsia" w:hAnsiTheme="minorEastAsia"/>
                <w:color w:themeColor="text1" w:val="000000"/>
                <w:kern w:val="0"/>
              </w:rPr>
              <w:t>0.61%</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67.20%</w:t>
            </w:r>
          </w:p>
        </w:tc>
        <w:tc>
          <w:tcPr>
            <w:vAlign w:val="center"/>
          </w:tcPr>
          <w:p>
            <w:pPr>
              <w:jc w:val="center"/>
            </w:pPr>
            <w:r>
              <w:rPr>
                <w:rFonts w:asciiTheme="minorEastAsia" w:eastAsiaTheme="minorEastAsia" w:hAnsiTheme="minorEastAsia"/>
                <w:color w:themeColor="text1" w:val="000000"/>
                <w:kern w:val="0"/>
              </w:rPr>
              <w:t>1.82%</w:t>
            </w:r>
          </w:p>
        </w:tc>
        <w:tc>
          <w:tcPr>
            <w:vAlign w:val="center"/>
          </w:tcPr>
          <w:p>
            <w:pPr>
              <w:jc w:val="center"/>
            </w:pPr>
            <w:r>
              <w:rPr>
                <w:rFonts w:asciiTheme="minorEastAsia" w:eastAsiaTheme="minorEastAsia" w:hAnsiTheme="minorEastAsia"/>
                <w:color w:themeColor="text1" w:val="000000"/>
                <w:kern w:val="0"/>
              </w:rPr>
              <w:t>17.06%</w:t>
            </w:r>
          </w:p>
        </w:tc>
        <w:tc>
          <w:tcPr>
            <w:vAlign w:val="center"/>
          </w:tcPr>
          <w:p>
            <w:pPr>
              <w:jc w:val="center"/>
            </w:pPr>
            <w:r>
              <w:rPr>
                <w:rFonts w:asciiTheme="minorEastAsia" w:eastAsiaTheme="minorEastAsia" w:hAnsiTheme="minorEastAsia"/>
                <w:color w:themeColor="text1" w:val="000000"/>
                <w:kern w:val="0"/>
              </w:rPr>
              <w:t>1.11%</w:t>
            </w:r>
          </w:p>
        </w:tc>
        <w:tc>
          <w:tcPr>
            <w:vAlign w:val="center"/>
          </w:tcPr>
          <w:p>
            <w:pPr>
              <w:jc w:val="center"/>
            </w:pPr>
            <w:r>
              <w:rPr>
                <w:rFonts w:asciiTheme="minorEastAsia" w:eastAsiaTheme="minorEastAsia" w:hAnsiTheme="minorEastAsia"/>
                <w:color w:themeColor="text1" w:val="000000"/>
                <w:kern w:val="0"/>
              </w:rPr>
              <w:t>50.14%</w:t>
            </w:r>
          </w:p>
        </w:tc>
        <w:tc>
          <w:tcPr>
            <w:vAlign w:val="center"/>
          </w:tcPr>
          <w:p>
            <w:pPr>
              <w:jc w:val="center"/>
            </w:pPr>
            <w:r>
              <w:rPr>
                <w:rFonts w:asciiTheme="minorEastAsia" w:eastAsiaTheme="minorEastAsia" w:hAnsiTheme="minorEastAsia"/>
                <w:color w:themeColor="text1" w:val="000000"/>
                <w:kern w:val="0"/>
              </w:rPr>
              <w:t>0.71%</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40.02%</w:t>
            </w:r>
          </w:p>
        </w:tc>
        <w:tc>
          <w:tcPr>
            <w:vAlign w:val="center"/>
          </w:tcPr>
          <w:p>
            <w:pPr>
              <w:jc w:val="center"/>
            </w:pPr>
            <w:r>
              <w:rPr>
                <w:rFonts w:asciiTheme="minorEastAsia" w:eastAsiaTheme="minorEastAsia" w:hAnsiTheme="minorEastAsia"/>
                <w:color w:themeColor="text1" w:val="000000"/>
                <w:kern w:val="0"/>
              </w:rPr>
              <w:t>1.73%</w:t>
            </w:r>
          </w:p>
        </w:tc>
        <w:tc>
          <w:tcPr>
            <w:vAlign w:val="center"/>
          </w:tcPr>
          <w:p>
            <w:pPr>
              <w:jc w:val="center"/>
            </w:pPr>
            <w:r>
              <w:rPr>
                <w:rFonts w:asciiTheme="minorEastAsia" w:eastAsiaTheme="minorEastAsia" w:hAnsiTheme="minorEastAsia"/>
                <w:color w:themeColor="text1" w:val="000000"/>
                <w:kern w:val="0"/>
              </w:rPr>
              <w:t>18.44%</w:t>
            </w:r>
          </w:p>
        </w:tc>
        <w:tc>
          <w:tcPr>
            <w:vAlign w:val="center"/>
          </w:tcPr>
          <w:p>
            <w:pPr>
              <w:jc w:val="center"/>
            </w:pPr>
            <w:r>
              <w:rPr>
                <w:rFonts w:asciiTheme="minorEastAsia" w:eastAsiaTheme="minorEastAsia" w:hAnsiTheme="minorEastAsia"/>
                <w:color w:themeColor="text1" w:val="000000"/>
                <w:kern w:val="0"/>
              </w:rPr>
              <w:t>1.06%</w:t>
            </w:r>
          </w:p>
        </w:tc>
        <w:tc>
          <w:tcPr>
            <w:vAlign w:val="center"/>
          </w:tcPr>
          <w:p>
            <w:pPr>
              <w:jc w:val="center"/>
            </w:pPr>
            <w:r>
              <w:rPr>
                <w:rFonts w:asciiTheme="minorEastAsia" w:eastAsiaTheme="minorEastAsia" w:hAnsiTheme="minorEastAsia"/>
                <w:color w:themeColor="text1" w:val="000000"/>
                <w:kern w:val="0"/>
              </w:rPr>
              <w:t>21.58%</w:t>
            </w:r>
          </w:p>
        </w:tc>
        <w:tc>
          <w:tcPr>
            <w:vAlign w:val="center"/>
          </w:tcPr>
          <w:p>
            <w:pPr>
              <w:jc w:val="center"/>
            </w:pPr>
            <w:r>
              <w:rPr>
                <w:rFonts w:asciiTheme="minorEastAsia" w:eastAsiaTheme="minorEastAsia" w:hAnsiTheme="minorEastAsia"/>
                <w:color w:themeColor="text1" w:val="000000"/>
                <w:kern w:val="0"/>
              </w:rPr>
              <w:t>0.67%</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71.26%</w:t>
            </w:r>
          </w:p>
        </w:tc>
        <w:tc>
          <w:tcPr>
            <w:vAlign w:val="center"/>
          </w:tcPr>
          <w:p>
            <w:pPr>
              <w:jc w:val="center"/>
            </w:pPr>
            <w:r>
              <w:rPr>
                <w:rFonts w:asciiTheme="minorEastAsia" w:eastAsiaTheme="minorEastAsia" w:hAnsiTheme="minorEastAsia"/>
                <w:color w:themeColor="text1" w:val="000000"/>
                <w:kern w:val="0"/>
              </w:rPr>
              <w:t>1.80%</w:t>
            </w:r>
          </w:p>
        </w:tc>
        <w:tc>
          <w:tcPr>
            <w:vAlign w:val="center"/>
          </w:tcPr>
          <w:p>
            <w:pPr>
              <w:jc w:val="center"/>
            </w:pPr>
            <w:r>
              <w:rPr>
                <w:rFonts w:asciiTheme="minorEastAsia" w:eastAsiaTheme="minorEastAsia" w:hAnsiTheme="minorEastAsia"/>
                <w:color w:themeColor="text1" w:val="000000"/>
                <w:kern w:val="0"/>
              </w:rPr>
              <w:t>38.72%</w:t>
            </w:r>
          </w:p>
        </w:tc>
        <w:tc>
          <w:tcPr>
            <w:vAlign w:val="center"/>
          </w:tcPr>
          <w:p>
            <w:pPr>
              <w:jc w:val="center"/>
            </w:pPr>
            <w:r>
              <w:rPr>
                <w:rFonts w:asciiTheme="minorEastAsia" w:eastAsiaTheme="minorEastAsia" w:hAnsiTheme="minorEastAsia"/>
                <w:color w:themeColor="text1" w:val="000000"/>
                <w:kern w:val="0"/>
              </w:rPr>
              <w:t>1.03%</w:t>
            </w:r>
          </w:p>
        </w:tc>
        <w:tc>
          <w:tcPr>
            <w:vAlign w:val="center"/>
          </w:tcPr>
          <w:p>
            <w:pPr>
              <w:jc w:val="center"/>
            </w:pPr>
            <w:r>
              <w:rPr>
                <w:rFonts w:asciiTheme="minorEastAsia" w:eastAsiaTheme="minorEastAsia" w:hAnsiTheme="minorEastAsia"/>
                <w:color w:themeColor="text1" w:val="000000"/>
                <w:kern w:val="0"/>
              </w:rPr>
              <w:t>32.54%</w:t>
            </w:r>
          </w:p>
        </w:tc>
        <w:tc>
          <w:tcPr>
            <w:vAlign w:val="center"/>
          </w:tcPr>
          <w:p>
            <w:pPr>
              <w:jc w:val="center"/>
            </w:pPr>
            <w:r>
              <w:rPr>
                <w:rFonts w:asciiTheme="minorEastAsia" w:eastAsiaTheme="minorEastAsia" w:hAnsiTheme="minorEastAsia"/>
                <w:color w:themeColor="text1" w:val="000000"/>
                <w:kern w:val="0"/>
              </w:rPr>
              <w:t>0.77%</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175.07%</w:t>
            </w:r>
          </w:p>
        </w:tc>
        <w:tc>
          <w:tcPr>
            <w:vAlign w:val="center"/>
          </w:tcPr>
          <w:p>
            <w:pPr>
              <w:jc w:val="center"/>
            </w:pPr>
            <w:r>
              <w:rPr>
                <w:rFonts w:asciiTheme="minorEastAsia" w:eastAsiaTheme="minorEastAsia" w:hAnsiTheme="minorEastAsia"/>
                <w:color w:themeColor="text1" w:val="000000"/>
                <w:kern w:val="0"/>
              </w:rPr>
              <w:t>1.74%</w:t>
            </w:r>
          </w:p>
        </w:tc>
        <w:tc>
          <w:tcPr>
            <w:vAlign w:val="center"/>
          </w:tcPr>
          <w:p>
            <w:pPr>
              <w:jc w:val="center"/>
            </w:pPr>
            <w:r>
              <w:rPr>
                <w:rFonts w:asciiTheme="minorEastAsia" w:eastAsiaTheme="minorEastAsia" w:hAnsiTheme="minorEastAsia"/>
                <w:color w:themeColor="text1" w:val="000000"/>
                <w:kern w:val="0"/>
              </w:rPr>
              <w:t>48.36%</w:t>
            </w:r>
          </w:p>
        </w:tc>
        <w:tc>
          <w:tcPr>
            <w:vAlign w:val="center"/>
          </w:tcPr>
          <w:p>
            <w:pPr>
              <w:jc w:val="center"/>
            </w:pPr>
            <w:r>
              <w:rPr>
                <w:rFonts w:asciiTheme="minorEastAsia" w:eastAsiaTheme="minorEastAsia" w:hAnsiTheme="minorEastAsia"/>
                <w:color w:themeColor="text1" w:val="000000"/>
                <w:kern w:val="0"/>
              </w:rPr>
              <w:t>1.39%</w:t>
            </w:r>
          </w:p>
        </w:tc>
        <w:tc>
          <w:tcPr>
            <w:vAlign w:val="center"/>
          </w:tcPr>
          <w:p>
            <w:pPr>
              <w:jc w:val="center"/>
            </w:pPr>
            <w:r>
              <w:rPr>
                <w:rFonts w:asciiTheme="minorEastAsia" w:eastAsiaTheme="minorEastAsia" w:hAnsiTheme="minorEastAsia"/>
                <w:color w:themeColor="text1" w:val="000000"/>
                <w:kern w:val="0"/>
              </w:rPr>
              <w:t>126.71%</w:t>
            </w:r>
          </w:p>
        </w:tc>
        <w:tc>
          <w:tcPr>
            <w:vAlign w:val="center"/>
          </w:tcPr>
          <w:p>
            <w:pPr>
              <w:jc w:val="center"/>
            </w:pPr>
            <w:r>
              <w:rPr>
                <w:rFonts w:asciiTheme="minorEastAsia" w:eastAsiaTheme="minorEastAsia" w:hAnsiTheme="minorEastAsia"/>
                <w:color w:themeColor="text1" w:val="000000"/>
                <w:kern w:val="0"/>
              </w:rPr>
              <w:t>0.35%</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上投摩根内需动力混合型证券投资基金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2007年4月13日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注：本基金合同生效日为2007年4月13日，图示时间段为2007年4月13日至2020年9月30日。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本基金建仓期自2007年4月13日至2007年10月12日。建仓期结束时资产配置比例符合本基金基金合同规定。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刘辉</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2016-01-12</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15年</w:t>
            </w:r>
          </w:p>
        </w:tc>
        <w:tc>
          <w:tcPr>
            <w:vAlign w:val="center"/>
          </w:tcPr>
          <w:p>
            <w:pPr>
              <w:jc w:val="both"/>
            </w:pPr>
            <w:r>
              <w:rPr>
                <w:rFonts w:asciiTheme="minorEastAsia" w:eastAsiaTheme="minorEastAsia" w:hAnsiTheme="minorEastAsia"/>
                <w:color w:themeColor="text1" w:val="000000"/>
              </w:rPr>
              <w:t>刘辉先生，自2006年2月至2008年3月在华泰证券股份有限公司研究所担任研究员，2008年3月至2009年10月在东吴基金管理有限公司研究部担任高级研究员，2009年10月至2013年12月在汇丰晋信基金管理有限公司历任高级研究员、基金经理、权益投资部助理总监、助理投资总监，2013年12月至2015年6月在嘉实基金管理有限公司担任资深基金经理，2015年6月起加入上投摩根基金管理有限公司，历任国内权益投资部总监助理兼高级基金经理，现任国内权益投资部发现组组长兼资深基金经理。2016年1月起任上投摩根内需动力混合型证券投资基金基金经理，自2016年4月起同时担任上投摩根成长动力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 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 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内需动力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2020年三季度，市场对于中国经济持续复苏的预期较强，同时预期年初以来宽松流动性状况可能会回归到相对正常的状态。对应到资本市场的表现来看，顺应经济周期的行业以及三季度景气继续向上的行业取得了非常明显的超额收益，比如景气持续向好的光伏行业，以及受益于经济复苏预期的汽车行业。此外，具备低估值优势的非银金融行业也取得了很好的超额收益。</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三季度，面对宏观层面引发的市场预期变化，本基金对于持仓结构进行了适度的调整和优化。具体操作上，基金对于阶段性估值较高的医药、计算机等行业进行了一定程度的减持，同时加大了对于持续看好的新能源汽车产业、光伏产业的投资比例，以及增加了一些其它顺周期的成长股。总体来看，本基金在三季度取得了一定的投资成效。</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后市，我们判断导致当前A股市场上涨的内在基础并没有发生明显的变化。主要原因在于，尽管国内宽松的货币政策的确存在回归稳态的可能，但是全球流动性宽松的格局预计还将继续延续，未来A股市场的外资流入大概率会是一个持续不断地过程。具体来看，我们继续看好医疗健康产业的长期发展空间，看好内需为主的传媒、计算机行业，继续看好光伏、新能源汽车产业的长期发展空间，疫情虽然在短期影响了相关的需求，但是并没有改变其长期向好的发展趋势。最后，我们依然将会持续挖掘具备长期竞争力的优秀企业进行重点的投资，力争取得相对较好的投资回报。</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本报告期上投摩根内需动力混合份额净值增长率为:7.75%，同期业绩比较基准收益率为:8.20%。</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2,606,686,662.57</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91.46</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2,606,686,662.57</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91.46</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241,686,978.28</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8.48</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1,776,578.02</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0.06</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2,850,150,218.87</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76,336,734.02</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2.69</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2,007,100,629.06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70.78</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293,566,500.24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10.35</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167,653,555.28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5.91</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3,893,378.97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0.14</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58,135,865.00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2.05</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2,606,686,662.57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91.92</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601012</w:t>
            </w:r>
          </w:p>
        </w:tc>
        <w:tc>
          <w:tcPr>
            <w:vAlign w:val="center"/>
          </w:tcPr>
          <w:p>
            <w:pPr>
              <w:jc w:val="center"/>
            </w:pPr>
            <w:r>
              <w:rPr>
                <w:rFonts w:asciiTheme="minorEastAsia" w:cs="宋体" w:eastAsiaTheme="minorEastAsia" w:hAnsiTheme="minorEastAsia"/>
                <w:color w:themeColor="text1" w:val="000000"/>
                <w:kern w:val="0"/>
              </w:rPr>
              <w:t>隆基股份</w:t>
            </w:r>
          </w:p>
        </w:tc>
        <w:tc>
          <w:tcPr>
            <w:vAlign w:val="center"/>
          </w:tcPr>
          <w:p>
            <w:pPr>
              <w:jc w:val="right"/>
            </w:pPr>
            <w:r>
              <w:rPr>
                <w:rFonts w:asciiTheme="minorEastAsia" w:cs="宋体" w:eastAsiaTheme="minorEastAsia" w:hAnsiTheme="minorEastAsia"/>
                <w:color w:themeColor="text1" w:val="000000"/>
                <w:kern w:val="0"/>
              </w:rPr>
              <w:t>2,340,763</w:t>
            </w:r>
          </w:p>
        </w:tc>
        <w:tc>
          <w:tcPr>
            <w:vAlign w:val="center"/>
          </w:tcPr>
          <w:p>
            <w:pPr>
              <w:jc w:val="right"/>
            </w:pPr>
            <w:r>
              <w:rPr>
                <w:rFonts w:asciiTheme="minorEastAsia" w:cs="宋体" w:eastAsiaTheme="minorEastAsia" w:hAnsiTheme="minorEastAsia"/>
                <w:color w:themeColor="text1" w:val="000000"/>
                <w:kern w:val="0"/>
              </w:rPr>
              <w:t>175,580,632.63</w:t>
            </w:r>
          </w:p>
        </w:tc>
        <w:tc>
          <w:tcPr>
            <w:vAlign w:val="center"/>
          </w:tcPr>
          <w:p>
            <w:pPr>
              <w:jc w:val="right"/>
            </w:pPr>
            <w:r>
              <w:rPr>
                <w:rFonts w:asciiTheme="minorEastAsia" w:cs="宋体" w:eastAsiaTheme="minorEastAsia" w:hAnsiTheme="minorEastAsia"/>
                <w:color w:themeColor="text1" w:val="000000"/>
                <w:kern w:val="0"/>
              </w:rPr>
              <w:t>6.19</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002475</w:t>
            </w:r>
          </w:p>
        </w:tc>
        <w:tc>
          <w:tcPr>
            <w:vAlign w:val="center"/>
          </w:tcPr>
          <w:p>
            <w:pPr>
              <w:jc w:val="center"/>
            </w:pPr>
            <w:r>
              <w:rPr>
                <w:rFonts w:asciiTheme="minorEastAsia" w:cs="宋体" w:eastAsiaTheme="minorEastAsia" w:hAnsiTheme="minorEastAsia"/>
                <w:color w:themeColor="text1" w:val="000000"/>
                <w:kern w:val="0"/>
              </w:rPr>
              <w:t>立讯精密</w:t>
            </w:r>
          </w:p>
        </w:tc>
        <w:tc>
          <w:tcPr>
            <w:vAlign w:val="center"/>
          </w:tcPr>
          <w:p>
            <w:pPr>
              <w:jc w:val="right"/>
            </w:pPr>
            <w:r>
              <w:rPr>
                <w:rFonts w:asciiTheme="minorEastAsia" w:cs="宋体" w:eastAsiaTheme="minorEastAsia" w:hAnsiTheme="minorEastAsia"/>
                <w:color w:themeColor="text1" w:val="000000"/>
                <w:kern w:val="0"/>
              </w:rPr>
              <w:t>2,999,542</w:t>
            </w:r>
          </w:p>
        </w:tc>
        <w:tc>
          <w:tcPr>
            <w:vAlign w:val="center"/>
          </w:tcPr>
          <w:p>
            <w:pPr>
              <w:jc w:val="right"/>
            </w:pPr>
            <w:r>
              <w:rPr>
                <w:rFonts w:asciiTheme="minorEastAsia" w:cs="宋体" w:eastAsiaTheme="minorEastAsia" w:hAnsiTheme="minorEastAsia"/>
                <w:color w:themeColor="text1" w:val="000000"/>
                <w:kern w:val="0"/>
              </w:rPr>
              <w:t>171,363,834.46</w:t>
            </w:r>
          </w:p>
        </w:tc>
        <w:tc>
          <w:tcPr>
            <w:vAlign w:val="center"/>
          </w:tcPr>
          <w:p>
            <w:pPr>
              <w:jc w:val="right"/>
            </w:pPr>
            <w:r>
              <w:rPr>
                <w:rFonts w:asciiTheme="minorEastAsia" w:cs="宋体" w:eastAsiaTheme="minorEastAsia" w:hAnsiTheme="minorEastAsia"/>
                <w:color w:themeColor="text1" w:val="000000"/>
                <w:kern w:val="0"/>
              </w:rPr>
              <w:t>6.04</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601689</w:t>
            </w:r>
          </w:p>
        </w:tc>
        <w:tc>
          <w:tcPr>
            <w:vAlign w:val="center"/>
          </w:tcPr>
          <w:p>
            <w:pPr>
              <w:jc w:val="center"/>
            </w:pPr>
            <w:r>
              <w:rPr>
                <w:rFonts w:asciiTheme="minorEastAsia" w:cs="宋体" w:eastAsiaTheme="minorEastAsia" w:hAnsiTheme="minorEastAsia"/>
                <w:color w:themeColor="text1" w:val="000000"/>
                <w:kern w:val="0"/>
              </w:rPr>
              <w:t>拓普集团</w:t>
            </w:r>
          </w:p>
        </w:tc>
        <w:tc>
          <w:tcPr>
            <w:vAlign w:val="center"/>
          </w:tcPr>
          <w:p>
            <w:pPr>
              <w:jc w:val="right"/>
            </w:pPr>
            <w:r>
              <w:rPr>
                <w:rFonts w:asciiTheme="minorEastAsia" w:cs="宋体" w:eastAsiaTheme="minorEastAsia" w:hAnsiTheme="minorEastAsia"/>
                <w:color w:themeColor="text1" w:val="000000"/>
                <w:kern w:val="0"/>
              </w:rPr>
              <w:t>4,274,625</w:t>
            </w:r>
          </w:p>
        </w:tc>
        <w:tc>
          <w:tcPr>
            <w:vAlign w:val="center"/>
          </w:tcPr>
          <w:p>
            <w:pPr>
              <w:jc w:val="right"/>
            </w:pPr>
            <w:r>
              <w:rPr>
                <w:rFonts w:asciiTheme="minorEastAsia" w:cs="宋体" w:eastAsiaTheme="minorEastAsia" w:hAnsiTheme="minorEastAsia"/>
                <w:color w:themeColor="text1" w:val="000000"/>
                <w:kern w:val="0"/>
              </w:rPr>
              <w:t>170,985,000.00</w:t>
            </w:r>
          </w:p>
        </w:tc>
        <w:tc>
          <w:tcPr>
            <w:vAlign w:val="center"/>
          </w:tcPr>
          <w:p>
            <w:pPr>
              <w:jc w:val="right"/>
            </w:pPr>
            <w:r>
              <w:rPr>
                <w:rFonts w:asciiTheme="minorEastAsia" w:cs="宋体" w:eastAsiaTheme="minorEastAsia" w:hAnsiTheme="minorEastAsia"/>
                <w:color w:themeColor="text1" w:val="000000"/>
                <w:kern w:val="0"/>
              </w:rPr>
              <w:t>6.03</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000661</w:t>
            </w:r>
          </w:p>
        </w:tc>
        <w:tc>
          <w:tcPr>
            <w:vAlign w:val="center"/>
          </w:tcPr>
          <w:p>
            <w:pPr>
              <w:jc w:val="center"/>
            </w:pPr>
            <w:r>
              <w:rPr>
                <w:rFonts w:asciiTheme="minorEastAsia" w:cs="宋体" w:eastAsiaTheme="minorEastAsia" w:hAnsiTheme="minorEastAsia"/>
                <w:color w:themeColor="text1" w:val="000000"/>
                <w:kern w:val="0"/>
              </w:rPr>
              <w:t>长春高新</w:t>
            </w:r>
          </w:p>
        </w:tc>
        <w:tc>
          <w:tcPr>
            <w:vAlign w:val="center"/>
          </w:tcPr>
          <w:p>
            <w:pPr>
              <w:jc w:val="right"/>
            </w:pPr>
            <w:r>
              <w:rPr>
                <w:rFonts w:asciiTheme="minorEastAsia" w:cs="宋体" w:eastAsiaTheme="minorEastAsia" w:hAnsiTheme="minorEastAsia"/>
                <w:color w:themeColor="text1" w:val="000000"/>
                <w:kern w:val="0"/>
              </w:rPr>
              <w:t>460,440</w:t>
            </w:r>
          </w:p>
        </w:tc>
        <w:tc>
          <w:tcPr>
            <w:vAlign w:val="center"/>
          </w:tcPr>
          <w:p>
            <w:pPr>
              <w:jc w:val="right"/>
            </w:pPr>
            <w:r>
              <w:rPr>
                <w:rFonts w:asciiTheme="minorEastAsia" w:cs="宋体" w:eastAsiaTheme="minorEastAsia" w:hAnsiTheme="minorEastAsia"/>
                <w:color w:themeColor="text1" w:val="000000"/>
                <w:kern w:val="0"/>
              </w:rPr>
              <w:t>170,197,041.60</w:t>
            </w:r>
          </w:p>
        </w:tc>
        <w:tc>
          <w:tcPr>
            <w:vAlign w:val="center"/>
          </w:tcPr>
          <w:p>
            <w:pPr>
              <w:jc w:val="right"/>
            </w:pPr>
            <w:r>
              <w:rPr>
                <w:rFonts w:asciiTheme="minorEastAsia" w:cs="宋体" w:eastAsiaTheme="minorEastAsia" w:hAnsiTheme="minorEastAsia"/>
                <w:color w:themeColor="text1" w:val="000000"/>
                <w:kern w:val="0"/>
              </w:rPr>
              <w:t>6.00</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600570</w:t>
            </w:r>
          </w:p>
        </w:tc>
        <w:tc>
          <w:tcPr>
            <w:vAlign w:val="center"/>
          </w:tcPr>
          <w:p>
            <w:pPr>
              <w:jc w:val="center"/>
            </w:pPr>
            <w:r>
              <w:rPr>
                <w:rFonts w:asciiTheme="minorEastAsia" w:cs="宋体" w:eastAsiaTheme="minorEastAsia" w:hAnsiTheme="minorEastAsia"/>
                <w:color w:themeColor="text1" w:val="000000"/>
                <w:kern w:val="0"/>
              </w:rPr>
              <w:t>恒生电子</w:t>
            </w:r>
          </w:p>
        </w:tc>
        <w:tc>
          <w:tcPr>
            <w:vAlign w:val="center"/>
          </w:tcPr>
          <w:p>
            <w:pPr>
              <w:jc w:val="right"/>
            </w:pPr>
            <w:r>
              <w:rPr>
                <w:rFonts w:asciiTheme="minorEastAsia" w:cs="宋体" w:eastAsiaTheme="minorEastAsia" w:hAnsiTheme="minorEastAsia"/>
                <w:color w:themeColor="text1" w:val="000000"/>
                <w:kern w:val="0"/>
              </w:rPr>
              <w:t>1,710,871</w:t>
            </w:r>
          </w:p>
        </w:tc>
        <w:tc>
          <w:tcPr>
            <w:vAlign w:val="center"/>
          </w:tcPr>
          <w:p>
            <w:pPr>
              <w:jc w:val="right"/>
            </w:pPr>
            <w:r>
              <w:rPr>
                <w:rFonts w:asciiTheme="minorEastAsia" w:cs="宋体" w:eastAsiaTheme="minorEastAsia" w:hAnsiTheme="minorEastAsia"/>
                <w:color w:themeColor="text1" w:val="000000"/>
                <w:kern w:val="0"/>
              </w:rPr>
              <w:t>168,674,771.89</w:t>
            </w:r>
          </w:p>
        </w:tc>
        <w:tc>
          <w:tcPr>
            <w:vAlign w:val="center"/>
          </w:tcPr>
          <w:p>
            <w:pPr>
              <w:jc w:val="right"/>
            </w:pPr>
            <w:r>
              <w:rPr>
                <w:rFonts w:asciiTheme="minorEastAsia" w:cs="宋体" w:eastAsiaTheme="minorEastAsia" w:hAnsiTheme="minorEastAsia"/>
                <w:color w:themeColor="text1" w:val="000000"/>
                <w:kern w:val="0"/>
              </w:rPr>
              <w:t>5.95</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752,012</w:t>
            </w:r>
          </w:p>
        </w:tc>
        <w:tc>
          <w:tcPr>
            <w:vAlign w:val="center"/>
          </w:tcPr>
          <w:p>
            <w:pPr>
              <w:jc w:val="right"/>
            </w:pPr>
            <w:r>
              <w:rPr>
                <w:rFonts w:asciiTheme="minorEastAsia" w:cs="宋体" w:eastAsiaTheme="minorEastAsia" w:hAnsiTheme="minorEastAsia"/>
                <w:color w:themeColor="text1" w:val="000000"/>
                <w:kern w:val="0"/>
              </w:rPr>
              <w:t>167,653,555.28</w:t>
            </w:r>
          </w:p>
        </w:tc>
        <w:tc>
          <w:tcPr>
            <w:vAlign w:val="center"/>
          </w:tcPr>
          <w:p>
            <w:pPr>
              <w:jc w:val="right"/>
            </w:pPr>
            <w:r>
              <w:rPr>
                <w:rFonts w:asciiTheme="minorEastAsia" w:cs="宋体" w:eastAsiaTheme="minorEastAsia" w:hAnsiTheme="minorEastAsia"/>
                <w:color w:themeColor="text1" w:val="000000"/>
                <w:kern w:val="0"/>
              </w:rPr>
              <w:t>5.91</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603486</w:t>
            </w:r>
          </w:p>
        </w:tc>
        <w:tc>
          <w:tcPr>
            <w:vAlign w:val="center"/>
          </w:tcPr>
          <w:p>
            <w:pPr>
              <w:jc w:val="center"/>
            </w:pPr>
            <w:r>
              <w:rPr>
                <w:rFonts w:asciiTheme="minorEastAsia" w:cs="宋体" w:eastAsiaTheme="minorEastAsia" w:hAnsiTheme="minorEastAsia"/>
                <w:color w:themeColor="text1" w:val="000000"/>
                <w:kern w:val="0"/>
              </w:rPr>
              <w:t>科沃斯</w:t>
            </w:r>
          </w:p>
        </w:tc>
        <w:tc>
          <w:tcPr>
            <w:vAlign w:val="center"/>
          </w:tcPr>
          <w:p>
            <w:pPr>
              <w:jc w:val="right"/>
            </w:pPr>
            <w:r>
              <w:rPr>
                <w:rFonts w:asciiTheme="minorEastAsia" w:cs="宋体" w:eastAsiaTheme="minorEastAsia" w:hAnsiTheme="minorEastAsia"/>
                <w:color w:themeColor="text1" w:val="000000"/>
                <w:kern w:val="0"/>
              </w:rPr>
              <w:t>3,083,038</w:t>
            </w:r>
          </w:p>
        </w:tc>
        <w:tc>
          <w:tcPr>
            <w:vAlign w:val="center"/>
          </w:tcPr>
          <w:p>
            <w:pPr>
              <w:jc w:val="right"/>
            </w:pPr>
            <w:r>
              <w:rPr>
                <w:rFonts w:asciiTheme="minorEastAsia" w:cs="宋体" w:eastAsiaTheme="minorEastAsia" w:hAnsiTheme="minorEastAsia"/>
                <w:color w:themeColor="text1" w:val="000000"/>
                <w:kern w:val="0"/>
              </w:rPr>
              <w:t>142,713,829.02</w:t>
            </w:r>
          </w:p>
        </w:tc>
        <w:tc>
          <w:tcPr>
            <w:vAlign w:val="center"/>
          </w:tcPr>
          <w:p>
            <w:pPr>
              <w:jc w:val="right"/>
            </w:pPr>
            <w:r>
              <w:rPr>
                <w:rFonts w:asciiTheme="minorEastAsia" w:cs="宋体" w:eastAsiaTheme="minorEastAsia" w:hAnsiTheme="minorEastAsia"/>
                <w:color w:themeColor="text1" w:val="000000"/>
                <w:kern w:val="0"/>
              </w:rPr>
              <w:t>5.03</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 粮 液</w:t>
            </w:r>
          </w:p>
        </w:tc>
        <w:tc>
          <w:tcPr>
            <w:vAlign w:val="center"/>
          </w:tcPr>
          <w:p>
            <w:pPr>
              <w:jc w:val="right"/>
            </w:pPr>
            <w:r>
              <w:rPr>
                <w:rFonts w:asciiTheme="minorEastAsia" w:cs="宋体" w:eastAsiaTheme="minorEastAsia" w:hAnsiTheme="minorEastAsia"/>
                <w:color w:themeColor="text1" w:val="000000"/>
                <w:kern w:val="0"/>
              </w:rPr>
              <w:t>573,128</w:t>
            </w:r>
          </w:p>
        </w:tc>
        <w:tc>
          <w:tcPr>
            <w:vAlign w:val="center"/>
          </w:tcPr>
          <w:p>
            <w:pPr>
              <w:jc w:val="right"/>
            </w:pPr>
            <w:r>
              <w:rPr>
                <w:rFonts w:asciiTheme="minorEastAsia" w:cs="宋体" w:eastAsiaTheme="minorEastAsia" w:hAnsiTheme="minorEastAsia"/>
                <w:color w:themeColor="text1" w:val="000000"/>
                <w:kern w:val="0"/>
              </w:rPr>
              <w:t>126,661,288.00</w:t>
            </w:r>
          </w:p>
        </w:tc>
        <w:tc>
          <w:tcPr>
            <w:vAlign w:val="center"/>
          </w:tcPr>
          <w:p>
            <w:pPr>
              <w:jc w:val="right"/>
            </w:pPr>
            <w:r>
              <w:rPr>
                <w:rFonts w:asciiTheme="minorEastAsia" w:cs="宋体" w:eastAsiaTheme="minorEastAsia" w:hAnsiTheme="minorEastAsia"/>
                <w:color w:themeColor="text1" w:val="000000"/>
                <w:kern w:val="0"/>
              </w:rPr>
              <w:t>4.47</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300357</w:t>
            </w:r>
          </w:p>
        </w:tc>
        <w:tc>
          <w:tcPr>
            <w:vAlign w:val="center"/>
          </w:tcPr>
          <w:p>
            <w:pPr>
              <w:jc w:val="center"/>
            </w:pPr>
            <w:r>
              <w:rPr>
                <w:rFonts w:asciiTheme="minorEastAsia" w:cs="宋体" w:eastAsiaTheme="minorEastAsia" w:hAnsiTheme="minorEastAsia"/>
                <w:color w:themeColor="text1" w:val="000000"/>
                <w:kern w:val="0"/>
              </w:rPr>
              <w:t>我武生物</w:t>
            </w:r>
          </w:p>
        </w:tc>
        <w:tc>
          <w:tcPr>
            <w:vAlign w:val="center"/>
          </w:tcPr>
          <w:p>
            <w:pPr>
              <w:jc w:val="right"/>
            </w:pPr>
            <w:r>
              <w:rPr>
                <w:rFonts w:asciiTheme="minorEastAsia" w:cs="宋体" w:eastAsiaTheme="minorEastAsia" w:hAnsiTheme="minorEastAsia"/>
                <w:color w:themeColor="text1" w:val="000000"/>
                <w:kern w:val="0"/>
              </w:rPr>
              <w:t>2,169,342</w:t>
            </w:r>
          </w:p>
        </w:tc>
        <w:tc>
          <w:tcPr>
            <w:vAlign w:val="center"/>
          </w:tcPr>
          <w:p>
            <w:pPr>
              <w:jc w:val="right"/>
            </w:pPr>
            <w:r>
              <w:rPr>
                <w:rFonts w:asciiTheme="minorEastAsia" w:cs="宋体" w:eastAsiaTheme="minorEastAsia" w:hAnsiTheme="minorEastAsia"/>
                <w:color w:themeColor="text1" w:val="000000"/>
                <w:kern w:val="0"/>
              </w:rPr>
              <w:t>121,960,407.24</w:t>
            </w:r>
          </w:p>
        </w:tc>
        <w:tc>
          <w:tcPr>
            <w:vAlign w:val="center"/>
          </w:tcPr>
          <w:p>
            <w:pPr>
              <w:jc w:val="right"/>
            </w:pPr>
            <w:r>
              <w:rPr>
                <w:rFonts w:asciiTheme="minorEastAsia" w:cs="宋体" w:eastAsiaTheme="minorEastAsia" w:hAnsiTheme="minorEastAsia"/>
                <w:color w:themeColor="text1" w:val="000000"/>
                <w:kern w:val="0"/>
              </w:rPr>
              <w:t>4.30</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600519</w:t>
            </w:r>
          </w:p>
        </w:tc>
        <w:tc>
          <w:tcPr>
            <w:vAlign w:val="center"/>
          </w:tcPr>
          <w:p>
            <w:pPr>
              <w:jc w:val="center"/>
            </w:pPr>
            <w:r>
              <w:rPr>
                <w:rFonts w:asciiTheme="minorEastAsia" w:cs="宋体" w:eastAsiaTheme="minorEastAsia" w:hAnsiTheme="minorEastAsia"/>
                <w:color w:themeColor="text1" w:val="000000"/>
                <w:kern w:val="0"/>
              </w:rPr>
              <w:t>贵州茅台</w:t>
            </w:r>
          </w:p>
        </w:tc>
        <w:tc>
          <w:tcPr>
            <w:vAlign w:val="center"/>
          </w:tcPr>
          <w:p>
            <w:pPr>
              <w:jc w:val="right"/>
            </w:pPr>
            <w:r>
              <w:rPr>
                <w:rFonts w:asciiTheme="minorEastAsia" w:cs="宋体" w:eastAsiaTheme="minorEastAsia" w:hAnsiTheme="minorEastAsia"/>
                <w:color w:themeColor="text1" w:val="000000"/>
                <w:kern w:val="0"/>
              </w:rPr>
              <w:t>53,205</w:t>
            </w:r>
          </w:p>
        </w:tc>
        <w:tc>
          <w:tcPr>
            <w:vAlign w:val="center"/>
          </w:tcPr>
          <w:p>
            <w:pPr>
              <w:jc w:val="right"/>
            </w:pPr>
            <w:r>
              <w:rPr>
                <w:rFonts w:asciiTheme="minorEastAsia" w:cs="宋体" w:eastAsiaTheme="minorEastAsia" w:hAnsiTheme="minorEastAsia"/>
                <w:color w:themeColor="text1" w:val="000000"/>
                <w:kern w:val="0"/>
              </w:rPr>
              <w:t>88,772,542.50</w:t>
            </w:r>
          </w:p>
        </w:tc>
        <w:tc>
          <w:tcPr>
            <w:vAlign w:val="center"/>
          </w:tcPr>
          <w:p>
            <w:pPr>
              <w:jc w:val="right"/>
            </w:pPr>
            <w:r>
              <w:rPr>
                <w:rFonts w:asciiTheme="minorEastAsia" w:cs="宋体" w:eastAsiaTheme="minorEastAsia" w:hAnsiTheme="minorEastAsia"/>
                <w:color w:themeColor="text1" w:val="000000"/>
                <w:kern w:val="0"/>
              </w:rPr>
              <w:t>3.13</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1,067,524.40</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29,579.89</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679,473.73</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1,776,578.02</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因四舍五入的原因，投资组合报告中分项之和与合计数可能存在尾差。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2,270,594,097.33</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161,990,351.63</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401,366,760.50</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2,031,217,688.46</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1、中国证监会批准上投摩根内需动力混合型证券投资基金设立的文件；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2、《上投摩根内需动力混合型证券投资基金基金合同》；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3、《上投摩根内需动力混合型证券投资基金托管协议》；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4、《上投摩根开放式基金业务规则》；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5、基金管理人业务资格批件、营业执照； </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上投摩根内需动力混合型证券投资基金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