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E19DDA" w14:textId="77777777" w:rsidR="00F513D8" w:rsidRDefault="00F513D8">
      <w:pPr>
        <w:spacing w:line="360" w:lineRule="auto"/>
        <w:rPr>
          <w:rFonts w:ascii="宋体" w:hAnsi="宋体" w:hint="eastAsia"/>
          <w:sz w:val="48"/>
        </w:rPr>
      </w:pPr>
      <w:r>
        <w:rPr>
          <w:rFonts w:ascii="宋体" w:hAnsi="宋体" w:hint="eastAsia"/>
          <w:sz w:val="48"/>
        </w:rPr>
        <w:t xml:space="preserve">　 </w:t>
      </w:r>
    </w:p>
    <w:p w14:paraId="73716A24" w14:textId="77777777" w:rsidR="00F513D8" w:rsidRDefault="00F513D8">
      <w:pPr>
        <w:spacing w:line="360" w:lineRule="auto"/>
        <w:rPr>
          <w:rFonts w:ascii="宋体" w:hAnsi="宋体" w:hint="eastAsia"/>
          <w:sz w:val="48"/>
        </w:rPr>
      </w:pPr>
      <w:r>
        <w:rPr>
          <w:rFonts w:ascii="宋体" w:hAnsi="宋体" w:hint="eastAsia"/>
          <w:sz w:val="48"/>
        </w:rPr>
        <w:t xml:space="preserve">　 </w:t>
      </w:r>
    </w:p>
    <w:p w14:paraId="6101DEE3" w14:textId="77777777" w:rsidR="00F513D8" w:rsidRDefault="00F513D8">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摩根亚太优势混合型证券投资基金(QDII)</w:t>
      </w:r>
      <w:r>
        <w:rPr>
          <w:rFonts w:ascii="宋体" w:hAnsi="宋体" w:hint="eastAsia"/>
          <w:b/>
          <w:bCs/>
          <w:sz w:val="48"/>
          <w:szCs w:val="48"/>
        </w:rPr>
        <w:br/>
        <w:t>2025年第2季度报告</w:t>
      </w:r>
    </w:p>
    <w:p w14:paraId="1FD09564" w14:textId="77777777" w:rsidR="00F513D8" w:rsidRDefault="00F513D8">
      <w:pPr>
        <w:spacing w:line="360" w:lineRule="auto"/>
        <w:jc w:val="center"/>
        <w:rPr>
          <w:rFonts w:ascii="宋体" w:hAnsi="宋体" w:hint="eastAsia"/>
          <w:b/>
          <w:bCs/>
          <w:sz w:val="28"/>
          <w:szCs w:val="30"/>
        </w:rPr>
      </w:pPr>
      <w:r>
        <w:rPr>
          <w:rFonts w:ascii="宋体" w:hAnsi="宋体" w:hint="eastAsia"/>
          <w:b/>
          <w:bCs/>
          <w:sz w:val="28"/>
          <w:szCs w:val="30"/>
        </w:rPr>
        <w:t xml:space="preserve">　 </w:t>
      </w:r>
    </w:p>
    <w:p w14:paraId="1FFFD886" w14:textId="77777777" w:rsidR="00F513D8" w:rsidRDefault="00F513D8">
      <w:pPr>
        <w:spacing w:line="360" w:lineRule="auto"/>
        <w:jc w:val="center"/>
      </w:pPr>
      <w:r>
        <w:rPr>
          <w:rFonts w:ascii="宋体" w:hAnsi="宋体" w:hint="eastAsia"/>
          <w:b/>
          <w:bCs/>
          <w:sz w:val="28"/>
          <w:szCs w:val="30"/>
        </w:rPr>
        <w:t>2025年6月30日</w:t>
      </w:r>
    </w:p>
    <w:p w14:paraId="35225330" w14:textId="77777777" w:rsidR="00F513D8" w:rsidRDefault="00F513D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0DE2F5C" w14:textId="77777777" w:rsidR="00F513D8" w:rsidRDefault="00F513D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66CB8482" w14:textId="77777777" w:rsidR="00F513D8" w:rsidRDefault="00F513D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8A74FE3" w14:textId="77777777" w:rsidR="00F513D8" w:rsidRDefault="00F513D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35B0828B" w14:textId="77777777" w:rsidR="00F513D8" w:rsidRDefault="00F513D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4F8CE87C" w14:textId="77777777" w:rsidR="00F513D8" w:rsidRDefault="00F513D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6BBFBCA7" w14:textId="77777777" w:rsidR="00F513D8" w:rsidRDefault="00F513D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35B54A2E" w14:textId="77777777" w:rsidR="00F513D8" w:rsidRDefault="00F513D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6EB95C4" w14:textId="77777777" w:rsidR="00F513D8" w:rsidRDefault="00F513D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6DD2585" w14:textId="77777777" w:rsidR="00F513D8" w:rsidRDefault="00F513D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3CF52453" w14:textId="77777777" w:rsidR="00F513D8" w:rsidRDefault="00F513D8">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37F6928" w14:textId="77777777" w:rsidR="00F513D8" w:rsidRDefault="00F513D8">
      <w:pPr>
        <w:spacing w:line="360" w:lineRule="auto"/>
        <w:ind w:firstLineChars="800" w:firstLine="2249"/>
        <w:jc w:val="left"/>
      </w:pPr>
      <w:r>
        <w:rPr>
          <w:rFonts w:ascii="宋体" w:hAnsi="宋体" w:hint="eastAsia"/>
          <w:b/>
          <w:bCs/>
          <w:sz w:val="28"/>
          <w:szCs w:val="30"/>
        </w:rPr>
        <w:t>基金管理人：摩根基金管理（中国）有限公司</w:t>
      </w:r>
    </w:p>
    <w:p w14:paraId="69F1F7AC" w14:textId="77777777" w:rsidR="00F513D8" w:rsidRDefault="00F513D8">
      <w:pPr>
        <w:spacing w:line="360" w:lineRule="auto"/>
        <w:ind w:firstLineChars="800" w:firstLine="2249"/>
        <w:jc w:val="left"/>
      </w:pPr>
      <w:r>
        <w:rPr>
          <w:rFonts w:ascii="宋体" w:hAnsi="宋体" w:hint="eastAsia"/>
          <w:b/>
          <w:bCs/>
          <w:sz w:val="28"/>
          <w:szCs w:val="30"/>
        </w:rPr>
        <w:t>基金托管人：中国工商银行股份有限公司</w:t>
      </w:r>
    </w:p>
    <w:p w14:paraId="02B78104" w14:textId="77777777" w:rsidR="00F513D8" w:rsidRDefault="00F513D8">
      <w:pPr>
        <w:spacing w:line="360" w:lineRule="auto"/>
        <w:ind w:firstLineChars="800" w:firstLine="2249"/>
        <w:jc w:val="left"/>
      </w:pPr>
      <w:r>
        <w:rPr>
          <w:rFonts w:ascii="宋体" w:hAnsi="宋体" w:hint="eastAsia"/>
          <w:b/>
          <w:bCs/>
          <w:sz w:val="28"/>
          <w:szCs w:val="30"/>
        </w:rPr>
        <w:t>报告送出日期：2025年7月21日</w:t>
      </w:r>
    </w:p>
    <w:p w14:paraId="54DD2FC6" w14:textId="77777777" w:rsidR="00F513D8" w:rsidRDefault="00F513D8">
      <w:pPr>
        <w:pStyle w:val="XBRLTitle1"/>
        <w:spacing w:before="156"/>
        <w:ind w:left="425"/>
        <w:rPr>
          <w:rFonts w:hint="eastAsia"/>
        </w:rPr>
      </w:pPr>
      <w:r>
        <w:rPr>
          <w:rFonts w:cs="宋体" w:hint="eastAsia"/>
          <w:color w:val="404040"/>
          <w:kern w:val="0"/>
        </w:rPr>
        <w:br w:type="page"/>
      </w:r>
      <w:bookmarkStart w:id="7" w:name="_Toc514088243"/>
      <w:bookmarkStart w:id="8" w:name="_Toc480465412"/>
      <w:bookmarkStart w:id="9" w:name="_Toc448480282"/>
      <w:bookmarkStart w:id="10" w:name="_Toc438654070"/>
      <w:bookmarkStart w:id="11" w:name="_Toc456107117"/>
      <w:bookmarkStart w:id="12" w:name="_Toc459213763"/>
      <w:bookmarkStart w:id="13" w:name="_Toc513542644"/>
      <w:bookmarkStart w:id="14" w:name="_Toc512696250"/>
      <w:bookmarkStart w:id="15" w:name="_Toc512612253"/>
      <w:bookmarkStart w:id="16" w:name="_Toc512612077"/>
      <w:bookmarkStart w:id="17" w:name="_Toc512611281"/>
      <w:bookmarkStart w:id="18" w:name="m101"/>
      <w:r>
        <w:rPr>
          <w:rFonts w:hint="eastAsia"/>
        </w:rPr>
        <w:lastRenderedPageBreak/>
        <w:t>重要提示</w:t>
      </w:r>
      <w:bookmarkEnd w:id="7"/>
      <w:bookmarkEnd w:id="8"/>
      <w:bookmarkEnd w:id="9"/>
      <w:bookmarkEnd w:id="10"/>
      <w:bookmarkEnd w:id="11"/>
      <w:bookmarkEnd w:id="12"/>
      <w:bookmarkEnd w:id="13"/>
      <w:bookmarkEnd w:id="14"/>
      <w:bookmarkEnd w:id="15"/>
      <w:bookmarkEnd w:id="16"/>
      <w:bookmarkEnd w:id="17"/>
    </w:p>
    <w:p w14:paraId="447E970C" w14:textId="77777777" w:rsidR="00F513D8" w:rsidRDefault="00F513D8">
      <w:pPr>
        <w:spacing w:line="360" w:lineRule="auto"/>
        <w:ind w:firstLineChars="200" w:firstLine="420"/>
        <w:divId w:val="1041589114"/>
      </w:pPr>
      <w:bookmarkStart w:id="19" w:name="m502"/>
      <w:bookmarkStart w:id="20" w:name="_Toc438646470"/>
      <w:bookmarkStart w:id="21" w:name="m504"/>
      <w:bookmarkStart w:id="22" w:name="m08QD_01"/>
      <w:bookmarkStart w:id="23" w:name="_Toc194311890"/>
      <w:bookmarkStart w:id="24" w:name="m201"/>
      <w:bookmarkStart w:id="25"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47758937" w14:textId="77777777" w:rsidR="00F513D8" w:rsidRDefault="00F513D8">
      <w:pPr>
        <w:pStyle w:val="XBRLTitle1"/>
        <w:spacing w:before="156"/>
        <w:ind w:left="425"/>
        <w:rPr>
          <w:rFonts w:hint="eastAsia"/>
        </w:rPr>
      </w:pPr>
      <w:bookmarkStart w:id="26" w:name="_Toc514088244"/>
      <w:bookmarkStart w:id="27" w:name="_Toc480465413"/>
      <w:bookmarkStart w:id="28" w:name="_Toc448480283"/>
      <w:bookmarkStart w:id="29" w:name="_Toc438654071"/>
      <w:bookmarkStart w:id="30" w:name="_Toc456107118"/>
      <w:bookmarkStart w:id="31" w:name="_Toc459213764"/>
      <w:bookmarkStart w:id="32" w:name="_Toc513542645"/>
      <w:bookmarkStart w:id="33" w:name="_Toc512696251"/>
      <w:bookmarkStart w:id="34" w:name="_Toc512612254"/>
      <w:bookmarkStart w:id="35" w:name="_Toc512612078"/>
      <w:bookmarkStart w:id="36" w:name="_Toc512611282"/>
      <w:r>
        <w:rPr>
          <w:rFonts w:hint="eastAsia"/>
        </w:rPr>
        <w:t>基金产品概况</w:t>
      </w:r>
      <w:bookmarkEnd w:id="26"/>
      <w:bookmarkEnd w:id="27"/>
      <w:bookmarkEnd w:id="28"/>
      <w:bookmarkEnd w:id="29"/>
      <w:bookmarkEnd w:id="30"/>
      <w:bookmarkEnd w:id="31"/>
      <w:bookmarkEnd w:id="32"/>
      <w:bookmarkEnd w:id="33"/>
      <w:bookmarkEnd w:id="34"/>
      <w:bookmarkEnd w:id="35"/>
      <w:bookmarkEnd w:id="36"/>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9142D6" w14:paraId="4A571F4B" w14:textId="77777777">
        <w:trPr>
          <w:divId w:val="693578316"/>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1DE55E" w14:textId="77777777" w:rsidR="00F513D8" w:rsidRDefault="00F513D8">
            <w:pPr>
              <w:spacing w:line="360" w:lineRule="auto"/>
              <w:jc w:val="left"/>
            </w:pPr>
            <w:bookmarkStart w:id="37" w:name="OLE_LINK1"/>
            <w:bookmarkEnd w:id="18"/>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4E738" w14:textId="77777777" w:rsidR="00F513D8" w:rsidRDefault="00F513D8">
            <w:pPr>
              <w:spacing w:line="360" w:lineRule="auto"/>
              <w:jc w:val="left"/>
            </w:pPr>
            <w:r>
              <w:rPr>
                <w:rFonts w:ascii="宋体" w:hAnsi="宋体" w:hint="eastAsia"/>
                <w:szCs w:val="24"/>
                <w:lang w:eastAsia="zh-Hans"/>
              </w:rPr>
              <w:t>摩根亚太优势混合(QDII)</w:t>
            </w:r>
            <w:r>
              <w:rPr>
                <w:rFonts w:ascii="宋体" w:hAnsi="宋体" w:hint="eastAsia"/>
                <w:lang w:eastAsia="zh-Hans"/>
              </w:rPr>
              <w:t xml:space="preserve"> </w:t>
            </w:r>
          </w:p>
        </w:tc>
      </w:tr>
      <w:tr w:rsidR="009142D6" w14:paraId="12E26331" w14:textId="77777777">
        <w:trPr>
          <w:divId w:val="69357831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5869D3" w14:textId="77777777" w:rsidR="00F513D8" w:rsidRDefault="00F513D8">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07481" w14:textId="77777777" w:rsidR="00F513D8" w:rsidRDefault="00F513D8">
            <w:pPr>
              <w:spacing w:line="360" w:lineRule="auto"/>
              <w:jc w:val="left"/>
            </w:pPr>
            <w:r>
              <w:rPr>
                <w:rFonts w:ascii="宋体" w:hAnsi="宋体" w:hint="eastAsia"/>
                <w:lang w:eastAsia="zh-Hans"/>
              </w:rPr>
              <w:t>377016</w:t>
            </w:r>
          </w:p>
        </w:tc>
      </w:tr>
      <w:tr w:rsidR="009142D6" w14:paraId="752665B9" w14:textId="77777777">
        <w:trPr>
          <w:divId w:val="69357831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3F89D" w14:textId="77777777" w:rsidR="00F513D8" w:rsidRDefault="00F513D8">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656026" w14:textId="77777777" w:rsidR="00F513D8" w:rsidRDefault="00F513D8">
            <w:pPr>
              <w:spacing w:line="360" w:lineRule="auto"/>
              <w:jc w:val="left"/>
            </w:pPr>
            <w:r>
              <w:rPr>
                <w:rFonts w:ascii="宋体" w:hAnsi="宋体" w:hint="eastAsia"/>
                <w:lang w:eastAsia="zh-Hans"/>
              </w:rPr>
              <w:t>契约型开放式</w:t>
            </w:r>
          </w:p>
        </w:tc>
      </w:tr>
      <w:tr w:rsidR="009142D6" w14:paraId="147B5DAE" w14:textId="77777777">
        <w:trPr>
          <w:divId w:val="69357831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1954D4" w14:textId="77777777" w:rsidR="00F513D8" w:rsidRDefault="00F513D8">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D83523" w14:textId="77777777" w:rsidR="00F513D8" w:rsidRDefault="00F513D8">
            <w:pPr>
              <w:spacing w:line="360" w:lineRule="auto"/>
              <w:jc w:val="left"/>
            </w:pPr>
            <w:r>
              <w:rPr>
                <w:rFonts w:ascii="宋体" w:hAnsi="宋体" w:hint="eastAsia"/>
                <w:lang w:eastAsia="zh-Hans"/>
              </w:rPr>
              <w:t>2007年10月22日</w:t>
            </w:r>
          </w:p>
        </w:tc>
      </w:tr>
      <w:tr w:rsidR="009142D6" w14:paraId="47FC2687" w14:textId="77777777">
        <w:trPr>
          <w:divId w:val="69357831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58725" w14:textId="77777777" w:rsidR="00F513D8" w:rsidRDefault="00F513D8">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DE735A" w14:textId="77777777" w:rsidR="00F513D8" w:rsidRDefault="00F513D8">
            <w:pPr>
              <w:spacing w:line="360" w:lineRule="auto"/>
              <w:jc w:val="left"/>
            </w:pPr>
            <w:r>
              <w:rPr>
                <w:rFonts w:ascii="宋体" w:hAnsi="宋体" w:hint="eastAsia"/>
                <w:lang w:eastAsia="zh-Hans"/>
              </w:rPr>
              <w:t>2,346,514,682.60</w:t>
            </w:r>
            <w:r>
              <w:rPr>
                <w:rFonts w:asciiTheme="minorHAnsi" w:eastAsiaTheme="minorEastAsia" w:hAnsiTheme="minorHAnsi" w:hint="eastAsia"/>
              </w:rPr>
              <w:t>份</w:t>
            </w:r>
            <w:r>
              <w:rPr>
                <w:rFonts w:ascii="宋体" w:hAnsi="宋体" w:hint="eastAsia"/>
                <w:lang w:eastAsia="zh-Hans"/>
              </w:rPr>
              <w:t xml:space="preserve"> </w:t>
            </w:r>
          </w:p>
        </w:tc>
      </w:tr>
      <w:tr w:rsidR="009142D6" w14:paraId="04DD6F9D" w14:textId="77777777">
        <w:trPr>
          <w:divId w:val="69357831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5ED2EC" w14:textId="77777777" w:rsidR="00F513D8" w:rsidRDefault="00F513D8">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CE8551" w14:textId="77777777" w:rsidR="00F513D8" w:rsidRDefault="00F513D8">
            <w:pPr>
              <w:spacing w:line="360" w:lineRule="auto"/>
              <w:jc w:val="left"/>
            </w:pPr>
            <w:r>
              <w:rPr>
                <w:rFonts w:ascii="宋体" w:hAnsi="宋体" w:hint="eastAsia"/>
                <w:lang w:eastAsia="zh-Hans"/>
              </w:rPr>
              <w:t>本基金主要投资于亚太地区证券市场以及在其他证券市场交易的亚太企业，投资市场包括但不限于澳大利亚、韩国、香港、印度及新加坡等区域证券市场（日本除外），分散投资风险并追求基金资产稳定增值。</w:t>
            </w:r>
          </w:p>
        </w:tc>
      </w:tr>
      <w:tr w:rsidR="009142D6" w14:paraId="41584D29" w14:textId="77777777">
        <w:trPr>
          <w:divId w:val="69357831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F7ED3" w14:textId="77777777" w:rsidR="00F513D8" w:rsidRDefault="00F513D8">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81459B" w14:textId="77777777" w:rsidR="00F513D8" w:rsidRDefault="00F513D8">
            <w:pPr>
              <w:spacing w:line="360" w:lineRule="auto"/>
              <w:jc w:val="left"/>
            </w:pPr>
            <w:r>
              <w:rPr>
                <w:rFonts w:ascii="宋体" w:hAnsi="宋体" w:hint="eastAsia"/>
                <w:lang w:eastAsia="zh-Hans"/>
              </w:rPr>
              <w:t>本基金在投资过程中注重各区域市场环境、政经前景分析，并强调公司品质与成长性的结合。首先在亚太地区经济发展格局下，通过自上而下分析，甄别不同国家与地区、行业与板块的投资机会，首先考虑国家与地区的资产配置，决定行业与板块的基本布局，并从中初步筛选出具有国际比较优势的大盘蓝筹公司，同时采取自下而上的选股策略，注重个股成长性指标分析，挖掘拥有更佳成长特性的公司，构建成长型公司股票池。最后通过深入的相对价值评估，形成优化的核心投资组合。在</w:t>
            </w:r>
            <w:r>
              <w:rPr>
                <w:rFonts w:ascii="宋体" w:hAnsi="宋体" w:hint="eastAsia"/>
                <w:lang w:eastAsia="zh-Hans"/>
              </w:rPr>
              <w:lastRenderedPageBreak/>
              <w:t>固定收益类投资部分，其资产布局坚持安全性、流动性和收益性为资产配置原则,并结合现金管理、货币市场工具等来制订具体策略。</w:t>
            </w:r>
            <w:r>
              <w:rPr>
                <w:rFonts w:ascii="宋体" w:hAnsi="宋体" w:hint="eastAsia"/>
                <w:lang w:eastAsia="zh-Hans"/>
              </w:rPr>
              <w:br/>
              <w:t>1、股票投资策略</w:t>
            </w:r>
            <w:r>
              <w:rPr>
                <w:rFonts w:ascii="宋体" w:hAnsi="宋体" w:hint="eastAsia"/>
                <w:lang w:eastAsia="zh-Hans"/>
              </w:rPr>
              <w:br/>
              <w:t>具体策略而言，本基金将区域市场行业发展趋势与公司价值判断纳入全球经济综合研究范畴，深入分析公司所处的区域环境、经济景气、行业特性、竞争优势、治理结构等要素，力求准确把握不同国家与地区，以及行业与公司的比较优势，最终实现公司内在价值的合理评估、投资组合配置策略的正确实施。</w:t>
            </w:r>
            <w:r>
              <w:rPr>
                <w:rFonts w:ascii="宋体" w:hAnsi="宋体" w:hint="eastAsia"/>
                <w:lang w:eastAsia="zh-Hans"/>
              </w:rPr>
              <w:br/>
              <w:t>公司的行业地位、产品优势、经营战略、创新意识等赋予企业内生增长的动力，公司的净资产收益率、每股净资产增长率、每股经营性现金流、利润增长率与市盈率之比等财务指标对公司成长性判断提供量化分析标准，本基金将通过上述各种因素对公司的成长性进行综合分析，挖掘具备更佳成长性能的公司。</w:t>
            </w:r>
            <w:r>
              <w:rPr>
                <w:rFonts w:ascii="宋体" w:hAnsi="宋体" w:hint="eastAsia"/>
                <w:lang w:eastAsia="zh-Hans"/>
              </w:rPr>
              <w:br/>
              <w:t>2、固定收益类投资策略</w:t>
            </w:r>
            <w:r>
              <w:rPr>
                <w:rFonts w:ascii="宋体" w:hAnsi="宋体" w:hint="eastAsia"/>
                <w:lang w:eastAsia="zh-Hans"/>
              </w:rPr>
              <w:br/>
              <w:t>本基金固定收益类投资主要目的是风险防御及现金替代性管理，一般不做积极主动性资产配置。固定收益类品种投资将坚持安全性、流动性和收益性为资产配置原则,在投资方向上主要借助短期金融工具，同时结合亚太区具备投资等级的政府债券、公司债券等来制订具体策略，完善资产布局。</w:t>
            </w:r>
            <w:r>
              <w:rPr>
                <w:rFonts w:ascii="宋体" w:hAnsi="宋体" w:hint="eastAsia"/>
                <w:lang w:eastAsia="zh-Hans"/>
              </w:rPr>
              <w:br/>
              <w:t>3、其他投资策略：包括多币种管理策略、衍生品投资策略。</w:t>
            </w:r>
          </w:p>
        </w:tc>
      </w:tr>
      <w:tr w:rsidR="009142D6" w14:paraId="2FB35B83" w14:textId="77777777">
        <w:trPr>
          <w:divId w:val="69357831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94EF7D" w14:textId="77777777" w:rsidR="00F513D8" w:rsidRDefault="00F513D8">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B48732" w14:textId="77777777" w:rsidR="00F513D8" w:rsidRDefault="00F513D8">
            <w:pPr>
              <w:spacing w:line="360" w:lineRule="auto"/>
              <w:jc w:val="left"/>
            </w:pPr>
            <w:r>
              <w:rPr>
                <w:rFonts w:ascii="宋体" w:hAnsi="宋体" w:hint="eastAsia"/>
                <w:lang w:eastAsia="zh-Hans"/>
              </w:rPr>
              <w:t>本基金的业绩比较基准为：摩根斯坦利综合亚太指数（不含日本）（MSCI　AC　Asia　Pacific　Index　ex　Japan）。</w:t>
            </w:r>
          </w:p>
        </w:tc>
      </w:tr>
      <w:tr w:rsidR="009142D6" w14:paraId="460A9E58" w14:textId="77777777">
        <w:trPr>
          <w:divId w:val="69357831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CA7BF9" w14:textId="77777777" w:rsidR="00F513D8" w:rsidRDefault="00F513D8">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02A899" w14:textId="77777777" w:rsidR="00F513D8" w:rsidRDefault="00F513D8">
            <w:pPr>
              <w:spacing w:line="360" w:lineRule="auto"/>
              <w:jc w:val="left"/>
            </w:pPr>
            <w:r>
              <w:rPr>
                <w:rFonts w:ascii="宋体" w:hAnsi="宋体" w:hint="eastAsia"/>
                <w:lang w:eastAsia="zh-Hans"/>
              </w:rPr>
              <w:t>本基金为区域性混合型证券投资基金，基金投资风险收益水平低于股票型基金，高于债券型基金和平衡型基金。由于投资国家与地区市场的分散，风险低于投资单一市场的混合型基金。</w:t>
            </w:r>
          </w:p>
        </w:tc>
      </w:tr>
      <w:tr w:rsidR="009142D6" w14:paraId="3C3273E6" w14:textId="77777777">
        <w:trPr>
          <w:divId w:val="693578316"/>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9689E" w14:textId="77777777" w:rsidR="00F513D8" w:rsidRDefault="00F513D8">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DF364A" w14:textId="77777777" w:rsidR="00F513D8" w:rsidRDefault="00F513D8">
            <w:pPr>
              <w:spacing w:line="360" w:lineRule="auto"/>
              <w:jc w:val="left"/>
            </w:pPr>
            <w:r>
              <w:rPr>
                <w:rFonts w:ascii="宋体" w:hAnsi="宋体" w:hint="eastAsia"/>
                <w:lang w:eastAsia="zh-Hans"/>
              </w:rPr>
              <w:t>摩根基金管理（中国）有限公司</w:t>
            </w:r>
          </w:p>
        </w:tc>
      </w:tr>
      <w:tr w:rsidR="009142D6" w14:paraId="346D64B3" w14:textId="77777777">
        <w:trPr>
          <w:divId w:val="693578316"/>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950F2D" w14:textId="77777777" w:rsidR="00F513D8" w:rsidRDefault="00F513D8">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41C45" w14:textId="77777777" w:rsidR="00F513D8" w:rsidRDefault="00F513D8">
            <w:pPr>
              <w:spacing w:line="360" w:lineRule="auto"/>
              <w:jc w:val="left"/>
            </w:pPr>
            <w:r>
              <w:rPr>
                <w:rFonts w:ascii="宋体" w:hAnsi="宋体" w:hint="eastAsia"/>
                <w:lang w:eastAsia="zh-Hans"/>
              </w:rPr>
              <w:t>中国工商银行股份有限公司</w:t>
            </w:r>
          </w:p>
        </w:tc>
      </w:tr>
      <w:tr w:rsidR="009142D6" w14:paraId="7055FE7A" w14:textId="77777777">
        <w:trPr>
          <w:divId w:val="693578316"/>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BCF480" w14:textId="77777777" w:rsidR="00F513D8" w:rsidRDefault="00F513D8">
            <w:pPr>
              <w:spacing w:line="360" w:lineRule="auto"/>
              <w:jc w:val="left"/>
            </w:pPr>
            <w:bookmarkStart w:id="38" w:name="m02_01" w:colFirst="1" w:colLast="2"/>
            <w:r>
              <w:rPr>
                <w:rFonts w:ascii="宋体" w:hAnsi="宋体" w:hint="eastAsia"/>
              </w:rPr>
              <w:lastRenderedPageBreak/>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FCCBA8" w14:textId="77777777" w:rsidR="00F513D8" w:rsidRDefault="00F513D8">
            <w:pPr>
              <w:spacing w:line="360" w:lineRule="auto"/>
              <w:jc w:val="center"/>
            </w:pPr>
            <w:r>
              <w:rPr>
                <w:rFonts w:ascii="宋体" w:hAnsi="宋体" w:hint="eastAsia"/>
                <w:lang w:eastAsia="zh-Hans"/>
              </w:rPr>
              <w:t>摩根亚太优势混合(QDII)A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DE139" w14:textId="77777777" w:rsidR="00F513D8" w:rsidRDefault="00F513D8">
            <w:pPr>
              <w:spacing w:line="360" w:lineRule="auto"/>
              <w:jc w:val="center"/>
            </w:pPr>
            <w:r>
              <w:rPr>
                <w:rFonts w:ascii="宋体" w:hAnsi="宋体" w:hint="eastAsia"/>
                <w:lang w:eastAsia="zh-Hans"/>
              </w:rPr>
              <w:t>摩根亚太优势混合(QDII)C</w:t>
            </w:r>
            <w:r>
              <w:rPr>
                <w:rFonts w:ascii="宋体" w:hAnsi="宋体" w:hint="eastAsia"/>
                <w:kern w:val="0"/>
                <w:sz w:val="20"/>
                <w:lang w:eastAsia="zh-Hans"/>
              </w:rPr>
              <w:t xml:space="preserve"> </w:t>
            </w:r>
          </w:p>
        </w:tc>
      </w:tr>
      <w:tr w:rsidR="009142D6" w14:paraId="54282116" w14:textId="77777777">
        <w:trPr>
          <w:divId w:val="693578316"/>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10860F" w14:textId="77777777" w:rsidR="00F513D8" w:rsidRDefault="00F513D8">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AF3AB1D" w14:textId="77777777" w:rsidR="00F513D8" w:rsidRDefault="00F513D8">
            <w:pPr>
              <w:spacing w:line="360" w:lineRule="auto"/>
              <w:jc w:val="center"/>
            </w:pPr>
            <w:r>
              <w:rPr>
                <w:rFonts w:ascii="宋体" w:hAnsi="宋体" w:hint="eastAsia"/>
                <w:lang w:eastAsia="zh-Hans"/>
              </w:rPr>
              <w:t>377016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F8642F" w14:textId="77777777" w:rsidR="00F513D8" w:rsidRDefault="00F513D8">
            <w:pPr>
              <w:spacing w:line="360" w:lineRule="auto"/>
              <w:jc w:val="center"/>
            </w:pPr>
            <w:r>
              <w:rPr>
                <w:rFonts w:ascii="宋体" w:hAnsi="宋体" w:hint="eastAsia"/>
                <w:lang w:eastAsia="zh-Hans"/>
              </w:rPr>
              <w:t>019641</w:t>
            </w:r>
            <w:r>
              <w:rPr>
                <w:rFonts w:ascii="宋体" w:hAnsi="宋体" w:hint="eastAsia"/>
                <w:kern w:val="0"/>
                <w:sz w:val="20"/>
                <w:lang w:eastAsia="zh-Hans"/>
              </w:rPr>
              <w:t xml:space="preserve"> </w:t>
            </w:r>
          </w:p>
        </w:tc>
      </w:tr>
      <w:bookmarkEnd w:id="38"/>
      <w:tr w:rsidR="009142D6" w14:paraId="329AADAB" w14:textId="77777777">
        <w:trPr>
          <w:divId w:val="693578316"/>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8A23CF" w14:textId="77777777" w:rsidR="00F513D8" w:rsidRDefault="00F513D8">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8C80D6" w14:textId="77777777" w:rsidR="00F513D8" w:rsidRDefault="00F513D8">
            <w:pPr>
              <w:spacing w:line="360" w:lineRule="auto"/>
              <w:jc w:val="center"/>
            </w:pPr>
            <w:r>
              <w:rPr>
                <w:rFonts w:ascii="宋体" w:hAnsi="宋体" w:hint="eastAsia"/>
                <w:lang w:eastAsia="zh-Hans"/>
              </w:rPr>
              <w:t>2,344,540,000.01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753E8" w14:textId="77777777" w:rsidR="00F513D8" w:rsidRDefault="00F513D8">
            <w:pPr>
              <w:spacing w:line="360" w:lineRule="auto"/>
              <w:jc w:val="center"/>
            </w:pPr>
            <w:r>
              <w:rPr>
                <w:rFonts w:ascii="宋体" w:hAnsi="宋体" w:hint="eastAsia"/>
                <w:lang w:eastAsia="zh-Hans"/>
              </w:rPr>
              <w:t>1,974,682.59</w:t>
            </w:r>
            <w:r>
              <w:rPr>
                <w:rFonts w:hint="eastAsia"/>
              </w:rPr>
              <w:t>份</w:t>
            </w:r>
            <w:r>
              <w:rPr>
                <w:rFonts w:ascii="宋体" w:hAnsi="宋体" w:hint="eastAsia"/>
                <w:lang w:eastAsia="zh-Hans"/>
              </w:rPr>
              <w:t xml:space="preserve"> </w:t>
            </w:r>
          </w:p>
        </w:tc>
      </w:tr>
      <w:tr w:rsidR="009142D6" w14:paraId="21723DBE" w14:textId="77777777">
        <w:trPr>
          <w:divId w:val="693578316"/>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55069" w14:textId="77777777" w:rsidR="00F513D8" w:rsidRDefault="00F513D8">
            <w:pPr>
              <w:spacing w:line="360" w:lineRule="auto"/>
              <w:jc w:val="left"/>
            </w:pPr>
            <w:r>
              <w:rPr>
                <w:rFonts w:ascii="宋体" w:hAnsi="宋体" w:hint="eastAsia"/>
              </w:rPr>
              <w:t>境外投资顾问</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EABD70" w14:textId="77777777" w:rsidR="00F513D8" w:rsidRDefault="00F513D8">
            <w:pPr>
              <w:spacing w:line="360" w:lineRule="auto"/>
              <w:jc w:val="left"/>
            </w:pPr>
            <w:r>
              <w:rPr>
                <w:rFonts w:ascii="宋体" w:hAnsi="宋体" w:hint="eastAsia"/>
                <w:lang w:eastAsia="zh-Hans"/>
              </w:rPr>
              <w:t>英文名称：JPMORGAN ASSET MANAGEMENT (ASIA PACIFIC) LIMITED</w:t>
            </w:r>
          </w:p>
        </w:tc>
      </w:tr>
      <w:tr w:rsidR="009142D6" w14:paraId="7DD587ED" w14:textId="77777777">
        <w:trPr>
          <w:divId w:val="6935783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B76383" w14:textId="77777777" w:rsidR="00F513D8" w:rsidRDefault="00F513D8">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168FD" w14:textId="77777777" w:rsidR="00F513D8" w:rsidRDefault="00F513D8">
            <w:pPr>
              <w:widowControl/>
              <w:spacing w:line="315" w:lineRule="atLeast"/>
              <w:jc w:val="left"/>
            </w:pPr>
            <w:r>
              <w:rPr>
                <w:rFonts w:ascii="宋体" w:hAnsi="宋体" w:hint="eastAsia"/>
                <w:lang w:eastAsia="zh-Hans"/>
              </w:rPr>
              <w:t>中文名称：摩根资产管理(亚太)有限公司</w:t>
            </w:r>
            <w:r>
              <w:rPr>
                <w:rFonts w:asciiTheme="minorEastAsia" w:eastAsiaTheme="minorEastAsia" w:hAnsiTheme="minorEastAsia" w:hint="eastAsia"/>
              </w:rPr>
              <w:t xml:space="preserve"> </w:t>
            </w:r>
          </w:p>
        </w:tc>
      </w:tr>
      <w:tr w:rsidR="009142D6" w14:paraId="2795DBE2" w14:textId="77777777">
        <w:trPr>
          <w:divId w:val="693578316"/>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CC7D05" w14:textId="77777777" w:rsidR="00F513D8" w:rsidRDefault="00F513D8">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E4EE46" w14:textId="77777777" w:rsidR="00F513D8" w:rsidRDefault="00F513D8">
            <w:pPr>
              <w:spacing w:line="360" w:lineRule="auto"/>
              <w:jc w:val="left"/>
            </w:pPr>
            <w:r>
              <w:rPr>
                <w:rFonts w:ascii="宋体" w:hAnsi="宋体" w:hint="eastAsia"/>
                <w:lang w:eastAsia="zh-Hans"/>
              </w:rPr>
              <w:t>英文名称：The Bank of New York Mellon Company</w:t>
            </w:r>
          </w:p>
        </w:tc>
      </w:tr>
      <w:tr w:rsidR="009142D6" w14:paraId="13783D7E" w14:textId="77777777">
        <w:trPr>
          <w:divId w:val="693578316"/>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212885" w14:textId="77777777" w:rsidR="00F513D8" w:rsidRDefault="00F513D8">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1C51BC" w14:textId="77777777" w:rsidR="00F513D8" w:rsidRDefault="00F513D8">
            <w:pPr>
              <w:widowControl/>
              <w:spacing w:line="315" w:lineRule="atLeast"/>
              <w:jc w:val="left"/>
            </w:pPr>
            <w:r>
              <w:rPr>
                <w:rFonts w:ascii="宋体" w:hAnsi="宋体" w:hint="eastAsia"/>
                <w:lang w:eastAsia="zh-Hans"/>
              </w:rPr>
              <w:t>中文名称：纽约梅隆银行股份有限公司</w:t>
            </w:r>
            <w:r>
              <w:rPr>
                <w:rFonts w:asciiTheme="minorEastAsia" w:eastAsiaTheme="minorEastAsia" w:hAnsiTheme="minorEastAsia" w:hint="eastAsia"/>
              </w:rPr>
              <w:t xml:space="preserve"> </w:t>
            </w:r>
          </w:p>
        </w:tc>
      </w:tr>
    </w:tbl>
    <w:p w14:paraId="06DBB3FD" w14:textId="77777777" w:rsidR="00F513D8" w:rsidRDefault="00F513D8">
      <w:pPr>
        <w:pStyle w:val="XBRLTitle1"/>
        <w:spacing w:before="156"/>
        <w:ind w:left="425"/>
        <w:rPr>
          <w:rFonts w:hint="eastAsia"/>
        </w:rPr>
      </w:pPr>
      <w:bookmarkStart w:id="39" w:name="_Toc514088245"/>
      <w:bookmarkStart w:id="40" w:name="_Toc480465415"/>
      <w:bookmarkStart w:id="41" w:name="_Toc448480286"/>
      <w:bookmarkStart w:id="42" w:name="_Toc438654074"/>
      <w:bookmarkStart w:id="43" w:name="_Toc456107120"/>
      <w:bookmarkStart w:id="44" w:name="_Toc459213766"/>
      <w:bookmarkStart w:id="45" w:name="_Toc513542646"/>
      <w:bookmarkStart w:id="46" w:name="_Toc512696252"/>
      <w:bookmarkStart w:id="47" w:name="_Toc512612255"/>
      <w:bookmarkStart w:id="48" w:name="_Toc512612079"/>
      <w:bookmarkStart w:id="49" w:name="_Toc512611283"/>
      <w:bookmarkStart w:id="50" w:name="m401_tab"/>
      <w:bookmarkStart w:id="51" w:name="m401"/>
      <w:bookmarkEnd w:id="37"/>
      <w:r>
        <w:rPr>
          <w:rFonts w:hint="eastAsia"/>
        </w:rPr>
        <w:t>主要财务指标和基金净值表现</w:t>
      </w:r>
      <w:bookmarkEnd w:id="39"/>
      <w:bookmarkEnd w:id="40"/>
      <w:bookmarkEnd w:id="41"/>
      <w:bookmarkEnd w:id="42"/>
      <w:bookmarkEnd w:id="43"/>
      <w:bookmarkEnd w:id="44"/>
      <w:bookmarkEnd w:id="45"/>
      <w:bookmarkEnd w:id="46"/>
      <w:bookmarkEnd w:id="47"/>
      <w:bookmarkEnd w:id="48"/>
      <w:bookmarkEnd w:id="49"/>
    </w:p>
    <w:p w14:paraId="3594B7A5" w14:textId="77777777" w:rsidR="00F513D8" w:rsidRDefault="00F513D8">
      <w:pPr>
        <w:pStyle w:val="XBRLTitle2"/>
        <w:spacing w:before="156" w:line="360" w:lineRule="auto"/>
        <w:ind w:left="454"/>
      </w:pPr>
      <w:bookmarkStart w:id="52" w:name="_Toc514088246"/>
      <w:bookmarkStart w:id="53" w:name="_Toc480465416"/>
      <w:bookmarkStart w:id="54" w:name="_Toc448480287"/>
      <w:bookmarkStart w:id="55" w:name="_Toc438654075"/>
      <w:bookmarkStart w:id="56" w:name="_Toc456107121"/>
      <w:bookmarkStart w:id="57" w:name="_Toc459213767"/>
      <w:bookmarkStart w:id="58" w:name="_Toc513542647"/>
      <w:bookmarkStart w:id="59" w:name="_Toc512696253"/>
      <w:bookmarkStart w:id="60" w:name="_Toc512612256"/>
      <w:bookmarkStart w:id="61" w:name="_Toc512612080"/>
      <w:bookmarkStart w:id="62" w:name="_Toc512611284"/>
      <w:r>
        <w:rPr>
          <w:rFonts w:eastAsia="宋体" w:hint="eastAsia"/>
        </w:rPr>
        <w:t>主要财务指标</w:t>
      </w:r>
      <w:bookmarkEnd w:id="52"/>
      <w:bookmarkEnd w:id="53"/>
      <w:bookmarkEnd w:id="54"/>
      <w:bookmarkEnd w:id="55"/>
      <w:bookmarkEnd w:id="56"/>
      <w:bookmarkEnd w:id="57"/>
      <w:r>
        <w:rPr>
          <w:rFonts w:eastAsia="宋体" w:hint="eastAsia"/>
        </w:rPr>
        <w:t xml:space="preserve"> </w:t>
      </w:r>
      <w:bookmarkEnd w:id="58"/>
      <w:bookmarkEnd w:id="59"/>
      <w:bookmarkEnd w:id="60"/>
      <w:bookmarkEnd w:id="61"/>
      <w:bookmarkEnd w:id="62"/>
    </w:p>
    <w:p w14:paraId="2555FA67" w14:textId="77777777" w:rsidR="00F513D8" w:rsidRDefault="00F513D8">
      <w:pPr>
        <w:jc w:val="right"/>
        <w:divId w:val="793911994"/>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9"/>
        <w:gridCol w:w="2823"/>
        <w:gridCol w:w="2823"/>
      </w:tblGrid>
      <w:tr w:rsidR="009142D6" w14:paraId="5A2A8E6D" w14:textId="77777777">
        <w:trPr>
          <w:divId w:val="793911994"/>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6E740381" w14:textId="77777777" w:rsidR="00F513D8" w:rsidRDefault="00F513D8">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73B74DA4" w14:textId="77777777" w:rsidR="00F513D8" w:rsidRDefault="00F513D8">
            <w:pPr>
              <w:pStyle w:val="a5"/>
              <w:jc w:val="center"/>
              <w:rPr>
                <w:rFonts w:hint="eastAsia"/>
              </w:rPr>
            </w:pPr>
            <w:r>
              <w:rPr>
                <w:rFonts w:hint="eastAsia"/>
                <w:kern w:val="2"/>
                <w:sz w:val="21"/>
                <w:szCs w:val="24"/>
                <w:lang w:eastAsia="zh-Hans"/>
              </w:rPr>
              <w:t xml:space="preserve">报告期（2025年4月1日-2025年6月30日） </w:t>
            </w:r>
          </w:p>
        </w:tc>
      </w:tr>
      <w:tr w:rsidR="009142D6" w14:paraId="2DD48860" w14:textId="77777777">
        <w:trPr>
          <w:divId w:val="79391199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6E38F" w14:textId="77777777" w:rsidR="00F513D8" w:rsidRDefault="00F513D8">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674B75E" w14:textId="77777777" w:rsidR="00F513D8" w:rsidRDefault="00F513D8">
            <w:pPr>
              <w:jc w:val="center"/>
            </w:pPr>
            <w:r>
              <w:rPr>
                <w:rFonts w:ascii="宋体" w:hAnsi="宋体" w:hint="eastAsia"/>
                <w:szCs w:val="24"/>
                <w:lang w:eastAsia="zh-Hans"/>
              </w:rPr>
              <w:t>摩根亚太优势混合(QDII)A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6AB89DB" w14:textId="77777777" w:rsidR="00F513D8" w:rsidRDefault="00F513D8">
            <w:pPr>
              <w:jc w:val="center"/>
            </w:pPr>
            <w:r>
              <w:rPr>
                <w:rFonts w:ascii="宋体" w:hAnsi="宋体" w:hint="eastAsia"/>
                <w:szCs w:val="24"/>
                <w:lang w:eastAsia="zh-Hans"/>
              </w:rPr>
              <w:t>摩根亚太优势混合(QDII)C</w:t>
            </w:r>
          </w:p>
        </w:tc>
      </w:tr>
      <w:tr w:rsidR="009142D6" w14:paraId="2016A241" w14:textId="77777777">
        <w:trPr>
          <w:divId w:val="79391199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D80A16B" w14:textId="77777777" w:rsidR="00F513D8" w:rsidRDefault="00F513D8">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ABD57D7" w14:textId="77777777" w:rsidR="00F513D8" w:rsidRDefault="00F513D8">
            <w:pPr>
              <w:jc w:val="right"/>
            </w:pPr>
            <w:r>
              <w:rPr>
                <w:rFonts w:ascii="宋体" w:hAnsi="宋体" w:hint="eastAsia"/>
                <w:szCs w:val="24"/>
                <w:lang w:eastAsia="zh-Hans"/>
              </w:rPr>
              <w:t>66,544,896.13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DFC85F" w14:textId="77777777" w:rsidR="00F513D8" w:rsidRDefault="00F513D8">
            <w:pPr>
              <w:jc w:val="right"/>
            </w:pPr>
            <w:r>
              <w:rPr>
                <w:rFonts w:ascii="宋体" w:hAnsi="宋体" w:hint="eastAsia"/>
                <w:szCs w:val="24"/>
                <w:lang w:eastAsia="zh-Hans"/>
              </w:rPr>
              <w:t>48,837.45</w:t>
            </w:r>
          </w:p>
        </w:tc>
      </w:tr>
      <w:tr w:rsidR="009142D6" w14:paraId="2C2070CD" w14:textId="77777777">
        <w:trPr>
          <w:divId w:val="79391199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F5B64DE" w14:textId="77777777" w:rsidR="00F513D8" w:rsidRDefault="00F513D8">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039568B" w14:textId="77777777" w:rsidR="00F513D8" w:rsidRDefault="00F513D8">
            <w:pPr>
              <w:jc w:val="right"/>
            </w:pPr>
            <w:r>
              <w:rPr>
                <w:rFonts w:ascii="宋体" w:hAnsi="宋体" w:hint="eastAsia"/>
                <w:szCs w:val="24"/>
                <w:lang w:eastAsia="zh-Hans"/>
              </w:rPr>
              <w:t>214,620,932.27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B9C753" w14:textId="77777777" w:rsidR="00F513D8" w:rsidRDefault="00F513D8">
            <w:pPr>
              <w:jc w:val="right"/>
            </w:pPr>
            <w:r>
              <w:rPr>
                <w:rFonts w:ascii="宋体" w:hAnsi="宋体" w:hint="eastAsia"/>
                <w:szCs w:val="24"/>
                <w:lang w:eastAsia="zh-Hans"/>
              </w:rPr>
              <w:t>147,490.37</w:t>
            </w:r>
          </w:p>
        </w:tc>
      </w:tr>
      <w:tr w:rsidR="009142D6" w14:paraId="6E9DA924" w14:textId="77777777">
        <w:trPr>
          <w:divId w:val="79391199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944469" w14:textId="77777777" w:rsidR="00F513D8" w:rsidRDefault="00F513D8">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115C1E" w14:textId="77777777" w:rsidR="00F513D8" w:rsidRDefault="00F513D8">
            <w:pPr>
              <w:jc w:val="right"/>
            </w:pPr>
            <w:r>
              <w:rPr>
                <w:rFonts w:ascii="宋体" w:hAnsi="宋体" w:hint="eastAsia"/>
                <w:szCs w:val="24"/>
                <w:lang w:eastAsia="zh-Hans"/>
              </w:rPr>
              <w:t>0.0892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707BB00" w14:textId="77777777" w:rsidR="00F513D8" w:rsidRDefault="00F513D8">
            <w:pPr>
              <w:jc w:val="right"/>
            </w:pPr>
            <w:r>
              <w:rPr>
                <w:rFonts w:ascii="宋体" w:hAnsi="宋体" w:hint="eastAsia"/>
                <w:szCs w:val="24"/>
                <w:lang w:eastAsia="zh-Hans"/>
              </w:rPr>
              <w:t>0.0832</w:t>
            </w:r>
          </w:p>
        </w:tc>
      </w:tr>
      <w:tr w:rsidR="009142D6" w14:paraId="13D65409" w14:textId="77777777">
        <w:trPr>
          <w:divId w:val="79391199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16EC87C" w14:textId="77777777" w:rsidR="00F513D8" w:rsidRDefault="00F513D8">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0E0103" w14:textId="77777777" w:rsidR="00F513D8" w:rsidRDefault="00F513D8">
            <w:pPr>
              <w:jc w:val="right"/>
            </w:pPr>
            <w:r>
              <w:rPr>
                <w:rFonts w:ascii="宋体" w:hAnsi="宋体" w:hint="eastAsia"/>
                <w:szCs w:val="24"/>
                <w:lang w:eastAsia="zh-Hans"/>
              </w:rPr>
              <w:t>2,511,606,968.71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4979E6" w14:textId="77777777" w:rsidR="00F513D8" w:rsidRDefault="00F513D8">
            <w:pPr>
              <w:jc w:val="right"/>
            </w:pPr>
            <w:r>
              <w:rPr>
                <w:rFonts w:ascii="宋体" w:hAnsi="宋体" w:hint="eastAsia"/>
                <w:szCs w:val="24"/>
                <w:lang w:eastAsia="zh-Hans"/>
              </w:rPr>
              <w:t>2,094,804.95</w:t>
            </w:r>
          </w:p>
        </w:tc>
      </w:tr>
      <w:tr w:rsidR="009142D6" w14:paraId="2A93B591" w14:textId="77777777">
        <w:trPr>
          <w:divId w:val="79391199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062A1D5" w14:textId="77777777" w:rsidR="00F513D8" w:rsidRDefault="00F513D8">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E72394" w14:textId="77777777" w:rsidR="00F513D8" w:rsidRDefault="00F513D8">
            <w:pPr>
              <w:jc w:val="right"/>
            </w:pPr>
            <w:r>
              <w:rPr>
                <w:rFonts w:ascii="宋体" w:hAnsi="宋体" w:hint="eastAsia"/>
                <w:szCs w:val="24"/>
                <w:lang w:eastAsia="zh-Hans"/>
              </w:rPr>
              <w:t>1.0713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84C84E8" w14:textId="77777777" w:rsidR="00F513D8" w:rsidRDefault="00F513D8">
            <w:pPr>
              <w:jc w:val="right"/>
            </w:pPr>
            <w:r>
              <w:rPr>
                <w:rFonts w:ascii="宋体" w:hAnsi="宋体" w:hint="eastAsia"/>
                <w:szCs w:val="24"/>
                <w:lang w:eastAsia="zh-Hans"/>
              </w:rPr>
              <w:t>1.0608</w:t>
            </w:r>
          </w:p>
        </w:tc>
      </w:tr>
    </w:tbl>
    <w:p w14:paraId="7FA93AD6" w14:textId="77777777" w:rsidR="00F513D8" w:rsidRDefault="00F513D8">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1A4328AB" w14:textId="77777777" w:rsidR="00F513D8" w:rsidRDefault="00F513D8">
      <w:pPr>
        <w:pStyle w:val="XBRLTitle2"/>
        <w:spacing w:before="156" w:line="360" w:lineRule="auto"/>
        <w:ind w:left="454"/>
      </w:pPr>
      <w:bookmarkStart w:id="63" w:name="_Toc514088247"/>
      <w:bookmarkStart w:id="64" w:name="_Toc480465417"/>
      <w:bookmarkStart w:id="65" w:name="_Toc448480288"/>
      <w:bookmarkStart w:id="66" w:name="_Toc438654076"/>
      <w:bookmarkStart w:id="67" w:name="_Toc456107122"/>
      <w:bookmarkStart w:id="68" w:name="_Toc459213768"/>
      <w:bookmarkStart w:id="69" w:name="_Toc513542648"/>
      <w:bookmarkStart w:id="70" w:name="_Toc512696254"/>
      <w:bookmarkStart w:id="71" w:name="_Toc512612257"/>
      <w:bookmarkStart w:id="72" w:name="_Toc512612081"/>
      <w:bookmarkStart w:id="73" w:name="_Toc512611285"/>
      <w:r>
        <w:rPr>
          <w:rFonts w:eastAsia="宋体" w:hint="eastAsia"/>
        </w:rPr>
        <w:t>基金净值表现</w:t>
      </w:r>
      <w:bookmarkEnd w:id="63"/>
      <w:bookmarkEnd w:id="64"/>
      <w:bookmarkEnd w:id="65"/>
      <w:bookmarkEnd w:id="66"/>
      <w:bookmarkEnd w:id="67"/>
      <w:bookmarkEnd w:id="68"/>
      <w:bookmarkEnd w:id="69"/>
      <w:bookmarkEnd w:id="70"/>
      <w:bookmarkEnd w:id="71"/>
      <w:bookmarkEnd w:id="72"/>
      <w:bookmarkEnd w:id="73"/>
      <w:r>
        <w:rPr>
          <w:rFonts w:eastAsia="宋体" w:hint="eastAsia"/>
        </w:rPr>
        <w:t xml:space="preserve"> </w:t>
      </w:r>
    </w:p>
    <w:p w14:paraId="1D7BE497" w14:textId="77777777" w:rsidR="00F513D8" w:rsidRDefault="00F513D8">
      <w:pPr>
        <w:pStyle w:val="XBRLTitle3"/>
        <w:spacing w:before="156" w:line="360" w:lineRule="auto"/>
        <w:ind w:left="624"/>
      </w:pPr>
      <w:bookmarkStart w:id="74" w:name="_Toc514088248"/>
      <w:bookmarkStart w:id="75" w:name="_Toc513542649"/>
      <w:bookmarkStart w:id="76" w:name="_Toc480465418"/>
      <w:r>
        <w:rPr>
          <w:rFonts w:hAnsi="宋体" w:hint="eastAsia"/>
        </w:rPr>
        <w:t>基金份额净值增长率及其与同期业绩比较基准收益率的比较</w:t>
      </w:r>
      <w:bookmarkEnd w:id="74"/>
      <w:bookmarkEnd w:id="75"/>
      <w:bookmarkEnd w:id="76"/>
      <w:r>
        <w:rPr>
          <w:rFonts w:hAnsi="宋体" w:hint="eastAsia"/>
        </w:rPr>
        <w:t xml:space="preserve"> </w:t>
      </w:r>
    </w:p>
    <w:p w14:paraId="34FD3EBC" w14:textId="77777777" w:rsidR="00F513D8" w:rsidRDefault="00F513D8">
      <w:pPr>
        <w:spacing w:line="360" w:lineRule="auto"/>
        <w:jc w:val="center"/>
        <w:divId w:val="1149596829"/>
      </w:pPr>
      <w:r>
        <w:rPr>
          <w:rFonts w:ascii="宋体" w:hAnsi="宋体" w:hint="eastAsia"/>
        </w:rPr>
        <w:t>摩根亚太优势混合(QDII)A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142D6" w14:paraId="20563F82" w14:textId="77777777">
        <w:trPr>
          <w:divId w:val="114959682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25C8FE1" w14:textId="77777777" w:rsidR="00F513D8" w:rsidRDefault="00F513D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08A5EB" w14:textId="77777777" w:rsidR="00F513D8" w:rsidRDefault="00F513D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AD219E3" w14:textId="77777777" w:rsidR="00F513D8" w:rsidRDefault="00F513D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37FA6C" w14:textId="77777777" w:rsidR="00F513D8" w:rsidRDefault="00F513D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8EDCB8" w14:textId="77777777" w:rsidR="00F513D8" w:rsidRDefault="00F513D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B676BA" w14:textId="77777777" w:rsidR="00F513D8" w:rsidRDefault="00F513D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F5AF63" w14:textId="77777777" w:rsidR="00F513D8" w:rsidRDefault="00F513D8">
            <w:pPr>
              <w:spacing w:line="360" w:lineRule="auto"/>
              <w:jc w:val="center"/>
            </w:pPr>
            <w:r>
              <w:rPr>
                <w:rFonts w:ascii="宋体" w:hAnsi="宋体" w:hint="eastAsia"/>
              </w:rPr>
              <w:t xml:space="preserve">②－④ </w:t>
            </w:r>
          </w:p>
        </w:tc>
      </w:tr>
      <w:tr w:rsidR="009142D6" w14:paraId="46C0154F" w14:textId="77777777">
        <w:trPr>
          <w:divId w:val="114959682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F3033" w14:textId="77777777" w:rsidR="00F513D8" w:rsidRDefault="00F513D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78E36D" w14:textId="77777777" w:rsidR="00F513D8" w:rsidRDefault="00F513D8">
            <w:pPr>
              <w:spacing w:line="360" w:lineRule="auto"/>
              <w:jc w:val="right"/>
            </w:pPr>
            <w:r>
              <w:rPr>
                <w:rFonts w:ascii="宋体" w:hAnsi="宋体" w:hint="eastAsia"/>
              </w:rPr>
              <w:t xml:space="preserve">9.10%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B9B0B5" w14:textId="77777777" w:rsidR="00F513D8" w:rsidRDefault="00F513D8">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CB6A5" w14:textId="77777777" w:rsidR="00F513D8" w:rsidRDefault="00F513D8">
            <w:pPr>
              <w:spacing w:line="360" w:lineRule="auto"/>
              <w:jc w:val="right"/>
            </w:pPr>
            <w:r>
              <w:rPr>
                <w:rFonts w:ascii="宋体" w:hAnsi="宋体" w:hint="eastAsia"/>
              </w:rPr>
              <w:t xml:space="preserve">11.64%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B795D5" w14:textId="77777777" w:rsidR="00F513D8" w:rsidRDefault="00F513D8">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FFBFE92" w14:textId="77777777" w:rsidR="00F513D8" w:rsidRDefault="00F513D8">
            <w:pPr>
              <w:spacing w:line="360" w:lineRule="auto"/>
              <w:jc w:val="right"/>
            </w:pPr>
            <w:r>
              <w:rPr>
                <w:rFonts w:ascii="宋体" w:hAnsi="宋体" w:hint="eastAsia"/>
              </w:rPr>
              <w:t xml:space="preserve">-2.54%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61F9FD" w14:textId="77777777" w:rsidR="00F513D8" w:rsidRDefault="00F513D8">
            <w:pPr>
              <w:spacing w:line="360" w:lineRule="auto"/>
              <w:jc w:val="right"/>
            </w:pPr>
            <w:r>
              <w:rPr>
                <w:rFonts w:ascii="宋体" w:hAnsi="宋体" w:hint="eastAsia"/>
              </w:rPr>
              <w:t xml:space="preserve">-0.13% </w:t>
            </w:r>
          </w:p>
        </w:tc>
      </w:tr>
      <w:tr w:rsidR="009142D6" w14:paraId="023248B2" w14:textId="77777777">
        <w:trPr>
          <w:divId w:val="114959682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FE4C98" w14:textId="77777777" w:rsidR="00F513D8" w:rsidRDefault="00F513D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CD3558" w14:textId="77777777" w:rsidR="00F513D8" w:rsidRDefault="00F513D8">
            <w:pPr>
              <w:spacing w:line="360" w:lineRule="auto"/>
              <w:jc w:val="right"/>
            </w:pPr>
            <w:r>
              <w:rPr>
                <w:rFonts w:ascii="宋体" w:hAnsi="宋体" w:hint="eastAsia"/>
              </w:rPr>
              <w:t xml:space="preserve">11.97%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42772" w14:textId="77777777" w:rsidR="00F513D8" w:rsidRDefault="00F513D8">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9F5E9" w14:textId="77777777" w:rsidR="00F513D8" w:rsidRDefault="00F513D8">
            <w:pPr>
              <w:spacing w:line="360" w:lineRule="auto"/>
              <w:jc w:val="right"/>
            </w:pPr>
            <w:r>
              <w:rPr>
                <w:rFonts w:ascii="宋体" w:hAnsi="宋体" w:hint="eastAsia"/>
              </w:rPr>
              <w:t xml:space="preserve">12.17%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8BE003" w14:textId="77777777" w:rsidR="00F513D8" w:rsidRDefault="00F513D8">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51D8A03" w14:textId="77777777" w:rsidR="00F513D8" w:rsidRDefault="00F513D8">
            <w:pPr>
              <w:spacing w:line="360" w:lineRule="auto"/>
              <w:jc w:val="right"/>
            </w:pPr>
            <w:r>
              <w:rPr>
                <w:rFonts w:ascii="宋体" w:hAnsi="宋体" w:hint="eastAsia"/>
              </w:rPr>
              <w:t xml:space="preserve">-0.20%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447465" w14:textId="77777777" w:rsidR="00F513D8" w:rsidRDefault="00F513D8">
            <w:pPr>
              <w:spacing w:line="360" w:lineRule="auto"/>
              <w:jc w:val="right"/>
            </w:pPr>
            <w:r>
              <w:rPr>
                <w:rFonts w:ascii="宋体" w:hAnsi="宋体" w:hint="eastAsia"/>
              </w:rPr>
              <w:t xml:space="preserve">-0.09% </w:t>
            </w:r>
          </w:p>
        </w:tc>
      </w:tr>
      <w:tr w:rsidR="009142D6" w14:paraId="376F59DF" w14:textId="77777777">
        <w:trPr>
          <w:divId w:val="114959682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1B8DC2" w14:textId="77777777" w:rsidR="00F513D8" w:rsidRDefault="00F513D8">
            <w:pPr>
              <w:spacing w:line="360" w:lineRule="auto"/>
              <w:jc w:val="center"/>
            </w:pPr>
            <w:r>
              <w:rPr>
                <w:rFonts w:ascii="宋体" w:hAnsi="宋体" w:hint="eastAsia"/>
              </w:rPr>
              <w:lastRenderedPageBreak/>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A350D" w14:textId="77777777" w:rsidR="00F513D8" w:rsidRDefault="00F513D8">
            <w:pPr>
              <w:spacing w:line="360" w:lineRule="auto"/>
              <w:jc w:val="right"/>
            </w:pPr>
            <w:r>
              <w:rPr>
                <w:rFonts w:ascii="宋体" w:hAnsi="宋体" w:hint="eastAsia"/>
              </w:rPr>
              <w:t xml:space="preserve">12.92%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221F2" w14:textId="77777777" w:rsidR="00F513D8" w:rsidRDefault="00F513D8">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CFBD0" w14:textId="77777777" w:rsidR="00F513D8" w:rsidRDefault="00F513D8">
            <w:pPr>
              <w:spacing w:line="360" w:lineRule="auto"/>
              <w:jc w:val="right"/>
            </w:pPr>
            <w:r>
              <w:rPr>
                <w:rFonts w:ascii="宋体" w:hAnsi="宋体" w:hint="eastAsia"/>
              </w:rPr>
              <w:t xml:space="preserve">13.66%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50533" w14:textId="77777777" w:rsidR="00F513D8" w:rsidRDefault="00F513D8">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BC53692" w14:textId="77777777" w:rsidR="00F513D8" w:rsidRDefault="00F513D8">
            <w:pPr>
              <w:spacing w:line="360" w:lineRule="auto"/>
              <w:jc w:val="right"/>
            </w:pPr>
            <w:r>
              <w:rPr>
                <w:rFonts w:ascii="宋体" w:hAnsi="宋体" w:hint="eastAsia"/>
              </w:rPr>
              <w:t xml:space="preserve">-0.74%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B25A1" w14:textId="77777777" w:rsidR="00F513D8" w:rsidRDefault="00F513D8">
            <w:pPr>
              <w:spacing w:line="360" w:lineRule="auto"/>
              <w:jc w:val="right"/>
            </w:pPr>
            <w:r>
              <w:rPr>
                <w:rFonts w:ascii="宋体" w:hAnsi="宋体" w:hint="eastAsia"/>
              </w:rPr>
              <w:t xml:space="preserve">-0.05% </w:t>
            </w:r>
          </w:p>
        </w:tc>
      </w:tr>
      <w:tr w:rsidR="008A56B1" w14:paraId="23F3D4BB" w14:textId="77777777" w:rsidTr="004D77C8">
        <w:trPr>
          <w:divId w:val="114959682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78552" w14:textId="77777777" w:rsidR="008A56B1" w:rsidRDefault="008A56B1" w:rsidP="008A56B1">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22754D" w14:textId="77777777" w:rsidR="008A56B1" w:rsidRDefault="008A56B1" w:rsidP="008A56B1">
            <w:pPr>
              <w:spacing w:line="360" w:lineRule="auto"/>
              <w:jc w:val="right"/>
            </w:pPr>
            <w:r>
              <w:rPr>
                <w:rFonts w:ascii="宋体" w:hAnsi="宋体" w:hint="eastAsia"/>
              </w:rPr>
              <w:t xml:space="preserve">26.11%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FAF4FF" w14:textId="77777777" w:rsidR="008A56B1" w:rsidRDefault="008A56B1" w:rsidP="008A56B1">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95B561" w14:textId="77777777" w:rsidR="008A56B1" w:rsidRDefault="008A56B1" w:rsidP="008A56B1">
            <w:pPr>
              <w:spacing w:line="360" w:lineRule="auto"/>
              <w:jc w:val="right"/>
            </w:pPr>
            <w:r>
              <w:rPr>
                <w:rFonts w:ascii="宋体" w:hAnsi="宋体" w:hint="eastAsia"/>
              </w:rPr>
              <w:t xml:space="preserve">30.50%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45BFC70" w14:textId="10B1AB96" w:rsidR="008A56B1" w:rsidRPr="004D77C8" w:rsidRDefault="008A56B1" w:rsidP="008A56B1">
            <w:pPr>
              <w:spacing w:line="360" w:lineRule="auto"/>
              <w:jc w:val="right"/>
              <w:rPr>
                <w:rFonts w:ascii="宋体" w:hAnsi="宋体"/>
              </w:rPr>
            </w:pPr>
            <w:r w:rsidRPr="004D77C8">
              <w:rPr>
                <w:rFonts w:ascii="宋体" w:hAnsi="宋体"/>
              </w:rPr>
              <w:t>1.02%</w:t>
            </w:r>
          </w:p>
        </w:tc>
        <w:tc>
          <w:tcPr>
            <w:tcW w:w="728" w:type="pct"/>
            <w:tcBorders>
              <w:top w:val="single" w:sz="4" w:space="0" w:color="auto"/>
              <w:left w:val="single" w:sz="4" w:space="0" w:color="auto"/>
              <w:bottom w:val="single" w:sz="4" w:space="0" w:color="auto"/>
              <w:right w:val="single" w:sz="4" w:space="0" w:color="auto"/>
            </w:tcBorders>
            <w:vAlign w:val="center"/>
            <w:hideMark/>
          </w:tcPr>
          <w:p w14:paraId="37F0495A" w14:textId="77777777" w:rsidR="008A56B1" w:rsidRDefault="008A56B1" w:rsidP="008A56B1">
            <w:pPr>
              <w:spacing w:line="360" w:lineRule="auto"/>
              <w:jc w:val="right"/>
            </w:pPr>
            <w:r>
              <w:rPr>
                <w:rFonts w:ascii="宋体" w:hAnsi="宋体" w:hint="eastAsia"/>
              </w:rPr>
              <w:t xml:space="preserve">-4.39%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83AD46B" w14:textId="0B1046AD" w:rsidR="008A56B1" w:rsidRPr="004D77C8" w:rsidRDefault="008A56B1" w:rsidP="008A56B1">
            <w:pPr>
              <w:spacing w:line="360" w:lineRule="auto"/>
              <w:jc w:val="right"/>
              <w:rPr>
                <w:rFonts w:ascii="宋体" w:hAnsi="宋体"/>
              </w:rPr>
            </w:pPr>
            <w:r w:rsidRPr="004D77C8">
              <w:rPr>
                <w:rFonts w:ascii="宋体" w:hAnsi="宋体"/>
              </w:rPr>
              <w:t>0.01%</w:t>
            </w:r>
          </w:p>
        </w:tc>
      </w:tr>
      <w:tr w:rsidR="008A56B1" w14:paraId="3D46FD68" w14:textId="77777777" w:rsidTr="004D77C8">
        <w:trPr>
          <w:divId w:val="114959682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34C4D3" w14:textId="77777777" w:rsidR="008A56B1" w:rsidRDefault="008A56B1" w:rsidP="008A56B1">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6FCA03" w14:textId="77777777" w:rsidR="008A56B1" w:rsidRDefault="008A56B1" w:rsidP="008A56B1">
            <w:pPr>
              <w:spacing w:line="360" w:lineRule="auto"/>
              <w:jc w:val="right"/>
            </w:pPr>
            <w:r>
              <w:rPr>
                <w:rFonts w:ascii="宋体" w:hAnsi="宋体" w:hint="eastAsia"/>
              </w:rPr>
              <w:t xml:space="preserve">24.28%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5BC7E" w14:textId="77777777" w:rsidR="008A56B1" w:rsidRDefault="008A56B1" w:rsidP="008A56B1">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3CFABA" w14:textId="77777777" w:rsidR="008A56B1" w:rsidRDefault="008A56B1" w:rsidP="008A56B1">
            <w:pPr>
              <w:spacing w:line="360" w:lineRule="auto"/>
              <w:jc w:val="right"/>
            </w:pPr>
            <w:r>
              <w:rPr>
                <w:rFonts w:ascii="宋体" w:hAnsi="宋体" w:hint="eastAsia"/>
              </w:rPr>
              <w:t xml:space="preserve">26.38%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96B79F3" w14:textId="0A7422A2" w:rsidR="008A56B1" w:rsidRPr="004D77C8" w:rsidRDefault="008A56B1" w:rsidP="008A56B1">
            <w:pPr>
              <w:spacing w:line="360" w:lineRule="auto"/>
              <w:jc w:val="right"/>
              <w:rPr>
                <w:rFonts w:ascii="宋体" w:hAnsi="宋体"/>
              </w:rPr>
            </w:pPr>
            <w:r w:rsidRPr="004D77C8">
              <w:rPr>
                <w:rFonts w:ascii="宋体" w:hAnsi="宋体"/>
              </w:rPr>
              <w:t>1.05%</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324AF3" w14:textId="77777777" w:rsidR="008A56B1" w:rsidRDefault="008A56B1" w:rsidP="008A56B1">
            <w:pPr>
              <w:spacing w:line="360" w:lineRule="auto"/>
              <w:jc w:val="right"/>
            </w:pPr>
            <w:r>
              <w:rPr>
                <w:rFonts w:ascii="宋体" w:hAnsi="宋体" w:hint="eastAsia"/>
              </w:rPr>
              <w:t xml:space="preserve">-2.10%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37226CB" w14:textId="246154C7" w:rsidR="008A56B1" w:rsidRPr="004D77C8" w:rsidRDefault="008A56B1" w:rsidP="008A56B1">
            <w:pPr>
              <w:spacing w:line="360" w:lineRule="auto"/>
              <w:jc w:val="right"/>
              <w:rPr>
                <w:rFonts w:ascii="宋体" w:hAnsi="宋体"/>
              </w:rPr>
            </w:pPr>
            <w:r w:rsidRPr="004D77C8">
              <w:rPr>
                <w:rFonts w:ascii="宋体" w:hAnsi="宋体"/>
              </w:rPr>
              <w:t>0.07%</w:t>
            </w:r>
          </w:p>
        </w:tc>
      </w:tr>
      <w:tr w:rsidR="009142D6" w14:paraId="4153018C" w14:textId="77777777">
        <w:trPr>
          <w:divId w:val="114959682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45971" w14:textId="77777777" w:rsidR="00F513D8" w:rsidRDefault="00F513D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983C02" w14:textId="77777777" w:rsidR="00F513D8" w:rsidRDefault="00F513D8">
            <w:pPr>
              <w:spacing w:line="360" w:lineRule="auto"/>
              <w:jc w:val="right"/>
            </w:pPr>
            <w:r>
              <w:rPr>
                <w:rFonts w:ascii="宋体" w:hAnsi="宋体" w:hint="eastAsia"/>
              </w:rPr>
              <w:t xml:space="preserve">7.13%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431182" w14:textId="77777777" w:rsidR="00F513D8" w:rsidRDefault="00F513D8">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03A0EF" w14:textId="77777777" w:rsidR="00F513D8" w:rsidRDefault="00F513D8">
            <w:pPr>
              <w:spacing w:line="360" w:lineRule="auto"/>
              <w:jc w:val="right"/>
            </w:pPr>
            <w:r>
              <w:rPr>
                <w:rFonts w:ascii="宋体" w:hAnsi="宋体" w:hint="eastAsia"/>
              </w:rPr>
              <w:t xml:space="preserve">9.65%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41E2A3" w14:textId="77777777" w:rsidR="00F513D8" w:rsidRDefault="00F513D8">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CA0840C" w14:textId="77777777" w:rsidR="00F513D8" w:rsidRDefault="00F513D8">
            <w:pPr>
              <w:spacing w:line="360" w:lineRule="auto"/>
              <w:jc w:val="right"/>
            </w:pPr>
            <w:r>
              <w:rPr>
                <w:rFonts w:ascii="宋体" w:hAnsi="宋体" w:hint="eastAsia"/>
              </w:rPr>
              <w:t xml:space="preserve">-2.52%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68B83" w14:textId="77777777" w:rsidR="00F513D8" w:rsidRDefault="00F513D8">
            <w:pPr>
              <w:spacing w:line="360" w:lineRule="auto"/>
              <w:jc w:val="right"/>
            </w:pPr>
            <w:r>
              <w:rPr>
                <w:rFonts w:ascii="宋体" w:hAnsi="宋体" w:hint="eastAsia"/>
              </w:rPr>
              <w:t xml:space="preserve">0.01% </w:t>
            </w:r>
          </w:p>
        </w:tc>
      </w:tr>
    </w:tbl>
    <w:p w14:paraId="286F3359" w14:textId="77777777" w:rsidR="00F513D8" w:rsidRDefault="00F513D8">
      <w:pPr>
        <w:spacing w:line="360" w:lineRule="auto"/>
        <w:jc w:val="center"/>
        <w:divId w:val="369112772"/>
      </w:pPr>
      <w:r>
        <w:rPr>
          <w:rFonts w:ascii="宋体" w:hAnsi="宋体" w:hint="eastAsia"/>
        </w:rPr>
        <w:t>摩根亚太优势混合(QDII)C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9142D6" w14:paraId="3A1ECD8D" w14:textId="77777777">
        <w:trPr>
          <w:divId w:val="36911277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11AEDB" w14:textId="77777777" w:rsidR="00F513D8" w:rsidRDefault="00F513D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A6DD303" w14:textId="77777777" w:rsidR="00F513D8" w:rsidRDefault="00F513D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244F08F" w14:textId="77777777" w:rsidR="00F513D8" w:rsidRDefault="00F513D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CD68F4" w14:textId="77777777" w:rsidR="00F513D8" w:rsidRDefault="00F513D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402BA9" w14:textId="77777777" w:rsidR="00F513D8" w:rsidRDefault="00F513D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D7D621" w14:textId="77777777" w:rsidR="00F513D8" w:rsidRDefault="00F513D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33E5A65" w14:textId="77777777" w:rsidR="00F513D8" w:rsidRDefault="00F513D8">
            <w:pPr>
              <w:spacing w:line="360" w:lineRule="auto"/>
              <w:jc w:val="center"/>
            </w:pPr>
            <w:r>
              <w:rPr>
                <w:rFonts w:ascii="宋体" w:hAnsi="宋体" w:hint="eastAsia"/>
              </w:rPr>
              <w:t xml:space="preserve">②－④ </w:t>
            </w:r>
          </w:p>
        </w:tc>
      </w:tr>
      <w:tr w:rsidR="009142D6" w14:paraId="4AE3E519" w14:textId="77777777">
        <w:trPr>
          <w:divId w:val="3691127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C07F27" w14:textId="77777777" w:rsidR="00F513D8" w:rsidRDefault="00F513D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DAC858" w14:textId="77777777" w:rsidR="00F513D8" w:rsidRDefault="00F513D8">
            <w:pPr>
              <w:spacing w:line="360" w:lineRule="auto"/>
              <w:jc w:val="right"/>
            </w:pPr>
            <w:r>
              <w:rPr>
                <w:rFonts w:ascii="宋体" w:hAnsi="宋体" w:hint="eastAsia"/>
              </w:rPr>
              <w:t xml:space="preserve">8.96%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44B541" w14:textId="77777777" w:rsidR="00F513D8" w:rsidRDefault="00F513D8">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A5DEB" w14:textId="77777777" w:rsidR="00F513D8" w:rsidRDefault="00F513D8">
            <w:pPr>
              <w:spacing w:line="360" w:lineRule="auto"/>
              <w:jc w:val="right"/>
            </w:pPr>
            <w:r>
              <w:rPr>
                <w:rFonts w:ascii="宋体" w:hAnsi="宋体" w:hint="eastAsia"/>
              </w:rPr>
              <w:t xml:space="preserve">11.64%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2025E" w14:textId="77777777" w:rsidR="00F513D8" w:rsidRDefault="00F513D8">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4C1D60C" w14:textId="77777777" w:rsidR="00F513D8" w:rsidRDefault="00F513D8">
            <w:pPr>
              <w:spacing w:line="360" w:lineRule="auto"/>
              <w:jc w:val="right"/>
            </w:pPr>
            <w:r>
              <w:rPr>
                <w:rFonts w:ascii="宋体" w:hAnsi="宋体" w:hint="eastAsia"/>
              </w:rPr>
              <w:t xml:space="preserve">-2.68%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3D549E" w14:textId="77777777" w:rsidR="00F513D8" w:rsidRDefault="00F513D8">
            <w:pPr>
              <w:spacing w:line="360" w:lineRule="auto"/>
              <w:jc w:val="right"/>
            </w:pPr>
            <w:r>
              <w:rPr>
                <w:rFonts w:ascii="宋体" w:hAnsi="宋体" w:hint="eastAsia"/>
              </w:rPr>
              <w:t xml:space="preserve">-0.13% </w:t>
            </w:r>
          </w:p>
        </w:tc>
      </w:tr>
      <w:tr w:rsidR="009142D6" w14:paraId="4B7166C4" w14:textId="77777777">
        <w:trPr>
          <w:divId w:val="3691127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D8D6A9" w14:textId="77777777" w:rsidR="00F513D8" w:rsidRDefault="00F513D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FDE6C" w14:textId="77777777" w:rsidR="00F513D8" w:rsidRDefault="00F513D8">
            <w:pPr>
              <w:spacing w:line="360" w:lineRule="auto"/>
              <w:jc w:val="right"/>
            </w:pPr>
            <w:r>
              <w:rPr>
                <w:rFonts w:ascii="宋体" w:hAnsi="宋体" w:hint="eastAsia"/>
              </w:rPr>
              <w:t xml:space="preserve">11.67%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F4A496" w14:textId="77777777" w:rsidR="00F513D8" w:rsidRDefault="00F513D8">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ACFAF" w14:textId="77777777" w:rsidR="00F513D8" w:rsidRDefault="00F513D8">
            <w:pPr>
              <w:spacing w:line="360" w:lineRule="auto"/>
              <w:jc w:val="right"/>
            </w:pPr>
            <w:r>
              <w:rPr>
                <w:rFonts w:ascii="宋体" w:hAnsi="宋体" w:hint="eastAsia"/>
              </w:rPr>
              <w:t xml:space="preserve">12.17%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DE2119" w14:textId="77777777" w:rsidR="00F513D8" w:rsidRDefault="00F513D8">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A8A295" w14:textId="77777777" w:rsidR="00F513D8" w:rsidRDefault="00F513D8">
            <w:pPr>
              <w:spacing w:line="360" w:lineRule="auto"/>
              <w:jc w:val="right"/>
            </w:pPr>
            <w:r>
              <w:rPr>
                <w:rFonts w:ascii="宋体" w:hAnsi="宋体" w:hint="eastAsia"/>
              </w:rPr>
              <w:t xml:space="preserve">-0.50%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21A8E" w14:textId="77777777" w:rsidR="00F513D8" w:rsidRDefault="00F513D8">
            <w:pPr>
              <w:spacing w:line="360" w:lineRule="auto"/>
              <w:jc w:val="right"/>
            </w:pPr>
            <w:r>
              <w:rPr>
                <w:rFonts w:ascii="宋体" w:hAnsi="宋体" w:hint="eastAsia"/>
              </w:rPr>
              <w:t xml:space="preserve">-0.09% </w:t>
            </w:r>
          </w:p>
        </w:tc>
      </w:tr>
      <w:tr w:rsidR="009142D6" w14:paraId="73CC8469" w14:textId="77777777">
        <w:trPr>
          <w:divId w:val="3691127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805B59" w14:textId="77777777" w:rsidR="00F513D8" w:rsidRDefault="00F513D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D3F9F" w14:textId="77777777" w:rsidR="00F513D8" w:rsidRDefault="00F513D8">
            <w:pPr>
              <w:spacing w:line="360" w:lineRule="auto"/>
              <w:jc w:val="right"/>
            </w:pPr>
            <w:r>
              <w:rPr>
                <w:rFonts w:ascii="宋体" w:hAnsi="宋体" w:hint="eastAsia"/>
              </w:rPr>
              <w:t xml:space="preserve">12.46%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BE8BE0" w14:textId="77777777" w:rsidR="00F513D8" w:rsidRDefault="00F513D8">
            <w:pPr>
              <w:spacing w:line="360" w:lineRule="auto"/>
              <w:jc w:val="right"/>
            </w:pPr>
            <w:r>
              <w:rPr>
                <w:rFonts w:ascii="宋体" w:hAnsi="宋体" w:hint="eastAsia"/>
              </w:rPr>
              <w:t xml:space="preserve">1.09%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091DC3" w14:textId="77777777" w:rsidR="00F513D8" w:rsidRDefault="00F513D8">
            <w:pPr>
              <w:spacing w:line="360" w:lineRule="auto"/>
              <w:jc w:val="right"/>
            </w:pPr>
            <w:r>
              <w:rPr>
                <w:rFonts w:ascii="宋体" w:hAnsi="宋体" w:hint="eastAsia"/>
              </w:rPr>
              <w:t xml:space="preserve">13.66%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C7B8C0" w14:textId="77777777" w:rsidR="00F513D8" w:rsidRDefault="00F513D8">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90781B5" w14:textId="77777777" w:rsidR="00F513D8" w:rsidRDefault="00F513D8">
            <w:pPr>
              <w:spacing w:line="360" w:lineRule="auto"/>
              <w:jc w:val="right"/>
            </w:pPr>
            <w:r>
              <w:rPr>
                <w:rFonts w:ascii="宋体" w:hAnsi="宋体" w:hint="eastAsia"/>
              </w:rPr>
              <w:t xml:space="preserve">-1.20%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07BC37" w14:textId="77777777" w:rsidR="00F513D8" w:rsidRDefault="00F513D8">
            <w:pPr>
              <w:spacing w:line="360" w:lineRule="auto"/>
              <w:jc w:val="right"/>
            </w:pPr>
            <w:r>
              <w:rPr>
                <w:rFonts w:ascii="宋体" w:hAnsi="宋体" w:hint="eastAsia"/>
              </w:rPr>
              <w:t xml:space="preserve">-0.05% </w:t>
            </w:r>
          </w:p>
        </w:tc>
      </w:tr>
      <w:tr w:rsidR="009142D6" w14:paraId="4EE22F7F" w14:textId="77777777">
        <w:trPr>
          <w:divId w:val="36911277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00A8DC" w14:textId="77777777" w:rsidR="00F513D8" w:rsidRDefault="00F513D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5AA504" w14:textId="77777777" w:rsidR="00F513D8" w:rsidRDefault="00F513D8">
            <w:pPr>
              <w:spacing w:line="360" w:lineRule="auto"/>
              <w:jc w:val="right"/>
            </w:pPr>
            <w:r>
              <w:rPr>
                <w:rFonts w:ascii="宋体" w:hAnsi="宋体" w:hint="eastAsia"/>
              </w:rPr>
              <w:t xml:space="preserve">24.42%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793A8E" w14:textId="77777777" w:rsidR="00F513D8" w:rsidRDefault="00F513D8">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C84AF4" w14:textId="77777777" w:rsidR="00F513D8" w:rsidRDefault="00F513D8">
            <w:pPr>
              <w:spacing w:line="360" w:lineRule="auto"/>
              <w:jc w:val="right"/>
            </w:pPr>
            <w:r>
              <w:rPr>
                <w:rFonts w:ascii="宋体" w:hAnsi="宋体" w:hint="eastAsia"/>
              </w:rPr>
              <w:t xml:space="preserve">31.30%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F045A9" w14:textId="77777777" w:rsidR="00F513D8" w:rsidRDefault="00F513D8">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BAD481F" w14:textId="77777777" w:rsidR="00F513D8" w:rsidRDefault="00F513D8">
            <w:pPr>
              <w:spacing w:line="360" w:lineRule="auto"/>
              <w:jc w:val="right"/>
            </w:pPr>
            <w:r>
              <w:rPr>
                <w:rFonts w:ascii="宋体" w:hAnsi="宋体" w:hint="eastAsia"/>
              </w:rPr>
              <w:t xml:space="preserve">-6.88%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4C479" w14:textId="77777777" w:rsidR="00F513D8" w:rsidRDefault="00F513D8">
            <w:pPr>
              <w:spacing w:line="360" w:lineRule="auto"/>
              <w:jc w:val="right"/>
            </w:pPr>
            <w:r>
              <w:rPr>
                <w:rFonts w:ascii="宋体" w:hAnsi="宋体" w:hint="eastAsia"/>
              </w:rPr>
              <w:t xml:space="preserve">-0.02% </w:t>
            </w:r>
          </w:p>
        </w:tc>
      </w:tr>
    </w:tbl>
    <w:p w14:paraId="5644F74C" w14:textId="77777777" w:rsidR="00F513D8" w:rsidRDefault="00F513D8">
      <w:pPr>
        <w:pStyle w:val="XBRLTitle3"/>
        <w:spacing w:before="156" w:line="360" w:lineRule="auto"/>
        <w:ind w:left="624"/>
      </w:pPr>
      <w:bookmarkStart w:id="77" w:name="_Toc514088249"/>
      <w:bookmarkStart w:id="78" w:name="_Toc480465419"/>
      <w:bookmarkStart w:id="79" w:name="_Toc513542650"/>
      <w:r>
        <w:rPr>
          <w:rFonts w:hAnsi="宋体" w:hint="eastAsia"/>
        </w:rPr>
        <w:t>自基金合同生效以来基金累计净值增长率变动及其与同期业绩比较基准收益率变动的比较</w:t>
      </w:r>
      <w:bookmarkEnd w:id="77"/>
      <w:bookmarkEnd w:id="78"/>
      <w:bookmarkEnd w:id="79"/>
      <w:r>
        <w:rPr>
          <w:rFonts w:hAnsi="宋体" w:hint="eastAsia"/>
        </w:rPr>
        <w:t xml:space="preserve"> </w:t>
      </w:r>
    </w:p>
    <w:p w14:paraId="2ED0087C" w14:textId="77777777" w:rsidR="00F513D8" w:rsidRDefault="00F513D8">
      <w:pPr>
        <w:spacing w:line="360" w:lineRule="auto"/>
        <w:jc w:val="left"/>
        <w:divId w:val="412702394"/>
      </w:pPr>
      <w:bookmarkStart w:id="80" w:name="m07_04_07_09_tab"/>
      <w:bookmarkStart w:id="81" w:name="m07_04_07_09"/>
      <w:bookmarkStart w:id="82" w:name="m01_01"/>
      <w:r>
        <w:rPr>
          <w:rFonts w:ascii="宋体" w:hAnsi="宋体" w:hint="eastAsia"/>
          <w:noProof/>
        </w:rPr>
        <w:drawing>
          <wp:inline distT="0" distB="0" distL="0" distR="0" wp14:anchorId="0E26AFBE" wp14:editId="7D30BF59">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7DE249C5" w14:textId="44FE2B69" w:rsidR="00F513D8" w:rsidRDefault="00570DF4">
      <w:pPr>
        <w:spacing w:line="360" w:lineRule="auto"/>
        <w:jc w:val="left"/>
        <w:divId w:val="1259633897"/>
      </w:pPr>
      <w:r>
        <w:rPr>
          <w:rFonts w:ascii="宋体" w:hAnsi="宋体" w:hint="eastAsia"/>
          <w:noProof/>
        </w:rPr>
        <w:lastRenderedPageBreak/>
        <w:drawing>
          <wp:inline distT="0" distB="0" distL="0" distR="0" wp14:anchorId="297CA0D9" wp14:editId="2D33680B">
            <wp:extent cx="5226050" cy="3009900"/>
            <wp:effectExtent l="0" t="0" r="0" b="0"/>
            <wp:docPr id="430757701" name="图片 43075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050" cy="3009900"/>
                    </a:xfrm>
                    <a:prstGeom prst="rect">
                      <a:avLst/>
                    </a:prstGeom>
                    <a:noFill/>
                    <a:ln>
                      <a:noFill/>
                    </a:ln>
                  </pic:spPr>
                </pic:pic>
              </a:graphicData>
            </a:graphic>
          </wp:inline>
        </w:drawing>
      </w:r>
    </w:p>
    <w:p w14:paraId="6D350AC4" w14:textId="77777777" w:rsidR="00F513D8" w:rsidRDefault="00F513D8">
      <w:pPr>
        <w:spacing w:line="360" w:lineRule="auto"/>
      </w:pPr>
      <w:r>
        <w:rPr>
          <w:rFonts w:ascii="宋体" w:hAnsi="宋体" w:hint="eastAsia"/>
        </w:rPr>
        <w:t>注：</w:t>
      </w:r>
      <w:r>
        <w:rPr>
          <w:rFonts w:ascii="宋体" w:hAnsi="宋体" w:hint="eastAsia"/>
          <w:lang w:eastAsia="zh-Hans"/>
        </w:rPr>
        <w:t>本基金合同生效日为2007年10月22日，图示的时间段为合同生效日至本报告期末。</w:t>
      </w:r>
      <w:r>
        <w:rPr>
          <w:rFonts w:ascii="宋体" w:hAnsi="宋体" w:hint="eastAsia"/>
          <w:lang w:eastAsia="zh-Hans"/>
        </w:rPr>
        <w:br/>
        <w:t xml:space="preserve">　　本基金自　2023年9月28日起增加C类份额，相关数据按实际存续期计算。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80"/>
      <w:bookmarkEnd w:id="81"/>
    </w:p>
    <w:p w14:paraId="26EAF951" w14:textId="77777777" w:rsidR="00F513D8" w:rsidRDefault="00F513D8">
      <w:pPr>
        <w:pStyle w:val="XBRLTitle1"/>
        <w:spacing w:before="156"/>
        <w:ind w:left="425"/>
        <w:rPr>
          <w:rFonts w:hint="eastAsia"/>
        </w:rPr>
      </w:pPr>
      <w:bookmarkStart w:id="83" w:name="_Toc514088250"/>
      <w:bookmarkStart w:id="84" w:name="_Toc480465420"/>
      <w:bookmarkStart w:id="85" w:name="_Toc448480289"/>
      <w:bookmarkStart w:id="86" w:name="_Toc438654077"/>
      <w:bookmarkStart w:id="87" w:name="_Toc456107123"/>
      <w:bookmarkStart w:id="88" w:name="_Toc459213769"/>
      <w:bookmarkStart w:id="89" w:name="_Toc513542651"/>
      <w:bookmarkStart w:id="90" w:name="_Toc512696255"/>
      <w:bookmarkStart w:id="91" w:name="_Toc512612258"/>
      <w:bookmarkStart w:id="92" w:name="_Toc512612082"/>
      <w:bookmarkStart w:id="93" w:name="_Toc512611286"/>
      <w:r>
        <w:rPr>
          <w:rFonts w:hint="eastAsia"/>
        </w:rPr>
        <w:t>管理人报告</w:t>
      </w:r>
      <w:bookmarkEnd w:id="83"/>
      <w:bookmarkEnd w:id="84"/>
      <w:bookmarkEnd w:id="85"/>
      <w:bookmarkEnd w:id="86"/>
      <w:bookmarkEnd w:id="87"/>
      <w:bookmarkEnd w:id="88"/>
      <w:bookmarkEnd w:id="89"/>
      <w:bookmarkEnd w:id="90"/>
      <w:bookmarkEnd w:id="91"/>
      <w:bookmarkEnd w:id="92"/>
      <w:bookmarkEnd w:id="93"/>
    </w:p>
    <w:p w14:paraId="1F6B527F" w14:textId="77777777" w:rsidR="00F513D8" w:rsidRDefault="00F513D8">
      <w:pPr>
        <w:pStyle w:val="XBRLTitle2"/>
        <w:spacing w:before="156" w:line="360" w:lineRule="auto"/>
        <w:ind w:left="454"/>
      </w:pPr>
      <w:bookmarkStart w:id="94" w:name="_Toc514088251"/>
      <w:bookmarkStart w:id="95" w:name="_Toc480465421"/>
      <w:bookmarkStart w:id="96" w:name="_Toc448480290"/>
      <w:bookmarkStart w:id="97" w:name="_Toc438654078"/>
      <w:bookmarkStart w:id="98" w:name="_Toc456107124"/>
      <w:bookmarkStart w:id="99" w:name="_Toc459213770"/>
      <w:bookmarkStart w:id="100" w:name="_Toc513542652"/>
      <w:bookmarkStart w:id="101" w:name="_Toc512696256"/>
      <w:bookmarkStart w:id="102" w:name="_Toc512612259"/>
      <w:bookmarkStart w:id="103" w:name="_Toc512612083"/>
      <w:bookmarkStart w:id="104" w:name="_Toc512611287"/>
      <w:r>
        <w:rPr>
          <w:rFonts w:eastAsia="宋体" w:hint="eastAsia"/>
        </w:rPr>
        <w:t>基金经理（或基金经理小组）简介</w:t>
      </w:r>
      <w:bookmarkEnd w:id="94"/>
      <w:bookmarkEnd w:id="95"/>
      <w:bookmarkEnd w:id="96"/>
      <w:bookmarkEnd w:id="97"/>
      <w:bookmarkEnd w:id="98"/>
      <w:bookmarkEnd w:id="99"/>
      <w:bookmarkEnd w:id="100"/>
      <w:bookmarkEnd w:id="101"/>
      <w:bookmarkEnd w:id="102"/>
      <w:bookmarkEnd w:id="103"/>
      <w:bookmarkEnd w:id="104"/>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9142D6" w14:paraId="406A7F99" w14:textId="77777777">
        <w:trPr>
          <w:divId w:val="29907331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48A335" w14:textId="77777777" w:rsidR="00F513D8" w:rsidRDefault="00F513D8">
            <w:pPr>
              <w:snapToGrid w:val="0"/>
              <w:jc w:val="center"/>
            </w:pPr>
            <w:bookmarkStart w:id="105" w:name="m04_02"/>
            <w:bookmarkEnd w:id="10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AA16A0" w14:textId="77777777" w:rsidR="00F513D8" w:rsidRDefault="00F513D8">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32C108" w14:textId="77777777" w:rsidR="00F513D8" w:rsidRDefault="00F513D8">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41FA1" w14:textId="77777777" w:rsidR="00F513D8" w:rsidRDefault="00F513D8">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E4784" w14:textId="77777777" w:rsidR="00F513D8" w:rsidRDefault="00F513D8">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9142D6" w14:paraId="7B1C4AC1" w14:textId="77777777">
        <w:trPr>
          <w:divId w:val="29907331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DF8F5" w14:textId="77777777" w:rsidR="00F513D8" w:rsidRDefault="00F513D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4A9D1" w14:textId="77777777" w:rsidR="00F513D8" w:rsidRDefault="00F513D8">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39676" w14:textId="77777777" w:rsidR="00F513D8" w:rsidRDefault="00F513D8">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FF70D" w14:textId="77777777" w:rsidR="00F513D8" w:rsidRDefault="00F513D8">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55A75" w14:textId="77777777" w:rsidR="00F513D8" w:rsidRDefault="00F513D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BFED6" w14:textId="77777777" w:rsidR="00F513D8" w:rsidRDefault="00F513D8">
            <w:pPr>
              <w:widowControl/>
              <w:jc w:val="left"/>
            </w:pPr>
          </w:p>
        </w:tc>
      </w:tr>
      <w:tr w:rsidR="009142D6" w14:paraId="584E9FC5" w14:textId="77777777">
        <w:trPr>
          <w:divId w:val="29907331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CC75A" w14:textId="77777777" w:rsidR="00F513D8" w:rsidRDefault="00F513D8">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287746" w14:textId="77777777" w:rsidR="00F513D8" w:rsidRDefault="00F513D8">
            <w:pPr>
              <w:jc w:val="left"/>
            </w:pPr>
            <w:r>
              <w:rPr>
                <w:rFonts w:ascii="宋体" w:hAnsi="宋体" w:hint="eastAsia"/>
                <w:szCs w:val="24"/>
                <w:lang w:eastAsia="zh-Hans"/>
              </w:rPr>
              <w:t>本基金的基金经理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749F61" w14:textId="77777777" w:rsidR="00F513D8" w:rsidRDefault="00F513D8">
            <w:pPr>
              <w:jc w:val="center"/>
            </w:pPr>
            <w:r>
              <w:rPr>
                <w:rFonts w:ascii="宋体" w:hAnsi="宋体" w:hint="eastAsia"/>
                <w:szCs w:val="24"/>
                <w:lang w:eastAsia="zh-Hans"/>
              </w:rPr>
              <w:t>2008年3月8日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133C41" w14:textId="77777777" w:rsidR="00F513D8" w:rsidRDefault="00F513D8">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FB78BC" w14:textId="77777777" w:rsidR="00F513D8" w:rsidRDefault="00F513D8">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53862A" w14:textId="77777777" w:rsidR="00F513D8" w:rsidRDefault="00F513D8">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14:paraId="5B543057" w14:textId="77777777" w:rsidR="00F513D8" w:rsidRDefault="00F513D8">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7CF6966" w14:textId="77777777" w:rsidR="00F513D8" w:rsidRDefault="00F513D8">
      <w:pPr>
        <w:pStyle w:val="XBRLTitle3"/>
        <w:spacing w:before="156" w:line="360" w:lineRule="auto"/>
        <w:ind w:left="624"/>
        <w:divId w:val="2022005131"/>
      </w:pPr>
      <w:bookmarkStart w:id="106" w:name="_Toc512519488"/>
      <w:bookmarkStart w:id="107" w:name="_Toc490050009"/>
      <w:bookmarkStart w:id="108" w:name="_Toc438646459"/>
      <w:bookmarkStart w:id="109" w:name="_Toc481075055"/>
      <w:bookmarkStart w:id="110" w:name="_Toc5134656621"/>
      <w:r>
        <w:rPr>
          <w:rFonts w:hAnsi="宋体" w:hint="eastAsia"/>
        </w:rPr>
        <w:t>期末兼任私募资产管理计划投资经理的基金经理同时管理的产品情况</w:t>
      </w:r>
      <w:bookmarkEnd w:id="106"/>
      <w:bookmarkEnd w:id="107"/>
      <w:bookmarkEnd w:id="108"/>
      <w:bookmarkEnd w:id="109"/>
      <w:bookmarkEnd w:id="110"/>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9142D6" w14:paraId="28B7C5EF" w14:textId="77777777">
        <w:trPr>
          <w:divId w:val="1790080061"/>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B0B4831" w14:textId="77777777" w:rsidR="00F513D8" w:rsidRDefault="00F513D8">
            <w:pPr>
              <w:snapToGrid w:val="0"/>
              <w:jc w:val="center"/>
            </w:pPr>
            <w:bookmarkStart w:id="111" w:name="m04_01_02_tab"/>
            <w:r>
              <w:rPr>
                <w:rFonts w:ascii="宋体" w:hAnsi="宋体" w:hint="eastAsia"/>
                <w:szCs w:val="24"/>
              </w:rPr>
              <w:lastRenderedPageBreak/>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ADD6D58" w14:textId="77777777" w:rsidR="00F513D8" w:rsidRDefault="00F513D8">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B8B864" w14:textId="77777777" w:rsidR="00F513D8" w:rsidRDefault="00F513D8">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8868BB4" w14:textId="77777777" w:rsidR="00F513D8" w:rsidRDefault="00F513D8">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CAA34C8" w14:textId="77777777" w:rsidR="00F513D8" w:rsidRDefault="00F513D8">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9142D6" w14:paraId="411EED5F" w14:textId="77777777">
        <w:trPr>
          <w:divId w:val="1790080061"/>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311D3E" w14:textId="77777777" w:rsidR="00F513D8" w:rsidRDefault="00F513D8">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3BAEEF" w14:textId="77777777" w:rsidR="00F513D8" w:rsidRDefault="00F513D8">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B2F7BE" w14:textId="77777777" w:rsidR="00F513D8" w:rsidRDefault="00F513D8">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D7039A" w14:textId="77777777" w:rsidR="00F513D8" w:rsidRDefault="00F513D8">
            <w:pPr>
              <w:jc w:val="right"/>
            </w:pPr>
            <w:r>
              <w:rPr>
                <w:rFonts w:ascii="宋体" w:hAnsi="宋体" w:hint="eastAsia"/>
                <w:szCs w:val="24"/>
              </w:rPr>
              <w:t>10,637,595,607.52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B1DAAE" w14:textId="77777777" w:rsidR="00F513D8" w:rsidRDefault="00F513D8">
            <w:pPr>
              <w:jc w:val="center"/>
            </w:pPr>
            <w:r>
              <w:rPr>
                <w:rFonts w:ascii="宋体" w:hAnsi="宋体" w:hint="eastAsia"/>
                <w:szCs w:val="24"/>
              </w:rPr>
              <w:t>2008-03-08</w:t>
            </w:r>
          </w:p>
        </w:tc>
      </w:tr>
      <w:tr w:rsidR="009142D6" w14:paraId="0C1AFA1D" w14:textId="77777777">
        <w:trPr>
          <w:divId w:val="1790080061"/>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A853D23" w14:textId="77777777" w:rsidR="00F513D8" w:rsidRDefault="00F513D8">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874992" w14:textId="77777777" w:rsidR="00F513D8" w:rsidRDefault="00F513D8">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1E486C" w14:textId="77777777" w:rsidR="00F513D8" w:rsidRDefault="00F513D8">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CD1DAB" w14:textId="77777777" w:rsidR="00F513D8" w:rsidRDefault="00F513D8">
            <w:pPr>
              <w:jc w:val="right"/>
            </w:pPr>
            <w:r>
              <w:rPr>
                <w:rFonts w:ascii="宋体" w:hAnsi="宋体" w:hint="eastAsia"/>
                <w:szCs w:val="24"/>
              </w:rPr>
              <w:t>26,424,711.73</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F7F911" w14:textId="77777777" w:rsidR="00F513D8" w:rsidRDefault="00F513D8">
            <w:pPr>
              <w:jc w:val="center"/>
            </w:pPr>
            <w:r>
              <w:rPr>
                <w:rFonts w:ascii="宋体" w:hAnsi="宋体" w:hint="eastAsia"/>
                <w:szCs w:val="24"/>
              </w:rPr>
              <w:t>2021-07-09</w:t>
            </w:r>
          </w:p>
        </w:tc>
      </w:tr>
      <w:tr w:rsidR="009142D6" w14:paraId="6A8E282B" w14:textId="77777777">
        <w:trPr>
          <w:divId w:val="1790080061"/>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1F9E475" w14:textId="77777777" w:rsidR="00F513D8" w:rsidRDefault="00F513D8">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BE1FA3" w14:textId="77777777" w:rsidR="00F513D8" w:rsidRDefault="00F513D8">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D0A6D5" w14:textId="77777777" w:rsidR="00F513D8" w:rsidRDefault="00F513D8">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CF219" w14:textId="77777777" w:rsidR="00F513D8" w:rsidRDefault="00F513D8">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00962E" w14:textId="77777777" w:rsidR="00F513D8" w:rsidRDefault="00F513D8">
            <w:pPr>
              <w:jc w:val="center"/>
            </w:pPr>
            <w:r>
              <w:rPr>
                <w:rFonts w:ascii="宋体" w:hAnsi="宋体" w:hint="eastAsia"/>
                <w:szCs w:val="24"/>
              </w:rPr>
              <w:t>-</w:t>
            </w:r>
          </w:p>
        </w:tc>
      </w:tr>
      <w:tr w:rsidR="009142D6" w14:paraId="301E5801" w14:textId="77777777">
        <w:trPr>
          <w:divId w:val="1790080061"/>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AA7E212" w14:textId="77777777" w:rsidR="00F513D8" w:rsidRDefault="00F513D8">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98AE52" w14:textId="77777777" w:rsidR="00F513D8" w:rsidRDefault="00F513D8">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645B34" w14:textId="77777777" w:rsidR="00F513D8" w:rsidRDefault="00F513D8">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0BA471" w14:textId="77777777" w:rsidR="00F513D8" w:rsidRDefault="00F513D8">
            <w:pPr>
              <w:jc w:val="right"/>
            </w:pPr>
            <w:r>
              <w:rPr>
                <w:rFonts w:ascii="宋体" w:hAnsi="宋体" w:hint="eastAsia"/>
                <w:szCs w:val="24"/>
              </w:rPr>
              <w:t>10,664,020,319.25</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B078FC" w14:textId="77777777" w:rsidR="00F513D8" w:rsidRDefault="00F513D8">
            <w:pPr>
              <w:jc w:val="center"/>
            </w:pPr>
            <w:r>
              <w:rPr>
                <w:rFonts w:ascii="宋体" w:hAnsi="宋体" w:hint="eastAsia"/>
                <w:szCs w:val="24"/>
              </w:rPr>
              <w:t xml:space="preserve">- </w:t>
            </w:r>
          </w:p>
        </w:tc>
      </w:tr>
    </w:tbl>
    <w:p w14:paraId="1722ECF7" w14:textId="77777777" w:rsidR="00F513D8" w:rsidRDefault="00F513D8">
      <w:pPr>
        <w:pStyle w:val="XBRLTitle2"/>
        <w:spacing w:before="156" w:line="360" w:lineRule="auto"/>
        <w:ind w:left="454"/>
      </w:pPr>
      <w:bookmarkStart w:id="112" w:name="_Toc514088252"/>
      <w:bookmarkStart w:id="113" w:name="_Toc480465422"/>
      <w:bookmarkStart w:id="114" w:name="_Toc448480291"/>
      <w:bookmarkStart w:id="115" w:name="_Toc438654079"/>
      <w:bookmarkStart w:id="116" w:name="_Toc456107125"/>
      <w:bookmarkStart w:id="117" w:name="_Toc459213771"/>
      <w:bookmarkStart w:id="118" w:name="_Toc513542653"/>
      <w:bookmarkStart w:id="119" w:name="_Toc512696257"/>
      <w:bookmarkStart w:id="120" w:name="_Toc512612260"/>
      <w:bookmarkStart w:id="121" w:name="_Toc512612084"/>
      <w:bookmarkStart w:id="122" w:name="_Toc512611288"/>
      <w:bookmarkStart w:id="123" w:name="m402"/>
      <w:bookmarkEnd w:id="111"/>
      <w:r>
        <w:rPr>
          <w:rFonts w:eastAsia="宋体" w:hint="eastAsia"/>
        </w:rPr>
        <w:t>境外投资顾问为本基金提供投资建议的主要成员简介</w:t>
      </w:r>
      <w:bookmarkEnd w:id="112"/>
      <w:bookmarkEnd w:id="113"/>
      <w:bookmarkEnd w:id="114"/>
      <w:bookmarkEnd w:id="115"/>
      <w:bookmarkEnd w:id="116"/>
      <w:bookmarkEnd w:id="117"/>
      <w:r>
        <w:rPr>
          <w:rFonts w:eastAsia="宋体" w:cs="宋体" w:hint="eastAsia"/>
          <w:color w:val="000000"/>
          <w:kern w:val="0"/>
        </w:rPr>
        <w:t xml:space="preserve"> </w:t>
      </w:r>
      <w:bookmarkEnd w:id="118"/>
      <w:bookmarkEnd w:id="119"/>
      <w:bookmarkEnd w:id="120"/>
      <w:bookmarkEnd w:id="121"/>
      <w:bookmarkEnd w:id="122"/>
    </w:p>
    <w:tbl>
      <w:tblPr>
        <w:tblStyle w:val="af8"/>
        <w:tblW w:w="49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528"/>
        <w:gridCol w:w="2054"/>
        <w:gridCol w:w="1290"/>
        <w:gridCol w:w="3786"/>
      </w:tblGrid>
      <w:tr w:rsidR="009142D6" w14:paraId="726EB92D" w14:textId="77777777">
        <w:trPr>
          <w:divId w:val="1521553637"/>
          <w:trHeight w:val="55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bookmarkEnd w:id="123"/>
          <w:p w14:paraId="31E987F6" w14:textId="77777777" w:rsidR="00F513D8" w:rsidRDefault="00F513D8">
            <w:pPr>
              <w:jc w:val="center"/>
            </w:pPr>
            <w:r>
              <w:rPr>
                <w:rFonts w:asciiTheme="majorEastAsia" w:eastAsiaTheme="majorEastAsia" w:hAnsiTheme="majorEastAsia" w:hint="eastAsia"/>
              </w:rPr>
              <w:t xml:space="preserve">姓名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6711C61A" w14:textId="77777777" w:rsidR="00F513D8" w:rsidRDefault="00F513D8">
            <w:pPr>
              <w:jc w:val="center"/>
            </w:pPr>
            <w:r>
              <w:rPr>
                <w:rFonts w:asciiTheme="majorEastAsia" w:eastAsiaTheme="majorEastAsia" w:hAnsiTheme="majorEastAsia" w:hint="eastAsia"/>
              </w:rPr>
              <w:t xml:space="preserve">在境外投资顾问所任职务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2FE9B634" w14:textId="77777777" w:rsidR="00F513D8" w:rsidRDefault="00F513D8">
            <w:pPr>
              <w:jc w:val="center"/>
            </w:pPr>
            <w:r>
              <w:rPr>
                <w:rFonts w:asciiTheme="majorEastAsia" w:eastAsiaTheme="majorEastAsia" w:hAnsiTheme="majorEastAsia" w:hint="eastAsia"/>
              </w:rPr>
              <w:t xml:space="preserve">证券从业年限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33FFABCD" w14:textId="77777777" w:rsidR="00F513D8" w:rsidRDefault="00F513D8">
            <w:pPr>
              <w:jc w:val="center"/>
            </w:pPr>
            <w:r>
              <w:rPr>
                <w:rFonts w:asciiTheme="majorEastAsia" w:eastAsiaTheme="majorEastAsia" w:hAnsiTheme="majorEastAsia" w:hint="eastAsia"/>
              </w:rPr>
              <w:t xml:space="preserve">说明 </w:t>
            </w:r>
          </w:p>
        </w:tc>
      </w:tr>
      <w:tr w:rsidR="009142D6" w14:paraId="21B05D31" w14:textId="77777777">
        <w:trPr>
          <w:divId w:val="152155363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2EE28" w14:textId="77777777" w:rsidR="00F513D8" w:rsidRDefault="00F513D8">
            <w:r>
              <w:rPr>
                <w:rFonts w:asciiTheme="majorEastAsia" w:eastAsiaTheme="majorEastAsia" w:hAnsiTheme="majorEastAsia" w:hint="eastAsia"/>
              </w:rPr>
              <w:t>Robert Lloyd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74347" w14:textId="77777777" w:rsidR="00F513D8" w:rsidRDefault="00F513D8">
            <w:r>
              <w:rPr>
                <w:rFonts w:asciiTheme="majorEastAsia" w:eastAsiaTheme="majorEastAsia" w:hAnsiTheme="majorEastAsia" w:hint="eastAsia"/>
              </w:rPr>
              <w:t>摩根资产管理(亚太)　董事总经理，新兴市场和亚太地区（EMAP）股票团队中亚太股票的基金经理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CF753" w14:textId="77777777" w:rsidR="00F513D8" w:rsidRDefault="00F513D8">
            <w:r>
              <w:rPr>
                <w:rFonts w:asciiTheme="majorEastAsia" w:eastAsiaTheme="majorEastAsia" w:hAnsiTheme="majorEastAsia" w:hint="eastAsia"/>
              </w:rPr>
              <w:t>24年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900CC" w14:textId="77777777" w:rsidR="00F513D8" w:rsidRDefault="00F513D8">
            <w:r>
              <w:rPr>
                <w:rFonts w:asciiTheme="majorEastAsia" w:eastAsiaTheme="majorEastAsia" w:hAnsiTheme="majorEastAsia" w:hint="eastAsia"/>
              </w:rPr>
              <w:t>Robert Lloyd，董事总经理，是新兴市场和亚太地区（EMAP）股票团队中亚太股票的基金经理。他常驻香港，于2005年加入EMAP东京团队，于2009年调回香港。在此之前，Robert在瑞</w:t>
            </w:r>
            <w:proofErr w:type="gramStart"/>
            <w:r>
              <w:rPr>
                <w:rFonts w:asciiTheme="majorEastAsia" w:eastAsiaTheme="majorEastAsia" w:hAnsiTheme="majorEastAsia" w:hint="eastAsia"/>
              </w:rPr>
              <w:t>银资产</w:t>
            </w:r>
            <w:proofErr w:type="gramEnd"/>
            <w:r>
              <w:rPr>
                <w:rFonts w:asciiTheme="majorEastAsia" w:eastAsiaTheme="majorEastAsia" w:hAnsiTheme="majorEastAsia" w:hint="eastAsia"/>
              </w:rPr>
              <w:t>管理公司（日本）担任投资分析师三年，专注在风险控制及日本股票。Robert的职业生涯从在德意志银行（日本）的信贷部担任抵押品分析师开始。Robert拥有美国蒙大纳大学文学及语言学士学位。</w:t>
            </w:r>
          </w:p>
        </w:tc>
      </w:tr>
      <w:tr w:rsidR="009142D6" w14:paraId="7871BC45" w14:textId="77777777">
        <w:trPr>
          <w:divId w:val="152155363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3D46E" w14:textId="77777777" w:rsidR="00F513D8" w:rsidRDefault="00F513D8">
            <w:r>
              <w:rPr>
                <w:rFonts w:asciiTheme="majorEastAsia" w:eastAsiaTheme="majorEastAsia" w:hAnsiTheme="majorEastAsia" w:hint="eastAsia"/>
              </w:rPr>
              <w:t>Julian Wong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93934" w14:textId="77777777" w:rsidR="00F513D8" w:rsidRDefault="00F513D8">
            <w:r>
              <w:rPr>
                <w:rFonts w:asciiTheme="majorEastAsia" w:eastAsiaTheme="majorEastAsia" w:hAnsiTheme="majorEastAsia" w:hint="eastAsia"/>
              </w:rPr>
              <w:t>摩根资产管理(亚太)副总裁，新兴市场和亚太地区（EMAP）股票团队中亚太股票的产品分析师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47767" w14:textId="77777777" w:rsidR="00F513D8" w:rsidRDefault="00F513D8">
            <w:r>
              <w:rPr>
                <w:rFonts w:asciiTheme="majorEastAsia" w:eastAsiaTheme="majorEastAsia" w:hAnsiTheme="majorEastAsia" w:hint="eastAsia"/>
              </w:rPr>
              <w:t>15年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57978" w14:textId="77777777" w:rsidR="00F513D8" w:rsidRDefault="00F513D8">
            <w:r>
              <w:rPr>
                <w:rFonts w:asciiTheme="majorEastAsia" w:eastAsiaTheme="majorEastAsia" w:hAnsiTheme="majorEastAsia" w:hint="eastAsia"/>
              </w:rPr>
              <w:t>Julian Wong，副总裁，是新兴市场和亚太地区（EMAP）股票团队中亚太股票的产品分析师。他常驻香港，于2014年加入公司，担任EMAP股票团队的初级投资专家。在此之前，Julian是德勤（Deloitte）的管理顾问，并曾在施罗德投资管理公司（Schroder Investment Management）工作。Julian拥有香港大学信息系统和金融专业的工商管理学士学位。他还是特许金融分析师。</w:t>
            </w:r>
          </w:p>
        </w:tc>
      </w:tr>
    </w:tbl>
    <w:p w14:paraId="3E508E70" w14:textId="77777777" w:rsidR="00F513D8" w:rsidRDefault="00F513D8">
      <w:pPr>
        <w:pStyle w:val="XBRLTitle2"/>
        <w:spacing w:before="156" w:line="360" w:lineRule="auto"/>
        <w:ind w:left="454"/>
      </w:pPr>
      <w:bookmarkStart w:id="124" w:name="_Toc514088253"/>
      <w:bookmarkStart w:id="125" w:name="_Toc480465423"/>
      <w:bookmarkStart w:id="126" w:name="_Toc448480292"/>
      <w:bookmarkStart w:id="127" w:name="_Toc438654080"/>
      <w:bookmarkStart w:id="128" w:name="_Toc456107126"/>
      <w:bookmarkStart w:id="129" w:name="_Toc459213772"/>
      <w:bookmarkStart w:id="130" w:name="_Toc513542654"/>
      <w:bookmarkStart w:id="131" w:name="_Toc512696258"/>
      <w:bookmarkStart w:id="132" w:name="_Toc512612261"/>
      <w:bookmarkStart w:id="133" w:name="_Toc512612085"/>
      <w:bookmarkStart w:id="134" w:name="_Toc512611289"/>
      <w:bookmarkStart w:id="135" w:name="m403"/>
      <w:r>
        <w:rPr>
          <w:rFonts w:eastAsia="宋体" w:hint="eastAsia"/>
        </w:rPr>
        <w:t>报告期内本基金运作遵规守信情况说明</w:t>
      </w:r>
      <w:bookmarkEnd w:id="124"/>
      <w:bookmarkEnd w:id="125"/>
      <w:bookmarkEnd w:id="126"/>
      <w:bookmarkEnd w:id="127"/>
      <w:bookmarkEnd w:id="128"/>
      <w:bookmarkEnd w:id="129"/>
      <w:bookmarkEnd w:id="130"/>
      <w:bookmarkEnd w:id="131"/>
      <w:bookmarkEnd w:id="132"/>
      <w:bookmarkEnd w:id="133"/>
      <w:bookmarkEnd w:id="134"/>
      <w:r>
        <w:rPr>
          <w:rFonts w:eastAsia="宋体" w:hint="eastAsia"/>
        </w:rPr>
        <w:t xml:space="preserve"> </w:t>
      </w:r>
    </w:p>
    <w:p w14:paraId="337543C4" w14:textId="77777777" w:rsidR="00F513D8" w:rsidRDefault="00F513D8">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34B59151" w14:textId="77777777" w:rsidR="00F513D8" w:rsidRDefault="00F513D8">
      <w:pPr>
        <w:pStyle w:val="XBRLTitle2"/>
        <w:spacing w:before="156" w:line="360" w:lineRule="auto"/>
        <w:ind w:left="454"/>
      </w:pPr>
      <w:bookmarkStart w:id="136" w:name="_Toc514088254"/>
      <w:bookmarkStart w:id="137" w:name="_Toc480465424"/>
      <w:bookmarkStart w:id="138" w:name="_Toc448480293"/>
      <w:bookmarkStart w:id="139" w:name="_Toc438654081"/>
      <w:bookmarkStart w:id="140" w:name="_Toc456107127"/>
      <w:bookmarkStart w:id="141" w:name="_Toc459213773"/>
      <w:bookmarkStart w:id="142" w:name="_Toc513542655"/>
      <w:bookmarkStart w:id="143" w:name="_Toc512696259"/>
      <w:bookmarkStart w:id="144" w:name="_Toc512612262"/>
      <w:bookmarkStart w:id="145" w:name="_Toc512612086"/>
      <w:bookmarkStart w:id="146" w:name="_Toc512611290"/>
      <w:bookmarkEnd w:id="135"/>
      <w:r>
        <w:rPr>
          <w:rFonts w:eastAsia="宋体" w:hint="eastAsia"/>
        </w:rPr>
        <w:t>公平交易专项说明</w:t>
      </w:r>
      <w:bookmarkEnd w:id="136"/>
      <w:bookmarkEnd w:id="137"/>
      <w:bookmarkEnd w:id="138"/>
      <w:bookmarkEnd w:id="139"/>
      <w:bookmarkEnd w:id="140"/>
      <w:bookmarkEnd w:id="141"/>
      <w:bookmarkEnd w:id="142"/>
      <w:bookmarkEnd w:id="143"/>
      <w:bookmarkEnd w:id="144"/>
      <w:bookmarkEnd w:id="145"/>
      <w:bookmarkEnd w:id="146"/>
      <w:r>
        <w:rPr>
          <w:rFonts w:eastAsia="宋体" w:hint="eastAsia"/>
        </w:rPr>
        <w:t xml:space="preserve"> </w:t>
      </w:r>
    </w:p>
    <w:p w14:paraId="3494A578" w14:textId="77777777" w:rsidR="00F513D8" w:rsidRDefault="00F513D8">
      <w:pPr>
        <w:pStyle w:val="XBRLTitle3"/>
        <w:spacing w:before="156" w:line="360" w:lineRule="auto"/>
        <w:ind w:left="624"/>
      </w:pPr>
      <w:bookmarkStart w:id="147" w:name="_Toc514088255"/>
      <w:bookmarkStart w:id="148" w:name="_Toc480465425"/>
      <w:bookmarkStart w:id="149" w:name="_Toc513542656"/>
      <w:bookmarkStart w:id="150" w:name="m404_01_0570"/>
      <w:r>
        <w:rPr>
          <w:rFonts w:hAnsi="宋体" w:hint="eastAsia"/>
        </w:rPr>
        <w:t>公平交易制度的执行情况</w:t>
      </w:r>
      <w:bookmarkEnd w:id="147"/>
      <w:r>
        <w:rPr>
          <w:rFonts w:hAnsi="宋体" w:hint="eastAsia"/>
        </w:rPr>
        <w:t xml:space="preserve"> </w:t>
      </w:r>
    </w:p>
    <w:p w14:paraId="459CCCA7" w14:textId="77777777" w:rsidR="00F513D8" w:rsidRDefault="00F513D8">
      <w:pPr>
        <w:spacing w:line="360" w:lineRule="auto"/>
        <w:ind w:firstLineChars="200" w:firstLine="420"/>
        <w:jc w:val="left"/>
      </w:pPr>
      <w:r>
        <w:rPr>
          <w:rFonts w:ascii="宋体" w:hAnsi="宋体" w:cs="宋体" w:hint="eastAsia"/>
          <w:color w:val="000000"/>
          <w:kern w:val="0"/>
        </w:rPr>
        <w:lastRenderedPageBreak/>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2B63F743" w14:textId="77777777" w:rsidR="00F513D8" w:rsidRDefault="00F513D8">
      <w:pPr>
        <w:pStyle w:val="XBRLTitle3"/>
        <w:spacing w:before="156" w:line="360" w:lineRule="auto"/>
        <w:ind w:left="624"/>
      </w:pPr>
      <w:bookmarkStart w:id="151" w:name="_Toc514088256"/>
      <w:bookmarkStart w:id="152" w:name="_Toc480465426"/>
      <w:bookmarkStart w:id="153" w:name="_Toc513542657"/>
      <w:bookmarkStart w:id="154" w:name="m404_01_0578"/>
      <w:r>
        <w:rPr>
          <w:rFonts w:hAnsi="宋体" w:hint="eastAsia"/>
        </w:rPr>
        <w:t>异常交易行为的专项说明</w:t>
      </w:r>
      <w:bookmarkEnd w:id="151"/>
      <w:r>
        <w:rPr>
          <w:rFonts w:hAnsi="宋体" w:hint="eastAsia"/>
        </w:rPr>
        <w:t xml:space="preserve"> </w:t>
      </w:r>
    </w:p>
    <w:p w14:paraId="3511A1F4" w14:textId="77777777" w:rsidR="00F513D8" w:rsidRDefault="00F513D8">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07ED49A" w14:textId="77777777" w:rsidR="00F513D8" w:rsidRDefault="00F513D8">
      <w:pPr>
        <w:pStyle w:val="XBRLTitle2"/>
        <w:spacing w:before="156" w:line="360" w:lineRule="auto"/>
        <w:ind w:left="454"/>
      </w:pPr>
      <w:bookmarkStart w:id="155" w:name="_Toc514088257"/>
      <w:bookmarkStart w:id="156" w:name="_Toc480465427"/>
      <w:bookmarkStart w:id="157" w:name="_Toc448480294"/>
      <w:bookmarkStart w:id="158" w:name="_Toc438654082"/>
      <w:bookmarkStart w:id="159" w:name="_Toc456107128"/>
      <w:bookmarkStart w:id="160" w:name="_Toc459213774"/>
      <w:bookmarkStart w:id="161" w:name="_Toc513542658"/>
      <w:bookmarkStart w:id="162" w:name="_Toc512696260"/>
      <w:bookmarkStart w:id="163" w:name="_Toc512612263"/>
      <w:bookmarkStart w:id="164" w:name="_Toc512612087"/>
      <w:bookmarkStart w:id="165" w:name="_Toc512611291"/>
      <w:r>
        <w:rPr>
          <w:rFonts w:eastAsia="宋体" w:hint="eastAsia"/>
        </w:rPr>
        <w:t>报告期内基金的投资策略和业绩表现说明</w:t>
      </w:r>
      <w:bookmarkEnd w:id="155"/>
      <w:bookmarkEnd w:id="156"/>
      <w:bookmarkEnd w:id="157"/>
      <w:bookmarkEnd w:id="158"/>
      <w:bookmarkEnd w:id="159"/>
      <w:bookmarkEnd w:id="160"/>
      <w:bookmarkEnd w:id="161"/>
      <w:bookmarkEnd w:id="162"/>
      <w:bookmarkEnd w:id="163"/>
      <w:bookmarkEnd w:id="164"/>
      <w:bookmarkEnd w:id="165"/>
      <w:r>
        <w:rPr>
          <w:rFonts w:eastAsia="宋体" w:hint="eastAsia"/>
        </w:rPr>
        <w:t xml:space="preserve"> </w:t>
      </w:r>
    </w:p>
    <w:p w14:paraId="1CAECBF3" w14:textId="77777777" w:rsidR="00F513D8" w:rsidRDefault="00F513D8">
      <w:pPr>
        <w:pStyle w:val="XBRLTitle3"/>
        <w:spacing w:before="156" w:line="360" w:lineRule="auto"/>
        <w:ind w:left="624"/>
      </w:pPr>
      <w:bookmarkStart w:id="166" w:name="_Toc51408825711"/>
      <w:r>
        <w:rPr>
          <w:rFonts w:hAnsi="宋体" w:hint="eastAsia"/>
        </w:rPr>
        <w:t>报告期内基金投资策略和运作分析</w:t>
      </w:r>
      <w:bookmarkEnd w:id="166"/>
      <w:bookmarkEnd w:id="148"/>
      <w:bookmarkEnd w:id="149"/>
      <w:r>
        <w:rPr>
          <w:rFonts w:hAnsi="宋体" w:hint="eastAsia"/>
        </w:rPr>
        <w:t xml:space="preserve"> </w:t>
      </w:r>
    </w:p>
    <w:p w14:paraId="78D2DF00" w14:textId="38FCFF7E" w:rsidR="00F513D8" w:rsidRDefault="00F513D8">
      <w:pPr>
        <w:spacing w:line="360" w:lineRule="auto"/>
        <w:ind w:firstLineChars="200" w:firstLine="420"/>
        <w:divId w:val="513347786"/>
      </w:pPr>
      <w:r>
        <w:rPr>
          <w:rFonts w:ascii="宋体" w:hAnsi="宋体" w:hint="eastAsia"/>
          <w:color w:val="000000"/>
          <w:kern w:val="0"/>
          <w:szCs w:val="21"/>
          <w:lang w:eastAsia="zh-Hans"/>
        </w:rPr>
        <w:lastRenderedPageBreak/>
        <w:t>报告期内MSCI亚太除日本股票指数上涨，表现好于MSCI发达市场股票指数，在区域中的韩国和印度股票涨幅领先，对指数的正贡献最大。</w:t>
      </w:r>
      <w:r>
        <w:rPr>
          <w:rFonts w:ascii="宋体" w:hAnsi="宋体" w:hint="eastAsia"/>
          <w:color w:val="000000"/>
          <w:kern w:val="0"/>
          <w:szCs w:val="21"/>
          <w:lang w:eastAsia="zh-Hans"/>
        </w:rPr>
        <w:br/>
        <w:t xml:space="preserve">　　美国总统特朗普宣布将从4月5日起对所有国家进口商品加征10%的关税，并从4月9日起，把对全球57个国家或地区的加征关税提高至各自的所谓“对等关税税率”水平，其中东南亚被加征的税率最高。美国发起的“对等关税”导致全球市场动荡，虽然提出了90天的停止期，安抚了市场紧张情绪，却引发了全球对美元资产的“不信任”和“去美元化”的资产再配置。亚洲市场因为之前的低配和低估值成为全球资金关注的焦点。在弱美元环境下，亚太新兴市场股市有望迎来较宽松的流动性环境，同时在贸易谈判进展乐观预期下，亚洲货币兑美元汇率大涨。</w:t>
      </w:r>
      <w:r>
        <w:rPr>
          <w:rFonts w:ascii="宋体" w:hAnsi="宋体" w:hint="eastAsia"/>
          <w:color w:val="000000"/>
          <w:kern w:val="0"/>
          <w:szCs w:val="21"/>
          <w:lang w:eastAsia="zh-Hans"/>
        </w:rPr>
        <w:br/>
        <w:t xml:space="preserve">　　展望未来，尽管存在特殊驱动因素，但亚太区企业盈利恢复仍需时间，区域经济仍面临外部风险。亚洲的GDP增长（以美元计算）与全球出口密切相关，而亚洲的每股收益增长也与区域GDP和出口增长、全球采购经理人指数高度相关。亚洲经济面临贸易紧张、货币波动和增长模式转型的多重挑战。中美贸易摩擦仍是关键隐忧，尽管部分关税下调，但政策不确定性持续影响企业信心，尤其对中国、韩国等贸易依赖型经济体的冲击显著。亚洲贸易盈余与美国贸易赤字高度关联，若美国消减进口需求，亚洲需要通过提振内需应对结构性调整。我们关注中国和印度在未来出现的投资机会。</w:t>
      </w:r>
      <w:r>
        <w:rPr>
          <w:rFonts w:ascii="宋体" w:hAnsi="宋体" w:hint="eastAsia"/>
          <w:color w:val="000000"/>
          <w:kern w:val="0"/>
          <w:szCs w:val="21"/>
          <w:lang w:eastAsia="zh-Hans"/>
        </w:rPr>
        <w:br/>
        <w:t xml:space="preserve">　　中国经济需要关注三大机会：</w:t>
      </w:r>
      <w:r>
        <w:rPr>
          <w:rFonts w:ascii="宋体" w:hAnsi="宋体" w:hint="eastAsia"/>
          <w:color w:val="000000"/>
          <w:kern w:val="0"/>
          <w:szCs w:val="21"/>
          <w:lang w:eastAsia="zh-Hans"/>
        </w:rPr>
        <w:br/>
        <w:t xml:space="preserve">　　1、房地产企稳：行业拖累效应减弱，家庭储蓄逐步转向消费；</w:t>
      </w:r>
      <w:r>
        <w:rPr>
          <w:rFonts w:ascii="宋体" w:hAnsi="宋体" w:hint="eastAsia"/>
          <w:color w:val="000000"/>
          <w:kern w:val="0"/>
          <w:szCs w:val="21"/>
          <w:lang w:eastAsia="zh-Hans"/>
        </w:rPr>
        <w:br/>
        <w:t xml:space="preserve">　　2、制造业升级：DeepSeek等AI技术推动效率提升，工业机械、电动汽车等领域加速创新；</w:t>
      </w:r>
      <w:r>
        <w:rPr>
          <w:rFonts w:ascii="宋体" w:hAnsi="宋体" w:hint="eastAsia"/>
          <w:color w:val="000000"/>
          <w:kern w:val="0"/>
          <w:szCs w:val="21"/>
          <w:lang w:eastAsia="zh-Hans"/>
        </w:rPr>
        <w:br/>
        <w:t xml:space="preserve">　　3、政策支持：货币与财政措施双管齐下，预计夏季将推出更多消费刺激。</w:t>
      </w:r>
      <w:r>
        <w:rPr>
          <w:rFonts w:ascii="宋体" w:hAnsi="宋体" w:hint="eastAsia"/>
          <w:color w:val="000000"/>
          <w:kern w:val="0"/>
          <w:szCs w:val="21"/>
          <w:lang w:eastAsia="zh-Hans"/>
        </w:rPr>
        <w:br/>
        <w:t xml:space="preserve">　　印度凭借内需驱动展现增长潜力：</w:t>
      </w:r>
      <w:r>
        <w:rPr>
          <w:rFonts w:ascii="宋体" w:hAnsi="宋体" w:hint="eastAsia"/>
          <w:color w:val="000000"/>
          <w:kern w:val="0"/>
          <w:szCs w:val="21"/>
          <w:lang w:eastAsia="zh-Hans"/>
        </w:rPr>
        <w:br/>
        <w:t xml:space="preserve">　　政策宽松：央行降息50基点释放流动性，财政减税提振消费；</w:t>
      </w:r>
      <w:r>
        <w:rPr>
          <w:rFonts w:ascii="宋体" w:hAnsi="宋体" w:hint="eastAsia"/>
          <w:color w:val="000000"/>
          <w:kern w:val="0"/>
          <w:szCs w:val="21"/>
          <w:lang w:eastAsia="zh-Hans"/>
        </w:rPr>
        <w:br/>
        <w:t xml:space="preserve">　　贸易隔离：出口仅占GDP1.1%，受全球贸易动荡影响小。</w:t>
      </w:r>
      <w:r>
        <w:rPr>
          <w:rFonts w:ascii="宋体" w:hAnsi="宋体" w:hint="eastAsia"/>
          <w:color w:val="000000"/>
          <w:kern w:val="0"/>
          <w:szCs w:val="21"/>
          <w:lang w:eastAsia="zh-Hans"/>
        </w:rPr>
        <w:br/>
        <w:t xml:space="preserve">　　本基金的区域配置超额收益贡献主要来源于中国香港、韩国和马拉西亚等市场，而个股选择拖累业绩。</w:t>
      </w:r>
      <w:r>
        <w:rPr>
          <w:rFonts w:ascii="宋体" w:hAnsi="宋体" w:hint="eastAsia"/>
          <w:color w:val="000000"/>
          <w:kern w:val="0"/>
          <w:sz w:val="24"/>
        </w:rPr>
        <w:t xml:space="preserve"> </w:t>
      </w:r>
      <w:bookmarkEnd w:id="82"/>
    </w:p>
    <w:p w14:paraId="4CC1F168" w14:textId="77777777" w:rsidR="00F513D8" w:rsidRDefault="00F513D8">
      <w:pPr>
        <w:pStyle w:val="XBRLTitle3"/>
        <w:spacing w:before="156" w:line="360" w:lineRule="auto"/>
        <w:ind w:left="624"/>
      </w:pPr>
      <w:bookmarkStart w:id="167" w:name="_Toc51408825712"/>
      <w:bookmarkEnd w:id="150"/>
      <w:r>
        <w:rPr>
          <w:rFonts w:hAnsi="宋体" w:hint="eastAsia"/>
        </w:rPr>
        <w:t>报告期内基金的业绩表现</w:t>
      </w:r>
      <w:bookmarkEnd w:id="167"/>
      <w:bookmarkEnd w:id="152"/>
      <w:bookmarkEnd w:id="153"/>
      <w:r>
        <w:rPr>
          <w:rFonts w:hAnsi="宋体" w:hint="eastAsia"/>
        </w:rPr>
        <w:t xml:space="preserve"> </w:t>
      </w:r>
    </w:p>
    <w:p w14:paraId="47570251" w14:textId="77777777" w:rsidR="00F513D8" w:rsidRDefault="00F513D8">
      <w:pPr>
        <w:spacing w:line="360" w:lineRule="auto"/>
        <w:ind w:firstLineChars="200" w:firstLine="420"/>
        <w:jc w:val="left"/>
      </w:pPr>
      <w:r>
        <w:rPr>
          <w:rFonts w:ascii="宋体" w:hAnsi="宋体" w:cs="宋体" w:hint="eastAsia"/>
          <w:color w:val="000000"/>
          <w:kern w:val="0"/>
        </w:rPr>
        <w:t>本报告期摩根亚太优势混合(QDII)A份额净值增长率为：9.10%，同期业绩比较基准收益率为：11.64%；</w:t>
      </w:r>
      <w:r>
        <w:rPr>
          <w:rFonts w:ascii="宋体" w:hAnsi="宋体" w:cs="宋体" w:hint="eastAsia"/>
          <w:color w:val="000000"/>
          <w:kern w:val="0"/>
        </w:rPr>
        <w:br/>
        <w:t xml:space="preserve">　　摩根亚太优势混合(QDII)C份额净值增长率为：8.96%，同期业绩比较基准收益率为：11.64%。</w:t>
      </w:r>
      <w:bookmarkEnd w:id="154"/>
    </w:p>
    <w:p w14:paraId="7000A79A" w14:textId="77777777" w:rsidR="00F513D8" w:rsidRDefault="00F513D8">
      <w:pPr>
        <w:pStyle w:val="XBRLTitle2"/>
        <w:spacing w:before="156" w:line="360" w:lineRule="auto"/>
        <w:ind w:left="454"/>
      </w:pPr>
      <w:bookmarkStart w:id="168" w:name="m405_01_2550"/>
      <w:bookmarkStart w:id="169" w:name="_Toc514088258"/>
      <w:bookmarkStart w:id="170" w:name="_Toc480465430"/>
      <w:bookmarkStart w:id="171" w:name="_Toc448480296"/>
      <w:bookmarkStart w:id="172" w:name="_Toc438654084"/>
      <w:bookmarkStart w:id="173" w:name="_Toc456107129"/>
      <w:bookmarkStart w:id="174" w:name="_Toc459213775"/>
      <w:bookmarkStart w:id="175" w:name="_Toc513542659"/>
      <w:bookmarkStart w:id="176" w:name="_Toc512696261"/>
      <w:bookmarkStart w:id="177" w:name="_Toc512612264"/>
      <w:bookmarkStart w:id="178" w:name="_Toc512612088"/>
      <w:bookmarkStart w:id="179" w:name="_Toc512611292"/>
      <w:bookmarkStart w:id="180" w:name="m407"/>
      <w:bookmarkEnd w:id="168"/>
      <w:r>
        <w:rPr>
          <w:rFonts w:eastAsia="宋体" w:hint="eastAsia"/>
        </w:rPr>
        <w:lastRenderedPageBreak/>
        <w:t>报告期内基金持有人数或基金资产净值预警说明</w:t>
      </w:r>
      <w:bookmarkEnd w:id="169"/>
      <w:bookmarkEnd w:id="170"/>
      <w:bookmarkEnd w:id="171"/>
      <w:bookmarkEnd w:id="172"/>
      <w:bookmarkEnd w:id="173"/>
      <w:bookmarkEnd w:id="174"/>
      <w:bookmarkEnd w:id="175"/>
      <w:bookmarkEnd w:id="176"/>
      <w:bookmarkEnd w:id="177"/>
      <w:bookmarkEnd w:id="178"/>
      <w:bookmarkEnd w:id="179"/>
      <w:r>
        <w:rPr>
          <w:rFonts w:eastAsia="宋体" w:hint="eastAsia"/>
        </w:rPr>
        <w:t xml:space="preserve"> </w:t>
      </w:r>
    </w:p>
    <w:p w14:paraId="642AB867" w14:textId="77777777" w:rsidR="00F513D8" w:rsidRDefault="00F513D8">
      <w:pPr>
        <w:spacing w:line="360" w:lineRule="auto"/>
        <w:ind w:firstLineChars="200" w:firstLine="420"/>
        <w:jc w:val="left"/>
      </w:pPr>
      <w:r>
        <w:rPr>
          <w:rFonts w:ascii="宋体" w:hAnsi="宋体" w:hint="eastAsia"/>
        </w:rPr>
        <w:t>无。</w:t>
      </w:r>
    </w:p>
    <w:p w14:paraId="55F13231" w14:textId="77777777" w:rsidR="00F513D8" w:rsidRDefault="00F513D8">
      <w:pPr>
        <w:pStyle w:val="XBRLTitle1"/>
        <w:spacing w:before="156"/>
        <w:ind w:left="425"/>
        <w:rPr>
          <w:rFonts w:hint="eastAsia"/>
        </w:rPr>
      </w:pPr>
      <w:bookmarkStart w:id="181" w:name="_Toc514088259"/>
      <w:bookmarkStart w:id="182" w:name="_Toc480465431"/>
      <w:bookmarkStart w:id="183" w:name="_Toc448480297"/>
      <w:bookmarkStart w:id="184" w:name="_Toc438654085"/>
      <w:bookmarkStart w:id="185" w:name="_Toc445826343"/>
      <w:bookmarkStart w:id="186" w:name="_Toc456107130"/>
      <w:bookmarkStart w:id="187" w:name="_Toc459213776"/>
      <w:bookmarkStart w:id="188" w:name="_Toc513542660"/>
      <w:bookmarkStart w:id="189" w:name="_Toc512696262"/>
      <w:bookmarkStart w:id="190" w:name="_Toc512612265"/>
      <w:bookmarkStart w:id="191" w:name="_Toc512612089"/>
      <w:bookmarkStart w:id="192" w:name="_Toc512611293"/>
      <w:bookmarkEnd w:id="180"/>
      <w:r>
        <w:rPr>
          <w:rFonts w:hint="eastAsia"/>
        </w:rPr>
        <w:t>投资组合报告</w:t>
      </w:r>
      <w:bookmarkEnd w:id="181"/>
      <w:bookmarkEnd w:id="182"/>
      <w:bookmarkEnd w:id="183"/>
      <w:bookmarkEnd w:id="184"/>
      <w:bookmarkEnd w:id="185"/>
      <w:bookmarkEnd w:id="186"/>
      <w:bookmarkEnd w:id="187"/>
      <w:bookmarkEnd w:id="188"/>
      <w:bookmarkEnd w:id="189"/>
      <w:bookmarkEnd w:id="190"/>
      <w:bookmarkEnd w:id="191"/>
      <w:bookmarkEnd w:id="192"/>
    </w:p>
    <w:p w14:paraId="211F556C" w14:textId="77777777" w:rsidR="00F513D8" w:rsidRDefault="00F513D8">
      <w:pPr>
        <w:pStyle w:val="XBRLTitle2"/>
        <w:spacing w:before="156" w:line="360" w:lineRule="auto"/>
        <w:ind w:left="454"/>
      </w:pPr>
      <w:bookmarkStart w:id="193" w:name="_Toc514088260"/>
      <w:bookmarkStart w:id="194" w:name="_Toc480465432"/>
      <w:bookmarkStart w:id="195" w:name="_Toc448480298"/>
      <w:bookmarkStart w:id="196" w:name="_Toc438654086"/>
      <w:bookmarkStart w:id="197" w:name="_Toc456107131"/>
      <w:bookmarkStart w:id="198" w:name="_Toc459213777"/>
      <w:bookmarkStart w:id="199" w:name="_Toc513542661"/>
      <w:bookmarkStart w:id="200" w:name="_Toc512696263"/>
      <w:bookmarkStart w:id="201" w:name="_Toc512612266"/>
      <w:bookmarkStart w:id="202" w:name="_Toc512612090"/>
      <w:bookmarkStart w:id="203" w:name="_Toc512611294"/>
      <w:bookmarkStart w:id="204" w:name="m501"/>
      <w:r>
        <w:rPr>
          <w:rFonts w:eastAsia="宋体" w:hint="eastAsia"/>
        </w:rPr>
        <w:t>报告期末基金资产组合情况</w:t>
      </w:r>
      <w:bookmarkEnd w:id="193"/>
      <w:bookmarkEnd w:id="194"/>
      <w:bookmarkEnd w:id="195"/>
      <w:bookmarkEnd w:id="196"/>
      <w:bookmarkEnd w:id="197"/>
      <w:bookmarkEnd w:id="198"/>
      <w:r>
        <w:rPr>
          <w:rFonts w:hint="eastAsia"/>
        </w:rPr>
        <w:t xml:space="preserve"> </w:t>
      </w:r>
      <w:bookmarkEnd w:id="199"/>
      <w:bookmarkEnd w:id="200"/>
      <w:bookmarkEnd w:id="201"/>
      <w:bookmarkEnd w:id="202"/>
      <w:bookmarkEnd w:id="203"/>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3"/>
        <w:gridCol w:w="2375"/>
        <w:gridCol w:w="2355"/>
      </w:tblGrid>
      <w:tr w:rsidR="009142D6" w14:paraId="03008A9A"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1CDEFC" w14:textId="77777777" w:rsidR="00F513D8" w:rsidRDefault="00F513D8">
            <w:pPr>
              <w:jc w:val="center"/>
            </w:pPr>
            <w:bookmarkStart w:id="205" w:name="m08QD_01_tab"/>
            <w:bookmarkStart w:id="206" w:name="OLE_LINK46"/>
            <w:bookmarkStart w:id="207" w:name="OLE_LINK45"/>
            <w:bookmarkStart w:id="208" w:name="OLE_LINK42"/>
            <w:bookmarkStart w:id="209" w:name="OLE_LINK41"/>
            <w:bookmarkEnd w:id="205"/>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14:paraId="50A33FB7" w14:textId="77777777" w:rsidR="00F513D8" w:rsidRDefault="00F513D8">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14:paraId="21D024FA" w14:textId="77777777" w:rsidR="00F513D8" w:rsidRDefault="00F513D8">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14:paraId="492747F6" w14:textId="77777777" w:rsidR="00F513D8" w:rsidRDefault="00F513D8">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9142D6" w14:paraId="64AA8DE5"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6D1EE71" w14:textId="77777777" w:rsidR="00F513D8" w:rsidRDefault="00F513D8">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14:paraId="7EB53D3D" w14:textId="77777777" w:rsidR="00F513D8" w:rsidRDefault="00F513D8">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9FB5C5A" w14:textId="77777777" w:rsidR="00F513D8" w:rsidRDefault="00F513D8">
            <w:pPr>
              <w:jc w:val="right"/>
            </w:pPr>
            <w:r>
              <w:rPr>
                <w:rFonts w:ascii="宋体" w:hAnsi="宋体" w:hint="eastAsia"/>
                <w:szCs w:val="24"/>
                <w:lang w:eastAsia="zh-Hans"/>
              </w:rPr>
              <w:t>2,289,252,405.50</w:t>
            </w:r>
          </w:p>
        </w:tc>
        <w:tc>
          <w:tcPr>
            <w:tcW w:w="2373" w:type="dxa"/>
            <w:tcBorders>
              <w:top w:val="single" w:sz="4" w:space="0" w:color="auto"/>
              <w:left w:val="nil"/>
              <w:bottom w:val="single" w:sz="4" w:space="0" w:color="auto"/>
              <w:right w:val="single" w:sz="4" w:space="0" w:color="auto"/>
            </w:tcBorders>
            <w:vAlign w:val="center"/>
            <w:hideMark/>
          </w:tcPr>
          <w:p w14:paraId="0B12A0AC" w14:textId="77777777" w:rsidR="00F513D8" w:rsidRDefault="00F513D8">
            <w:pPr>
              <w:jc w:val="right"/>
            </w:pPr>
            <w:r>
              <w:rPr>
                <w:rFonts w:ascii="宋体" w:hAnsi="宋体" w:hint="eastAsia"/>
                <w:szCs w:val="24"/>
                <w:lang w:eastAsia="zh-Hans"/>
              </w:rPr>
              <w:t>89.24</w:t>
            </w:r>
          </w:p>
        </w:tc>
      </w:tr>
      <w:tr w:rsidR="009142D6" w14:paraId="6B4111F5"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E1278DB" w14:textId="77777777" w:rsidR="00F513D8" w:rsidRDefault="00F513D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5B374A1" w14:textId="77777777" w:rsidR="00F513D8" w:rsidRDefault="00F513D8">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08DFCC2" w14:textId="77777777" w:rsidR="00F513D8" w:rsidRDefault="00F513D8">
            <w:pPr>
              <w:jc w:val="right"/>
            </w:pPr>
            <w:r>
              <w:rPr>
                <w:rFonts w:ascii="宋体" w:hAnsi="宋体" w:hint="eastAsia"/>
                <w:szCs w:val="24"/>
                <w:lang w:eastAsia="zh-Hans"/>
              </w:rPr>
              <w:t>2,241,680,928.11</w:t>
            </w:r>
          </w:p>
        </w:tc>
        <w:tc>
          <w:tcPr>
            <w:tcW w:w="2373" w:type="dxa"/>
            <w:tcBorders>
              <w:top w:val="single" w:sz="4" w:space="0" w:color="auto"/>
              <w:left w:val="nil"/>
              <w:bottom w:val="single" w:sz="4" w:space="0" w:color="auto"/>
              <w:right w:val="single" w:sz="4" w:space="0" w:color="auto"/>
            </w:tcBorders>
            <w:vAlign w:val="center"/>
            <w:hideMark/>
          </w:tcPr>
          <w:p w14:paraId="12268821" w14:textId="77777777" w:rsidR="00F513D8" w:rsidRDefault="00F513D8">
            <w:pPr>
              <w:jc w:val="right"/>
            </w:pPr>
            <w:r>
              <w:rPr>
                <w:rFonts w:ascii="宋体" w:hAnsi="宋体" w:hint="eastAsia"/>
                <w:szCs w:val="24"/>
                <w:lang w:eastAsia="zh-Hans"/>
              </w:rPr>
              <w:t>87.39</w:t>
            </w:r>
          </w:p>
        </w:tc>
      </w:tr>
      <w:tr w:rsidR="009142D6" w14:paraId="4AEB1EF7"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A5AD825" w14:textId="77777777" w:rsidR="00F513D8" w:rsidRDefault="00F513D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A22CBE6" w14:textId="77777777" w:rsidR="00F513D8" w:rsidRDefault="00F513D8">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3F502D5" w14:textId="77777777" w:rsidR="00F513D8" w:rsidRDefault="00F513D8">
            <w:pPr>
              <w:jc w:val="right"/>
            </w:pPr>
            <w:r>
              <w:rPr>
                <w:rFonts w:ascii="宋体" w:hAnsi="宋体" w:hint="eastAsia"/>
                <w:szCs w:val="24"/>
                <w:lang w:eastAsia="zh-Hans"/>
              </w:rPr>
              <w:t>21,449,523.36</w:t>
            </w:r>
          </w:p>
        </w:tc>
        <w:tc>
          <w:tcPr>
            <w:tcW w:w="2373" w:type="dxa"/>
            <w:tcBorders>
              <w:top w:val="single" w:sz="4" w:space="0" w:color="auto"/>
              <w:left w:val="nil"/>
              <w:bottom w:val="single" w:sz="4" w:space="0" w:color="auto"/>
              <w:right w:val="single" w:sz="4" w:space="0" w:color="auto"/>
            </w:tcBorders>
            <w:vAlign w:val="center"/>
            <w:hideMark/>
          </w:tcPr>
          <w:p w14:paraId="597A7BC5" w14:textId="77777777" w:rsidR="00F513D8" w:rsidRDefault="00F513D8">
            <w:pPr>
              <w:jc w:val="right"/>
            </w:pPr>
            <w:r>
              <w:rPr>
                <w:rFonts w:ascii="宋体" w:hAnsi="宋体" w:hint="eastAsia"/>
                <w:szCs w:val="24"/>
                <w:lang w:eastAsia="zh-Hans"/>
              </w:rPr>
              <w:t>0.84</w:t>
            </w:r>
          </w:p>
        </w:tc>
      </w:tr>
      <w:tr w:rsidR="009142D6" w14:paraId="0A846D9D"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90FC0DF" w14:textId="77777777" w:rsidR="00F513D8" w:rsidRDefault="00F513D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C670E5E" w14:textId="77777777" w:rsidR="00F513D8" w:rsidRDefault="00F513D8">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89F0072" w14:textId="77777777" w:rsidR="00F513D8" w:rsidRDefault="00F513D8">
            <w:pPr>
              <w:jc w:val="right"/>
            </w:pPr>
            <w:r>
              <w:rPr>
                <w:rFonts w:ascii="宋体" w:hAnsi="宋体" w:hint="eastAsia"/>
                <w:szCs w:val="24"/>
                <w:lang w:eastAsia="zh-Hans"/>
              </w:rPr>
              <w:t>26,121,954.03</w:t>
            </w:r>
          </w:p>
        </w:tc>
        <w:tc>
          <w:tcPr>
            <w:tcW w:w="2373" w:type="dxa"/>
            <w:tcBorders>
              <w:top w:val="single" w:sz="4" w:space="0" w:color="auto"/>
              <w:left w:val="nil"/>
              <w:bottom w:val="single" w:sz="4" w:space="0" w:color="auto"/>
              <w:right w:val="single" w:sz="4" w:space="0" w:color="auto"/>
            </w:tcBorders>
            <w:vAlign w:val="center"/>
            <w:hideMark/>
          </w:tcPr>
          <w:p w14:paraId="56E0D627" w14:textId="77777777" w:rsidR="00F513D8" w:rsidRDefault="00F513D8">
            <w:pPr>
              <w:jc w:val="right"/>
            </w:pPr>
            <w:r>
              <w:rPr>
                <w:rFonts w:ascii="宋体" w:hAnsi="宋体" w:hint="eastAsia"/>
                <w:szCs w:val="24"/>
                <w:lang w:eastAsia="zh-Hans"/>
              </w:rPr>
              <w:t>1.02</w:t>
            </w:r>
          </w:p>
        </w:tc>
      </w:tr>
      <w:tr w:rsidR="009142D6" w14:paraId="72CCC1DA"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56DD28A" w14:textId="77777777" w:rsidR="00F513D8" w:rsidRDefault="00F513D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3132BBF2" w14:textId="77777777" w:rsidR="00F513D8" w:rsidRDefault="00F513D8">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260F528"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CA9A285" w14:textId="77777777" w:rsidR="00F513D8" w:rsidRDefault="00F513D8">
            <w:pPr>
              <w:jc w:val="right"/>
            </w:pPr>
            <w:r>
              <w:rPr>
                <w:rFonts w:ascii="宋体" w:hAnsi="宋体" w:hint="eastAsia"/>
                <w:szCs w:val="24"/>
                <w:lang w:eastAsia="zh-Hans"/>
              </w:rPr>
              <w:t>-</w:t>
            </w:r>
          </w:p>
        </w:tc>
      </w:tr>
      <w:tr w:rsidR="009142D6" w14:paraId="5EEE47BE"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435AA81" w14:textId="77777777" w:rsidR="00F513D8" w:rsidRDefault="00F513D8">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14:paraId="09DAD655" w14:textId="77777777" w:rsidR="00F513D8" w:rsidRDefault="00F513D8">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B5D2896"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FEAD4B1" w14:textId="77777777" w:rsidR="00F513D8" w:rsidRDefault="00F513D8">
            <w:pPr>
              <w:jc w:val="right"/>
            </w:pPr>
            <w:r>
              <w:rPr>
                <w:rFonts w:ascii="宋体" w:hAnsi="宋体" w:hint="eastAsia"/>
                <w:szCs w:val="24"/>
                <w:lang w:eastAsia="zh-Hans"/>
              </w:rPr>
              <w:t>-</w:t>
            </w:r>
          </w:p>
        </w:tc>
      </w:tr>
      <w:tr w:rsidR="009142D6" w14:paraId="3338E093"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6431BC3" w14:textId="77777777" w:rsidR="00F513D8" w:rsidRDefault="00F513D8">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14:paraId="078CFC95" w14:textId="77777777" w:rsidR="00F513D8" w:rsidRDefault="00F513D8">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6C2939B"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31A572FB" w14:textId="77777777" w:rsidR="00F513D8" w:rsidRDefault="00F513D8">
            <w:pPr>
              <w:jc w:val="right"/>
            </w:pPr>
            <w:r>
              <w:rPr>
                <w:rFonts w:ascii="宋体" w:hAnsi="宋体" w:hint="eastAsia"/>
                <w:szCs w:val="24"/>
                <w:lang w:eastAsia="zh-Hans"/>
              </w:rPr>
              <w:t>-</w:t>
            </w:r>
          </w:p>
        </w:tc>
      </w:tr>
      <w:tr w:rsidR="009142D6" w14:paraId="53F8DDF0"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80C35A1" w14:textId="77777777" w:rsidR="00F513D8" w:rsidRDefault="00F513D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77722D3D" w14:textId="77777777" w:rsidR="00F513D8" w:rsidRDefault="00F513D8">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23E6F7F"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0486288" w14:textId="77777777" w:rsidR="00F513D8" w:rsidRDefault="00F513D8">
            <w:pPr>
              <w:jc w:val="right"/>
            </w:pPr>
            <w:r>
              <w:rPr>
                <w:rFonts w:ascii="宋体" w:hAnsi="宋体" w:hint="eastAsia"/>
                <w:szCs w:val="24"/>
                <w:lang w:eastAsia="zh-Hans"/>
              </w:rPr>
              <w:t>-</w:t>
            </w:r>
          </w:p>
        </w:tc>
      </w:tr>
      <w:tr w:rsidR="009142D6" w14:paraId="157BF57B"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D67148F" w14:textId="77777777" w:rsidR="00F513D8" w:rsidRDefault="00F513D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68C79A8" w14:textId="77777777" w:rsidR="00F513D8" w:rsidRDefault="00F513D8">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623F55B"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C8856EE" w14:textId="77777777" w:rsidR="00F513D8" w:rsidRDefault="00F513D8">
            <w:pPr>
              <w:jc w:val="right"/>
            </w:pPr>
            <w:r>
              <w:rPr>
                <w:rFonts w:ascii="宋体" w:hAnsi="宋体" w:hint="eastAsia"/>
                <w:szCs w:val="24"/>
                <w:lang w:eastAsia="zh-Hans"/>
              </w:rPr>
              <w:t>-</w:t>
            </w:r>
          </w:p>
        </w:tc>
      </w:tr>
      <w:tr w:rsidR="009142D6" w14:paraId="770B9220"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F851D77" w14:textId="77777777" w:rsidR="00F513D8" w:rsidRDefault="00F513D8">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14:paraId="40C83765" w14:textId="77777777" w:rsidR="00F513D8" w:rsidRDefault="00F513D8">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C01FD60"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36223FD" w14:textId="77777777" w:rsidR="00F513D8" w:rsidRDefault="00F513D8">
            <w:pPr>
              <w:jc w:val="right"/>
            </w:pPr>
            <w:r>
              <w:rPr>
                <w:rFonts w:ascii="宋体" w:hAnsi="宋体" w:hint="eastAsia"/>
                <w:szCs w:val="24"/>
                <w:lang w:eastAsia="zh-Hans"/>
              </w:rPr>
              <w:t>-</w:t>
            </w:r>
          </w:p>
        </w:tc>
      </w:tr>
      <w:tr w:rsidR="009142D6" w14:paraId="72DBDAF8"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1F1C113" w14:textId="77777777" w:rsidR="00F513D8" w:rsidRDefault="00F513D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288BBAA" w14:textId="77777777" w:rsidR="00F513D8" w:rsidRDefault="00F513D8">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294205B"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7AA145C" w14:textId="77777777" w:rsidR="00F513D8" w:rsidRDefault="00F513D8">
            <w:pPr>
              <w:jc w:val="right"/>
            </w:pPr>
            <w:r>
              <w:rPr>
                <w:rFonts w:ascii="宋体" w:hAnsi="宋体" w:hint="eastAsia"/>
                <w:szCs w:val="24"/>
                <w:lang w:eastAsia="zh-Hans"/>
              </w:rPr>
              <w:t>-</w:t>
            </w:r>
          </w:p>
        </w:tc>
      </w:tr>
      <w:tr w:rsidR="009142D6" w14:paraId="76AC6FAB"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76C5C38" w14:textId="77777777" w:rsidR="00F513D8" w:rsidRDefault="00F513D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31AC190" w14:textId="77777777" w:rsidR="00F513D8" w:rsidRDefault="00F513D8">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480767A"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F4DCC88" w14:textId="77777777" w:rsidR="00F513D8" w:rsidRDefault="00F513D8">
            <w:pPr>
              <w:jc w:val="right"/>
            </w:pPr>
            <w:r>
              <w:rPr>
                <w:rFonts w:ascii="宋体" w:hAnsi="宋体" w:hint="eastAsia"/>
                <w:szCs w:val="24"/>
                <w:lang w:eastAsia="zh-Hans"/>
              </w:rPr>
              <w:t>-</w:t>
            </w:r>
          </w:p>
        </w:tc>
      </w:tr>
      <w:tr w:rsidR="009142D6" w14:paraId="49064037"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044F366" w14:textId="77777777" w:rsidR="00F513D8" w:rsidRDefault="00F513D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03A68B3" w14:textId="77777777" w:rsidR="00F513D8" w:rsidRDefault="00F513D8">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BCF49EE"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3A54246D" w14:textId="77777777" w:rsidR="00F513D8" w:rsidRDefault="00F513D8">
            <w:pPr>
              <w:jc w:val="right"/>
            </w:pPr>
            <w:r>
              <w:rPr>
                <w:rFonts w:ascii="宋体" w:hAnsi="宋体" w:hint="eastAsia"/>
                <w:szCs w:val="24"/>
                <w:lang w:eastAsia="zh-Hans"/>
              </w:rPr>
              <w:t>-</w:t>
            </w:r>
          </w:p>
        </w:tc>
      </w:tr>
      <w:tr w:rsidR="009142D6" w14:paraId="2EA166B7"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FDA56EC" w14:textId="77777777" w:rsidR="00F513D8" w:rsidRDefault="00F513D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6456683" w14:textId="77777777" w:rsidR="00F513D8" w:rsidRDefault="00F513D8">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F7A9411"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4C8F4045" w14:textId="77777777" w:rsidR="00F513D8" w:rsidRDefault="00F513D8">
            <w:pPr>
              <w:jc w:val="right"/>
            </w:pPr>
            <w:r>
              <w:rPr>
                <w:rFonts w:ascii="宋体" w:hAnsi="宋体" w:hint="eastAsia"/>
                <w:szCs w:val="24"/>
                <w:lang w:eastAsia="zh-Hans"/>
              </w:rPr>
              <w:t>-</w:t>
            </w:r>
          </w:p>
        </w:tc>
      </w:tr>
      <w:tr w:rsidR="009142D6" w14:paraId="48D01CB9"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0EE578C" w14:textId="77777777" w:rsidR="00F513D8" w:rsidRDefault="00F513D8">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14:paraId="52A139E6" w14:textId="77777777" w:rsidR="00F513D8" w:rsidRDefault="00F513D8">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E37148F"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21C7562" w14:textId="77777777" w:rsidR="00F513D8" w:rsidRDefault="00F513D8">
            <w:pPr>
              <w:jc w:val="right"/>
            </w:pPr>
            <w:r>
              <w:rPr>
                <w:rFonts w:ascii="宋体" w:hAnsi="宋体" w:hint="eastAsia"/>
                <w:szCs w:val="24"/>
                <w:lang w:eastAsia="zh-Hans"/>
              </w:rPr>
              <w:t>-</w:t>
            </w:r>
          </w:p>
        </w:tc>
      </w:tr>
      <w:tr w:rsidR="009142D6" w14:paraId="3C140BF1"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2EAC33D" w14:textId="77777777" w:rsidR="00F513D8" w:rsidRDefault="00F513D8">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3350F9CA" w14:textId="77777777" w:rsidR="00F513D8" w:rsidRDefault="00F513D8">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48B9353"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399FA1EE" w14:textId="77777777" w:rsidR="00F513D8" w:rsidRDefault="00F513D8">
            <w:pPr>
              <w:jc w:val="right"/>
            </w:pPr>
            <w:r>
              <w:rPr>
                <w:rFonts w:ascii="宋体" w:hAnsi="宋体" w:hint="eastAsia"/>
                <w:szCs w:val="24"/>
                <w:lang w:eastAsia="zh-Hans"/>
              </w:rPr>
              <w:t>-</w:t>
            </w:r>
          </w:p>
        </w:tc>
      </w:tr>
      <w:tr w:rsidR="009142D6" w14:paraId="44EA91BF"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81AE647" w14:textId="77777777" w:rsidR="00F513D8" w:rsidRDefault="00F513D8">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14:paraId="6B0127CD" w14:textId="77777777" w:rsidR="00F513D8" w:rsidRDefault="00F513D8">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660E6E6" w14:textId="77777777" w:rsidR="00F513D8" w:rsidRDefault="00F513D8">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E86D01B" w14:textId="77777777" w:rsidR="00F513D8" w:rsidRDefault="00F513D8">
            <w:pPr>
              <w:jc w:val="right"/>
            </w:pPr>
            <w:r>
              <w:rPr>
                <w:rFonts w:ascii="宋体" w:hAnsi="宋体" w:hint="eastAsia"/>
                <w:szCs w:val="24"/>
                <w:lang w:eastAsia="zh-Hans"/>
              </w:rPr>
              <w:t>-</w:t>
            </w:r>
          </w:p>
        </w:tc>
      </w:tr>
      <w:tr w:rsidR="009142D6" w14:paraId="6D3F4C1E"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5E622A0" w14:textId="77777777" w:rsidR="00F513D8" w:rsidRDefault="00F513D8">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14:paraId="18CB56F4" w14:textId="77777777" w:rsidR="00F513D8" w:rsidRDefault="00F513D8">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BD387CF" w14:textId="77777777" w:rsidR="00F513D8" w:rsidRDefault="00F513D8">
            <w:pPr>
              <w:jc w:val="right"/>
            </w:pPr>
            <w:r>
              <w:rPr>
                <w:rFonts w:ascii="宋体" w:hAnsi="宋体" w:hint="eastAsia"/>
                <w:szCs w:val="24"/>
                <w:lang w:eastAsia="zh-Hans"/>
              </w:rPr>
              <w:t>233,894,537.04</w:t>
            </w:r>
          </w:p>
        </w:tc>
        <w:tc>
          <w:tcPr>
            <w:tcW w:w="2373" w:type="dxa"/>
            <w:tcBorders>
              <w:top w:val="single" w:sz="4" w:space="0" w:color="auto"/>
              <w:left w:val="nil"/>
              <w:bottom w:val="single" w:sz="4" w:space="0" w:color="auto"/>
              <w:right w:val="single" w:sz="4" w:space="0" w:color="auto"/>
            </w:tcBorders>
            <w:vAlign w:val="center"/>
            <w:hideMark/>
          </w:tcPr>
          <w:p w14:paraId="0D0E00BF" w14:textId="77777777" w:rsidR="00F513D8" w:rsidRDefault="00F513D8">
            <w:pPr>
              <w:jc w:val="right"/>
            </w:pPr>
            <w:r>
              <w:rPr>
                <w:rFonts w:ascii="宋体" w:hAnsi="宋体" w:hint="eastAsia"/>
                <w:szCs w:val="24"/>
                <w:lang w:eastAsia="zh-Hans"/>
              </w:rPr>
              <w:t>9.12</w:t>
            </w:r>
          </w:p>
        </w:tc>
      </w:tr>
      <w:tr w:rsidR="009142D6" w14:paraId="7D187218"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0580599" w14:textId="77777777" w:rsidR="00F513D8" w:rsidRDefault="00F513D8">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14:paraId="3BDB8B3C" w14:textId="77777777" w:rsidR="00F513D8" w:rsidRDefault="00F513D8">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0794FAA" w14:textId="77777777" w:rsidR="00F513D8" w:rsidRDefault="00F513D8">
            <w:pPr>
              <w:jc w:val="right"/>
            </w:pPr>
            <w:r>
              <w:rPr>
                <w:rFonts w:ascii="宋体" w:hAnsi="宋体" w:hint="eastAsia"/>
                <w:szCs w:val="24"/>
                <w:lang w:eastAsia="zh-Hans"/>
              </w:rPr>
              <w:t>42,137,203.05</w:t>
            </w:r>
          </w:p>
        </w:tc>
        <w:tc>
          <w:tcPr>
            <w:tcW w:w="2373" w:type="dxa"/>
            <w:tcBorders>
              <w:top w:val="single" w:sz="4" w:space="0" w:color="auto"/>
              <w:left w:val="nil"/>
              <w:bottom w:val="single" w:sz="4" w:space="0" w:color="auto"/>
              <w:right w:val="single" w:sz="4" w:space="0" w:color="auto"/>
            </w:tcBorders>
            <w:vAlign w:val="center"/>
            <w:hideMark/>
          </w:tcPr>
          <w:p w14:paraId="78F228E9" w14:textId="77777777" w:rsidR="00F513D8" w:rsidRDefault="00F513D8">
            <w:pPr>
              <w:jc w:val="right"/>
            </w:pPr>
            <w:r>
              <w:rPr>
                <w:rFonts w:ascii="宋体" w:hAnsi="宋体" w:hint="eastAsia"/>
                <w:szCs w:val="24"/>
                <w:lang w:eastAsia="zh-Hans"/>
              </w:rPr>
              <w:t>1.64</w:t>
            </w:r>
          </w:p>
        </w:tc>
      </w:tr>
      <w:tr w:rsidR="009142D6" w14:paraId="7FC22E67" w14:textId="77777777">
        <w:trPr>
          <w:divId w:val="2003311039"/>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DDE01E0" w14:textId="77777777" w:rsidR="00F513D8" w:rsidRDefault="00F513D8">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14:paraId="38FAAB4B" w14:textId="77777777" w:rsidR="00F513D8" w:rsidRDefault="00F513D8">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38A2993" w14:textId="77777777" w:rsidR="00F513D8" w:rsidRDefault="00F513D8">
            <w:pPr>
              <w:jc w:val="right"/>
            </w:pPr>
            <w:r>
              <w:rPr>
                <w:rFonts w:ascii="宋体" w:hAnsi="宋体" w:hint="eastAsia"/>
                <w:szCs w:val="24"/>
                <w:lang w:eastAsia="zh-Hans"/>
              </w:rPr>
              <w:t>2,565,284,145.59</w:t>
            </w:r>
          </w:p>
        </w:tc>
        <w:tc>
          <w:tcPr>
            <w:tcW w:w="2373" w:type="dxa"/>
            <w:tcBorders>
              <w:top w:val="single" w:sz="4" w:space="0" w:color="auto"/>
              <w:left w:val="nil"/>
              <w:bottom w:val="single" w:sz="4" w:space="0" w:color="auto"/>
              <w:right w:val="single" w:sz="4" w:space="0" w:color="auto"/>
            </w:tcBorders>
            <w:vAlign w:val="center"/>
            <w:hideMark/>
          </w:tcPr>
          <w:p w14:paraId="6669B142" w14:textId="77777777" w:rsidR="00F513D8" w:rsidRDefault="00F513D8">
            <w:pPr>
              <w:jc w:val="right"/>
            </w:pPr>
            <w:r>
              <w:rPr>
                <w:rFonts w:ascii="宋体" w:hAnsi="宋体" w:hint="eastAsia"/>
                <w:szCs w:val="24"/>
                <w:lang w:eastAsia="zh-Hans"/>
              </w:rPr>
              <w:t>100.00</w:t>
            </w:r>
          </w:p>
        </w:tc>
      </w:tr>
    </w:tbl>
    <w:p w14:paraId="577B282B" w14:textId="77777777" w:rsidR="00F513D8" w:rsidRDefault="00F513D8">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机制投资的港股公允价值为人民币645,973,784.43元,占期末净值比例为25.70%。</w:t>
      </w:r>
    </w:p>
    <w:p w14:paraId="2AC0D21D" w14:textId="77777777" w:rsidR="00F513D8" w:rsidRDefault="00F513D8">
      <w:pPr>
        <w:pStyle w:val="XBRLTitle2"/>
        <w:spacing w:before="156" w:line="360" w:lineRule="auto"/>
        <w:ind w:left="454"/>
      </w:pPr>
      <w:bookmarkStart w:id="210" w:name="_Toc514088261"/>
      <w:bookmarkStart w:id="211" w:name="_Toc480465433"/>
      <w:bookmarkStart w:id="212" w:name="_Toc448480299"/>
      <w:bookmarkStart w:id="213" w:name="_Toc438654087"/>
      <w:bookmarkStart w:id="214" w:name="_Toc456107132"/>
      <w:bookmarkStart w:id="215" w:name="_Toc459213778"/>
      <w:bookmarkStart w:id="216" w:name="_Toc513542662"/>
      <w:bookmarkStart w:id="217" w:name="_Toc512696264"/>
      <w:bookmarkStart w:id="218" w:name="_Toc512612267"/>
      <w:bookmarkStart w:id="219" w:name="_Toc512612091"/>
      <w:bookmarkStart w:id="220" w:name="_Toc512611295"/>
      <w:bookmarkEnd w:id="204"/>
      <w:r>
        <w:rPr>
          <w:rFonts w:eastAsia="宋体" w:hint="eastAsia"/>
        </w:rPr>
        <w:t>报告期末在各个国家（地区）证券市场的股票及存托凭证投资分布</w:t>
      </w:r>
      <w:bookmarkEnd w:id="210"/>
      <w:bookmarkEnd w:id="211"/>
      <w:bookmarkEnd w:id="212"/>
      <w:bookmarkEnd w:id="213"/>
      <w:bookmarkEnd w:id="214"/>
      <w:bookmarkEnd w:id="215"/>
      <w:r>
        <w:rPr>
          <w:rFonts w:hint="eastAsia"/>
        </w:rPr>
        <w:t xml:space="preserve"> </w:t>
      </w:r>
      <w:bookmarkEnd w:id="216"/>
      <w:bookmarkEnd w:id="217"/>
      <w:bookmarkEnd w:id="218"/>
      <w:bookmarkEnd w:id="219"/>
      <w:bookmarkEnd w:id="220"/>
    </w:p>
    <w:tbl>
      <w:tblPr>
        <w:tblW w:w="5000" w:type="pct"/>
        <w:tblLook w:val="04A0" w:firstRow="1" w:lastRow="0" w:firstColumn="1" w:lastColumn="0" w:noHBand="0" w:noVBand="1"/>
      </w:tblPr>
      <w:tblGrid>
        <w:gridCol w:w="2032"/>
        <w:gridCol w:w="3621"/>
        <w:gridCol w:w="3182"/>
      </w:tblGrid>
      <w:tr w:rsidR="009142D6" w14:paraId="5F464764" w14:textId="77777777">
        <w:trPr>
          <w:divId w:val="374543459"/>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24969DE" w14:textId="77777777" w:rsidR="00F513D8" w:rsidRDefault="00F513D8">
            <w:pPr>
              <w:jc w:val="center"/>
            </w:pPr>
            <w:bookmarkStart w:id="221" w:name="m08QD_02"/>
            <w:bookmarkStart w:id="222"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156F407E" w14:textId="77777777" w:rsidR="00F513D8" w:rsidRDefault="00F513D8">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6809E941" w14:textId="77777777" w:rsidR="00F513D8" w:rsidRDefault="00F513D8">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9142D6" w14:paraId="1B392947" w14:textId="77777777">
        <w:trPr>
          <w:divId w:val="37454345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2DACEF" w14:textId="77777777" w:rsidR="00F513D8" w:rsidRDefault="00F513D8">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1500BFD" w14:textId="77777777" w:rsidR="00F513D8" w:rsidRDefault="00F513D8">
            <w:pPr>
              <w:jc w:val="right"/>
            </w:pPr>
            <w:r>
              <w:rPr>
                <w:rFonts w:ascii="宋体" w:hAnsi="宋体" w:hint="eastAsia"/>
                <w:szCs w:val="21"/>
                <w:lang w:eastAsia="zh-Hans"/>
              </w:rPr>
              <w:t>711,512,530.30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6E8C778" w14:textId="77777777" w:rsidR="00F513D8" w:rsidRDefault="00F513D8">
            <w:pPr>
              <w:jc w:val="right"/>
            </w:pPr>
            <w:r>
              <w:rPr>
                <w:rFonts w:ascii="宋体" w:hAnsi="宋体" w:hint="eastAsia"/>
                <w:szCs w:val="21"/>
                <w:lang w:eastAsia="zh-Hans"/>
              </w:rPr>
              <w:t>28.31</w:t>
            </w:r>
          </w:p>
        </w:tc>
      </w:tr>
      <w:tr w:rsidR="009142D6" w14:paraId="118A97BC" w14:textId="77777777">
        <w:trPr>
          <w:divId w:val="37454345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F144BB" w14:textId="77777777" w:rsidR="00F513D8" w:rsidRDefault="00F513D8">
            <w:r>
              <w:rPr>
                <w:rFonts w:ascii="宋体" w:hAnsi="宋体" w:hint="eastAsia"/>
                <w:szCs w:val="21"/>
                <w:lang w:eastAsia="zh-Hans"/>
              </w:rPr>
              <w:t>印度</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4E6C621" w14:textId="77777777" w:rsidR="00F513D8" w:rsidRDefault="00F513D8">
            <w:pPr>
              <w:jc w:val="right"/>
            </w:pPr>
            <w:r>
              <w:rPr>
                <w:rFonts w:ascii="宋体" w:hAnsi="宋体" w:hint="eastAsia"/>
                <w:szCs w:val="21"/>
                <w:lang w:eastAsia="zh-Hans"/>
              </w:rPr>
              <w:t>419,206,466.58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44B8DC4" w14:textId="77777777" w:rsidR="00F513D8" w:rsidRDefault="00F513D8">
            <w:pPr>
              <w:jc w:val="right"/>
            </w:pPr>
            <w:r>
              <w:rPr>
                <w:rFonts w:ascii="宋体" w:hAnsi="宋体" w:hint="eastAsia"/>
                <w:szCs w:val="21"/>
                <w:lang w:eastAsia="zh-Hans"/>
              </w:rPr>
              <w:t>16.68</w:t>
            </w:r>
          </w:p>
        </w:tc>
      </w:tr>
      <w:tr w:rsidR="009142D6" w14:paraId="01BDA1B1" w14:textId="77777777">
        <w:trPr>
          <w:divId w:val="37454345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EBC0C5" w14:textId="77777777" w:rsidR="00F513D8" w:rsidRDefault="00F513D8">
            <w:r>
              <w:rPr>
                <w:rFonts w:ascii="宋体" w:hAnsi="宋体" w:hint="eastAsia"/>
                <w:szCs w:val="21"/>
                <w:lang w:eastAsia="zh-Hans"/>
              </w:rPr>
              <w:t>中国台湾</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B4F0541" w14:textId="77777777" w:rsidR="00F513D8" w:rsidRDefault="00F513D8">
            <w:pPr>
              <w:jc w:val="right"/>
            </w:pPr>
            <w:r>
              <w:rPr>
                <w:rFonts w:ascii="宋体" w:hAnsi="宋体" w:hint="eastAsia"/>
                <w:szCs w:val="21"/>
                <w:lang w:eastAsia="zh-Hans"/>
              </w:rPr>
              <w:t>361,985,690.52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1897797" w14:textId="77777777" w:rsidR="00F513D8" w:rsidRDefault="00F513D8">
            <w:pPr>
              <w:jc w:val="right"/>
            </w:pPr>
            <w:r>
              <w:rPr>
                <w:rFonts w:ascii="宋体" w:hAnsi="宋体" w:hint="eastAsia"/>
                <w:szCs w:val="21"/>
                <w:lang w:eastAsia="zh-Hans"/>
              </w:rPr>
              <w:t>14.40</w:t>
            </w:r>
          </w:p>
        </w:tc>
      </w:tr>
      <w:tr w:rsidR="009142D6" w14:paraId="39421BCB" w14:textId="77777777">
        <w:trPr>
          <w:divId w:val="37454345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F0C1DD" w14:textId="77777777" w:rsidR="00F513D8" w:rsidRDefault="00F513D8">
            <w:r>
              <w:rPr>
                <w:rFonts w:ascii="宋体" w:hAnsi="宋体" w:hint="eastAsia"/>
                <w:szCs w:val="21"/>
                <w:lang w:eastAsia="zh-Hans"/>
              </w:rPr>
              <w:t>澳大利亚</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94A2ED4" w14:textId="77777777" w:rsidR="00F513D8" w:rsidRDefault="00F513D8">
            <w:pPr>
              <w:jc w:val="right"/>
            </w:pPr>
            <w:r>
              <w:rPr>
                <w:rFonts w:ascii="宋体" w:hAnsi="宋体" w:hint="eastAsia"/>
                <w:szCs w:val="21"/>
                <w:lang w:eastAsia="zh-Hans"/>
              </w:rPr>
              <w:t>350,892,385.94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DF348F1" w14:textId="77777777" w:rsidR="00F513D8" w:rsidRDefault="00F513D8">
            <w:pPr>
              <w:jc w:val="right"/>
            </w:pPr>
            <w:r>
              <w:rPr>
                <w:rFonts w:ascii="宋体" w:hAnsi="宋体" w:hint="eastAsia"/>
                <w:szCs w:val="21"/>
                <w:lang w:eastAsia="zh-Hans"/>
              </w:rPr>
              <w:t>13.96</w:t>
            </w:r>
          </w:p>
        </w:tc>
      </w:tr>
      <w:tr w:rsidR="009142D6" w14:paraId="3A48C9A1" w14:textId="77777777">
        <w:trPr>
          <w:divId w:val="37454345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311735" w14:textId="77777777" w:rsidR="00F513D8" w:rsidRDefault="00F513D8">
            <w:r>
              <w:rPr>
                <w:rFonts w:ascii="宋体" w:hAnsi="宋体" w:hint="eastAsia"/>
                <w:szCs w:val="21"/>
                <w:lang w:eastAsia="zh-Hans"/>
              </w:rPr>
              <w:t>韩国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E542BA3" w14:textId="77777777" w:rsidR="00F513D8" w:rsidRDefault="00F513D8">
            <w:pPr>
              <w:jc w:val="right"/>
            </w:pPr>
            <w:r>
              <w:rPr>
                <w:rFonts w:ascii="宋体" w:hAnsi="宋体" w:hint="eastAsia"/>
                <w:szCs w:val="21"/>
                <w:lang w:eastAsia="zh-Hans"/>
              </w:rPr>
              <w:t>308,171,232.17</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E1AEED3" w14:textId="77777777" w:rsidR="00F513D8" w:rsidRDefault="00F513D8">
            <w:pPr>
              <w:jc w:val="right"/>
            </w:pPr>
            <w:r>
              <w:rPr>
                <w:rFonts w:ascii="宋体" w:hAnsi="宋体" w:hint="eastAsia"/>
                <w:szCs w:val="21"/>
                <w:lang w:eastAsia="zh-Hans"/>
              </w:rPr>
              <w:t>12.26</w:t>
            </w:r>
          </w:p>
        </w:tc>
      </w:tr>
      <w:tr w:rsidR="009142D6" w14:paraId="2F75CC05" w14:textId="77777777">
        <w:trPr>
          <w:divId w:val="37454345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6BE914" w14:textId="77777777" w:rsidR="00F513D8" w:rsidRDefault="00F513D8">
            <w:r>
              <w:rPr>
                <w:rFonts w:ascii="宋体" w:hAnsi="宋体" w:hint="eastAsia"/>
                <w:szCs w:val="21"/>
                <w:lang w:eastAsia="zh-Hans"/>
              </w:rPr>
              <w:t>印度尼西亚</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7D95198" w14:textId="77777777" w:rsidR="00F513D8" w:rsidRDefault="00F513D8">
            <w:pPr>
              <w:jc w:val="right"/>
            </w:pPr>
            <w:r>
              <w:rPr>
                <w:rFonts w:ascii="宋体" w:hAnsi="宋体" w:hint="eastAsia"/>
                <w:szCs w:val="21"/>
                <w:lang w:eastAsia="zh-Hans"/>
              </w:rPr>
              <w:t>49,856,750.78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71C304E" w14:textId="77777777" w:rsidR="00F513D8" w:rsidRDefault="00F513D8">
            <w:pPr>
              <w:jc w:val="right"/>
            </w:pPr>
            <w:r>
              <w:rPr>
                <w:rFonts w:ascii="宋体" w:hAnsi="宋体" w:hint="eastAsia"/>
                <w:szCs w:val="21"/>
                <w:lang w:eastAsia="zh-Hans"/>
              </w:rPr>
              <w:t>1.98</w:t>
            </w:r>
          </w:p>
        </w:tc>
      </w:tr>
      <w:tr w:rsidR="009142D6" w14:paraId="78676D22" w14:textId="77777777">
        <w:trPr>
          <w:divId w:val="37454345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20B1AF" w14:textId="77777777" w:rsidR="00F513D8" w:rsidRDefault="00F513D8">
            <w:r>
              <w:rPr>
                <w:rFonts w:ascii="宋体" w:hAnsi="宋体" w:hint="eastAsia"/>
                <w:szCs w:val="21"/>
                <w:lang w:eastAsia="zh-Hans"/>
              </w:rPr>
              <w:t>新加坡</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24D668E" w14:textId="77777777" w:rsidR="00F513D8" w:rsidRDefault="00F513D8">
            <w:pPr>
              <w:jc w:val="right"/>
            </w:pPr>
            <w:r>
              <w:rPr>
                <w:rFonts w:ascii="宋体" w:hAnsi="宋体" w:hint="eastAsia"/>
                <w:szCs w:val="21"/>
                <w:lang w:eastAsia="zh-Hans"/>
              </w:rPr>
              <w:t>49,837,493.68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E644993" w14:textId="77777777" w:rsidR="00F513D8" w:rsidRDefault="00F513D8">
            <w:pPr>
              <w:jc w:val="right"/>
            </w:pPr>
            <w:r>
              <w:rPr>
                <w:rFonts w:ascii="宋体" w:hAnsi="宋体" w:hint="eastAsia"/>
                <w:szCs w:val="21"/>
                <w:lang w:eastAsia="zh-Hans"/>
              </w:rPr>
              <w:t>1.98</w:t>
            </w:r>
          </w:p>
        </w:tc>
      </w:tr>
      <w:tr w:rsidR="009142D6" w14:paraId="7BFBF30A" w14:textId="77777777">
        <w:trPr>
          <w:divId w:val="37454345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D29E4C" w14:textId="77777777" w:rsidR="00F513D8" w:rsidRDefault="00F513D8">
            <w:r>
              <w:rPr>
                <w:rFonts w:ascii="宋体" w:hAnsi="宋体" w:hint="eastAsia"/>
                <w:szCs w:val="21"/>
                <w:lang w:eastAsia="zh-Hans"/>
              </w:rPr>
              <w:lastRenderedPageBreak/>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50FA7A5" w14:textId="77777777" w:rsidR="00F513D8" w:rsidRDefault="00F513D8">
            <w:pPr>
              <w:jc w:val="right"/>
            </w:pPr>
            <w:r>
              <w:rPr>
                <w:rFonts w:ascii="宋体" w:hAnsi="宋体" w:hint="eastAsia"/>
                <w:szCs w:val="21"/>
                <w:lang w:eastAsia="zh-Hans"/>
              </w:rPr>
              <w:t>37,789,855.53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49F3D35" w14:textId="77777777" w:rsidR="00F513D8" w:rsidRDefault="00F513D8">
            <w:pPr>
              <w:jc w:val="right"/>
            </w:pPr>
            <w:r>
              <w:rPr>
                <w:rFonts w:ascii="宋体" w:hAnsi="宋体" w:hint="eastAsia"/>
                <w:szCs w:val="21"/>
                <w:lang w:eastAsia="zh-Hans"/>
              </w:rPr>
              <w:t>1.50</w:t>
            </w:r>
          </w:p>
        </w:tc>
      </w:tr>
      <w:tr w:rsidR="009142D6" w14:paraId="2A707721" w14:textId="77777777">
        <w:trPr>
          <w:divId w:val="37454345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A7D034" w14:textId="77777777" w:rsidR="00F513D8" w:rsidRDefault="00F513D8">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FEB2140" w14:textId="77777777" w:rsidR="00F513D8" w:rsidRDefault="00F513D8">
            <w:pPr>
              <w:jc w:val="right"/>
            </w:pPr>
            <w:r>
              <w:rPr>
                <w:rFonts w:ascii="宋体" w:hAnsi="宋体" w:hint="eastAsia"/>
                <w:szCs w:val="21"/>
                <w:lang w:eastAsia="zh-Hans"/>
              </w:rPr>
              <w:t>2,289,252,405.50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A675D3B" w14:textId="77777777" w:rsidR="00F513D8" w:rsidRDefault="00F513D8">
            <w:pPr>
              <w:jc w:val="right"/>
            </w:pPr>
            <w:r>
              <w:rPr>
                <w:rFonts w:ascii="宋体" w:hAnsi="宋体" w:hint="eastAsia"/>
                <w:szCs w:val="21"/>
                <w:lang w:eastAsia="zh-Hans"/>
              </w:rPr>
              <w:t>91.07</w:t>
            </w:r>
            <w:bookmarkEnd w:id="221"/>
          </w:p>
        </w:tc>
      </w:tr>
    </w:tbl>
    <w:p w14:paraId="3796E689" w14:textId="77777777" w:rsidR="00F513D8" w:rsidRDefault="00F513D8">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14:paraId="3316DC6E" w14:textId="77777777" w:rsidR="00F513D8" w:rsidRDefault="00F513D8">
      <w:pPr>
        <w:pStyle w:val="XBRLTitle2"/>
        <w:spacing w:before="156" w:line="360" w:lineRule="auto"/>
        <w:ind w:left="454"/>
      </w:pPr>
      <w:bookmarkStart w:id="223" w:name="_Toc514088262"/>
      <w:bookmarkStart w:id="224" w:name="_Toc480465434"/>
      <w:bookmarkStart w:id="225" w:name="_Toc448480300"/>
      <w:bookmarkStart w:id="226" w:name="_Toc438654088"/>
      <w:bookmarkStart w:id="227" w:name="_Toc456107133"/>
      <w:bookmarkStart w:id="228" w:name="_Toc459213779"/>
      <w:bookmarkStart w:id="229" w:name="_Toc513542663"/>
      <w:bookmarkStart w:id="230" w:name="_Toc512696265"/>
      <w:bookmarkStart w:id="231" w:name="_Toc512612268"/>
      <w:bookmarkStart w:id="232" w:name="_Toc512612092"/>
      <w:bookmarkStart w:id="233" w:name="_Toc512611296"/>
      <w:bookmarkStart w:id="234" w:name="m503"/>
      <w:bookmarkEnd w:id="222"/>
      <w:r>
        <w:rPr>
          <w:rFonts w:eastAsia="宋体" w:hint="eastAsia"/>
        </w:rPr>
        <w:t>报告期末按行业分类的股票及存托凭证投资组合</w:t>
      </w:r>
      <w:bookmarkEnd w:id="223"/>
      <w:bookmarkEnd w:id="224"/>
      <w:bookmarkEnd w:id="225"/>
      <w:bookmarkEnd w:id="226"/>
      <w:bookmarkEnd w:id="227"/>
      <w:bookmarkEnd w:id="228"/>
      <w:r>
        <w:rPr>
          <w:rFonts w:hint="eastAsia"/>
        </w:rPr>
        <w:t xml:space="preserve"> </w:t>
      </w:r>
      <w:bookmarkEnd w:id="229"/>
      <w:bookmarkEnd w:id="230"/>
      <w:bookmarkEnd w:id="231"/>
      <w:bookmarkEnd w:id="232"/>
      <w:bookmarkEnd w:id="233"/>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19"/>
        <w:gridCol w:w="3818"/>
        <w:gridCol w:w="1798"/>
      </w:tblGrid>
      <w:tr w:rsidR="009142D6" w14:paraId="511E5298"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F132674" w14:textId="77777777" w:rsidR="00F513D8" w:rsidRDefault="00F513D8">
            <w:pPr>
              <w:jc w:val="center"/>
            </w:pPr>
            <w:bookmarkStart w:id="235" w:name="m08QD_03_01_tab"/>
            <w:bookmarkStart w:id="236" w:name="m08QD_03_tab"/>
            <w:bookmarkStart w:id="237" w:name="m08QD_03_01"/>
            <w:r>
              <w:rPr>
                <w:rFonts w:ascii="宋体" w:hAnsi="宋体" w:hint="eastAsia"/>
                <w:color w:val="000000"/>
              </w:rPr>
              <w:t>行业类别</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B6F659" w14:textId="77777777" w:rsidR="00F513D8" w:rsidRDefault="00F513D8">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21595BD" w14:textId="77777777" w:rsidR="00F513D8" w:rsidRDefault="00F513D8">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9142D6" w14:paraId="3DF9494B"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537061" w14:textId="77777777" w:rsidR="00F513D8" w:rsidRDefault="00F513D8">
            <w:pPr>
              <w:jc w:val="left"/>
            </w:pPr>
            <w:r>
              <w:rPr>
                <w:rFonts w:ascii="宋体" w:hAnsi="宋体" w:hint="eastAsia"/>
                <w:color w:val="000000"/>
                <w:lang w:eastAsia="zh-Hans"/>
              </w:rPr>
              <w:t>基础材料</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0B06F1" w14:textId="77777777" w:rsidR="00F513D8" w:rsidRDefault="00F513D8">
            <w:pPr>
              <w:jc w:val="right"/>
            </w:pPr>
            <w:r>
              <w:rPr>
                <w:rFonts w:ascii="宋体" w:hAnsi="宋体" w:hint="eastAsia"/>
                <w:color w:val="000000"/>
                <w:lang w:eastAsia="zh-Hans"/>
              </w:rPr>
              <w:t>114,321,640.96</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160CE3" w14:textId="77777777" w:rsidR="00F513D8" w:rsidRDefault="00F513D8">
            <w:pPr>
              <w:jc w:val="right"/>
            </w:pPr>
            <w:r>
              <w:rPr>
                <w:rFonts w:ascii="宋体" w:hAnsi="宋体" w:hint="eastAsia"/>
                <w:color w:val="000000"/>
                <w:lang w:eastAsia="zh-Hans"/>
              </w:rPr>
              <w:t>4.55</w:t>
            </w:r>
          </w:p>
        </w:tc>
      </w:tr>
      <w:tr w:rsidR="009142D6" w14:paraId="622EBA6D"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D9126" w14:textId="77777777" w:rsidR="00F513D8" w:rsidRDefault="00F513D8">
            <w:pPr>
              <w:jc w:val="left"/>
            </w:pPr>
            <w:r>
              <w:rPr>
                <w:rFonts w:ascii="宋体" w:hAnsi="宋体" w:hint="eastAsia"/>
                <w:color w:val="000000"/>
                <w:lang w:eastAsia="zh-Hans"/>
              </w:rPr>
              <w:t>消费者非必需品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61C8C" w14:textId="77777777" w:rsidR="00F513D8" w:rsidRDefault="00F513D8">
            <w:pPr>
              <w:jc w:val="right"/>
            </w:pPr>
            <w:r>
              <w:rPr>
                <w:rFonts w:ascii="宋体" w:hAnsi="宋体" w:hint="eastAsia"/>
                <w:color w:val="000000"/>
                <w:lang w:eastAsia="zh-Hans"/>
              </w:rPr>
              <w:t>261,095,394.50</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F1F41C" w14:textId="77777777" w:rsidR="00F513D8" w:rsidRDefault="00F513D8">
            <w:pPr>
              <w:jc w:val="right"/>
            </w:pPr>
            <w:r>
              <w:rPr>
                <w:rFonts w:ascii="宋体" w:hAnsi="宋体" w:hint="eastAsia"/>
                <w:color w:val="000000"/>
                <w:lang w:eastAsia="zh-Hans"/>
              </w:rPr>
              <w:t>10.39</w:t>
            </w:r>
          </w:p>
        </w:tc>
      </w:tr>
      <w:tr w:rsidR="009142D6" w14:paraId="7478266F"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B2C2C9" w14:textId="77777777" w:rsidR="00F513D8" w:rsidRDefault="00F513D8">
            <w:pPr>
              <w:jc w:val="left"/>
            </w:pPr>
            <w:r>
              <w:rPr>
                <w:rFonts w:ascii="宋体" w:hAnsi="宋体" w:hint="eastAsia"/>
                <w:color w:val="000000"/>
                <w:lang w:eastAsia="zh-Hans"/>
              </w:rPr>
              <w:t>消费者常用品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E77509" w14:textId="77777777" w:rsidR="00F513D8" w:rsidRDefault="00F513D8">
            <w:pPr>
              <w:jc w:val="right"/>
            </w:pPr>
            <w:r>
              <w:rPr>
                <w:rFonts w:ascii="宋体" w:hAnsi="宋体" w:hint="eastAsia"/>
                <w:color w:val="000000"/>
                <w:lang w:eastAsia="zh-Hans"/>
              </w:rPr>
              <w:t>95,278,021.93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18FD8" w14:textId="77777777" w:rsidR="00F513D8" w:rsidRDefault="00F513D8">
            <w:pPr>
              <w:jc w:val="right"/>
            </w:pPr>
            <w:r>
              <w:rPr>
                <w:rFonts w:ascii="宋体" w:hAnsi="宋体" w:hint="eastAsia"/>
                <w:color w:val="000000"/>
                <w:lang w:eastAsia="zh-Hans"/>
              </w:rPr>
              <w:t>3.79</w:t>
            </w:r>
          </w:p>
        </w:tc>
      </w:tr>
      <w:tr w:rsidR="009142D6" w14:paraId="48AC2E1A"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76FC7" w14:textId="77777777" w:rsidR="00F513D8" w:rsidRDefault="00F513D8">
            <w:pPr>
              <w:jc w:val="left"/>
            </w:pPr>
            <w:r>
              <w:rPr>
                <w:rFonts w:ascii="宋体" w:hAnsi="宋体" w:hint="eastAsia"/>
                <w:color w:val="000000"/>
                <w:lang w:eastAsia="zh-Hans"/>
              </w:rPr>
              <w:t>能源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7FE15" w14:textId="77777777" w:rsidR="00F513D8" w:rsidRDefault="00F513D8">
            <w:pPr>
              <w:jc w:val="right"/>
            </w:pPr>
            <w:r>
              <w:rPr>
                <w:rFonts w:ascii="宋体" w:hAnsi="宋体" w:hint="eastAsia"/>
                <w:color w:val="000000"/>
                <w:lang w:eastAsia="zh-Hans"/>
              </w:rPr>
              <w:t>32,553,385.69</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1B4ED6" w14:textId="77777777" w:rsidR="00F513D8" w:rsidRDefault="00F513D8">
            <w:pPr>
              <w:jc w:val="right"/>
            </w:pPr>
            <w:r>
              <w:rPr>
                <w:rFonts w:ascii="宋体" w:hAnsi="宋体" w:hint="eastAsia"/>
                <w:color w:val="000000"/>
                <w:lang w:eastAsia="zh-Hans"/>
              </w:rPr>
              <w:t>1.30</w:t>
            </w:r>
          </w:p>
        </w:tc>
      </w:tr>
      <w:tr w:rsidR="009142D6" w14:paraId="7D1E1066"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1646E" w14:textId="77777777" w:rsidR="00F513D8" w:rsidRDefault="00F513D8">
            <w:pPr>
              <w:jc w:val="left"/>
            </w:pPr>
            <w:r>
              <w:rPr>
                <w:rFonts w:ascii="宋体" w:hAnsi="宋体" w:hint="eastAsia"/>
                <w:color w:val="000000"/>
                <w:lang w:eastAsia="zh-Hans"/>
              </w:rPr>
              <w:t>金融</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26804A" w14:textId="77777777" w:rsidR="00F513D8" w:rsidRDefault="00F513D8">
            <w:pPr>
              <w:jc w:val="right"/>
            </w:pPr>
            <w:r>
              <w:rPr>
                <w:rFonts w:ascii="宋体" w:hAnsi="宋体" w:hint="eastAsia"/>
                <w:color w:val="000000"/>
                <w:lang w:eastAsia="zh-Hans"/>
              </w:rPr>
              <w:t>584,303,753.95</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476CC" w14:textId="77777777" w:rsidR="00F513D8" w:rsidRDefault="00F513D8">
            <w:pPr>
              <w:jc w:val="right"/>
            </w:pPr>
            <w:r>
              <w:rPr>
                <w:rFonts w:ascii="宋体" w:hAnsi="宋体" w:hint="eastAsia"/>
                <w:color w:val="000000"/>
                <w:lang w:eastAsia="zh-Hans"/>
              </w:rPr>
              <w:t>23.24</w:t>
            </w:r>
          </w:p>
        </w:tc>
      </w:tr>
      <w:tr w:rsidR="009142D6" w14:paraId="6FB62B79"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682446" w14:textId="77777777" w:rsidR="00F513D8" w:rsidRDefault="00F513D8">
            <w:pPr>
              <w:jc w:val="left"/>
            </w:pPr>
            <w:r>
              <w:rPr>
                <w:rFonts w:ascii="宋体" w:hAnsi="宋体" w:hint="eastAsia"/>
                <w:color w:val="000000"/>
                <w:lang w:eastAsia="zh-Hans"/>
              </w:rPr>
              <w:t>医疗保健</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4457CB" w14:textId="77777777" w:rsidR="00F513D8" w:rsidRDefault="00F513D8">
            <w:pPr>
              <w:jc w:val="right"/>
            </w:pPr>
            <w:r>
              <w:rPr>
                <w:rFonts w:ascii="宋体" w:hAnsi="宋体" w:hint="eastAsia"/>
                <w:color w:val="000000"/>
                <w:lang w:eastAsia="zh-Hans"/>
              </w:rPr>
              <w:t>39,809,960.56</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8A95C" w14:textId="77777777" w:rsidR="00F513D8" w:rsidRDefault="00F513D8">
            <w:pPr>
              <w:jc w:val="right"/>
            </w:pPr>
            <w:r>
              <w:rPr>
                <w:rFonts w:ascii="宋体" w:hAnsi="宋体" w:hint="eastAsia"/>
                <w:color w:val="000000"/>
                <w:lang w:eastAsia="zh-Hans"/>
              </w:rPr>
              <w:t>1.58</w:t>
            </w:r>
          </w:p>
        </w:tc>
      </w:tr>
      <w:tr w:rsidR="009142D6" w14:paraId="2E6F69D4"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AEC73B" w14:textId="77777777" w:rsidR="00F513D8" w:rsidRDefault="00F513D8">
            <w:pPr>
              <w:jc w:val="left"/>
            </w:pPr>
            <w:r>
              <w:rPr>
                <w:rFonts w:ascii="宋体" w:hAnsi="宋体" w:hint="eastAsia"/>
                <w:color w:val="000000"/>
                <w:lang w:eastAsia="zh-Hans"/>
              </w:rPr>
              <w:t>工业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1DE917" w14:textId="77777777" w:rsidR="00F513D8" w:rsidRDefault="00F513D8">
            <w:pPr>
              <w:jc w:val="right"/>
            </w:pPr>
            <w:r>
              <w:rPr>
                <w:rFonts w:ascii="宋体" w:hAnsi="宋体" w:hint="eastAsia"/>
                <w:color w:val="000000"/>
                <w:lang w:eastAsia="zh-Hans"/>
              </w:rPr>
              <w:t>227,273,877.98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3FC36" w14:textId="77777777" w:rsidR="00F513D8" w:rsidRDefault="00F513D8">
            <w:pPr>
              <w:jc w:val="right"/>
            </w:pPr>
            <w:r>
              <w:rPr>
                <w:rFonts w:ascii="宋体" w:hAnsi="宋体" w:hint="eastAsia"/>
                <w:color w:val="000000"/>
                <w:lang w:eastAsia="zh-Hans"/>
              </w:rPr>
              <w:t>9.04</w:t>
            </w:r>
          </w:p>
        </w:tc>
      </w:tr>
      <w:tr w:rsidR="009142D6" w14:paraId="7D577A8A"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3BA510" w14:textId="77777777" w:rsidR="00F513D8" w:rsidRDefault="00F513D8">
            <w:pPr>
              <w:jc w:val="left"/>
            </w:pPr>
            <w:r>
              <w:rPr>
                <w:rFonts w:ascii="宋体" w:hAnsi="宋体" w:hint="eastAsia"/>
                <w:color w:val="000000"/>
                <w:lang w:eastAsia="zh-Hans"/>
              </w:rPr>
              <w:t>信息技术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380F63" w14:textId="77777777" w:rsidR="00F513D8" w:rsidRDefault="00F513D8">
            <w:pPr>
              <w:jc w:val="right"/>
            </w:pPr>
            <w:r>
              <w:rPr>
                <w:rFonts w:ascii="宋体" w:hAnsi="宋体" w:hint="eastAsia"/>
                <w:color w:val="000000"/>
                <w:lang w:eastAsia="zh-Hans"/>
              </w:rPr>
              <w:t>456,506,970.74</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B301C3" w14:textId="77777777" w:rsidR="00F513D8" w:rsidRDefault="00F513D8">
            <w:pPr>
              <w:jc w:val="right"/>
            </w:pPr>
            <w:r>
              <w:rPr>
                <w:rFonts w:ascii="宋体" w:hAnsi="宋体" w:hint="eastAsia"/>
                <w:color w:val="000000"/>
                <w:lang w:eastAsia="zh-Hans"/>
              </w:rPr>
              <w:t>18.16</w:t>
            </w:r>
          </w:p>
        </w:tc>
      </w:tr>
      <w:tr w:rsidR="009142D6" w14:paraId="6EC5E44B"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050522" w14:textId="77777777" w:rsidR="00F513D8" w:rsidRDefault="00F513D8">
            <w:pPr>
              <w:jc w:val="left"/>
            </w:pPr>
            <w:r>
              <w:rPr>
                <w:rFonts w:ascii="宋体" w:hAnsi="宋体" w:hint="eastAsia"/>
                <w:color w:val="000000"/>
                <w:lang w:eastAsia="zh-Hans"/>
              </w:rPr>
              <w:t>电信服务</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A2ACB5" w14:textId="77777777" w:rsidR="00F513D8" w:rsidRDefault="00F513D8">
            <w:pPr>
              <w:jc w:val="right"/>
            </w:pPr>
            <w:r>
              <w:rPr>
                <w:rFonts w:ascii="宋体" w:hAnsi="宋体" w:hint="eastAsia"/>
                <w:color w:val="000000"/>
                <w:lang w:eastAsia="zh-Hans"/>
              </w:rPr>
              <w:t>364,584,778.12</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C8A746" w14:textId="77777777" w:rsidR="00F513D8" w:rsidRDefault="00F513D8">
            <w:pPr>
              <w:jc w:val="right"/>
            </w:pPr>
            <w:r>
              <w:rPr>
                <w:rFonts w:ascii="宋体" w:hAnsi="宋体" w:hint="eastAsia"/>
                <w:color w:val="000000"/>
                <w:lang w:eastAsia="zh-Hans"/>
              </w:rPr>
              <w:t>14.50</w:t>
            </w:r>
          </w:p>
        </w:tc>
      </w:tr>
      <w:tr w:rsidR="009142D6" w14:paraId="1F423C37"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D41678" w14:textId="77777777" w:rsidR="00F513D8" w:rsidRDefault="00F513D8">
            <w:pPr>
              <w:jc w:val="left"/>
            </w:pPr>
            <w:r>
              <w:rPr>
                <w:rFonts w:ascii="宋体" w:hAnsi="宋体" w:hint="eastAsia"/>
                <w:color w:val="000000"/>
                <w:lang w:eastAsia="zh-Hans"/>
              </w:rPr>
              <w:t>公用事业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6ED1EF" w14:textId="77777777" w:rsidR="00F513D8" w:rsidRDefault="00F513D8">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89D96" w14:textId="77777777" w:rsidR="00F513D8" w:rsidRDefault="00F513D8">
            <w:pPr>
              <w:jc w:val="right"/>
            </w:pPr>
            <w:r>
              <w:rPr>
                <w:rFonts w:ascii="宋体" w:hAnsi="宋体" w:hint="eastAsia"/>
                <w:color w:val="000000"/>
                <w:lang w:eastAsia="zh-Hans"/>
              </w:rPr>
              <w:t>-</w:t>
            </w:r>
          </w:p>
        </w:tc>
      </w:tr>
      <w:tr w:rsidR="009142D6" w14:paraId="347BDAFF"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0CD0B6" w14:textId="77777777" w:rsidR="00F513D8" w:rsidRDefault="00F513D8">
            <w:pPr>
              <w:jc w:val="left"/>
            </w:pPr>
            <w:r>
              <w:rPr>
                <w:rFonts w:ascii="宋体" w:hAnsi="宋体" w:hint="eastAsia"/>
                <w:color w:val="000000"/>
                <w:lang w:eastAsia="zh-Hans"/>
              </w:rPr>
              <w:t>房地产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AFC1F0" w14:textId="77777777" w:rsidR="00F513D8" w:rsidRDefault="00F513D8">
            <w:pPr>
              <w:jc w:val="right"/>
            </w:pPr>
            <w:r>
              <w:rPr>
                <w:rFonts w:ascii="宋体" w:hAnsi="宋体" w:hint="eastAsia"/>
                <w:color w:val="000000"/>
                <w:lang w:eastAsia="zh-Hans"/>
              </w:rPr>
              <w:t>113,524,621.07</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FFCA4" w14:textId="77777777" w:rsidR="00F513D8" w:rsidRDefault="00F513D8">
            <w:pPr>
              <w:jc w:val="right"/>
            </w:pPr>
            <w:r>
              <w:rPr>
                <w:rFonts w:ascii="宋体" w:hAnsi="宋体" w:hint="eastAsia"/>
                <w:color w:val="000000"/>
                <w:lang w:eastAsia="zh-Hans"/>
              </w:rPr>
              <w:t>4.52</w:t>
            </w:r>
          </w:p>
        </w:tc>
      </w:tr>
      <w:tr w:rsidR="009142D6" w14:paraId="012068AE" w14:textId="77777777">
        <w:trPr>
          <w:divId w:val="238176728"/>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D440E" w14:textId="77777777" w:rsidR="00F513D8" w:rsidRDefault="00F513D8">
            <w:pPr>
              <w:jc w:val="center"/>
            </w:pPr>
            <w:r>
              <w:rPr>
                <w:rFonts w:ascii="宋体" w:hAnsi="宋体" w:hint="eastAsia"/>
              </w:rPr>
              <w:t>合计</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88847" w14:textId="77777777" w:rsidR="00F513D8" w:rsidRDefault="00F513D8">
            <w:pPr>
              <w:jc w:val="right"/>
            </w:pPr>
            <w:r>
              <w:rPr>
                <w:rFonts w:ascii="宋体" w:hAnsi="宋体" w:hint="eastAsia"/>
                <w:color w:val="000000"/>
                <w:lang w:eastAsia="zh-Hans"/>
              </w:rPr>
              <w:t>2,289,252,405.50</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10F8AB" w14:textId="77777777" w:rsidR="00F513D8" w:rsidRDefault="00F513D8">
            <w:pPr>
              <w:jc w:val="right"/>
            </w:pPr>
            <w:r>
              <w:rPr>
                <w:rFonts w:ascii="宋体" w:hAnsi="宋体" w:hint="eastAsia"/>
                <w:color w:val="000000"/>
                <w:lang w:eastAsia="zh-Hans"/>
              </w:rPr>
              <w:t>91.07</w:t>
            </w:r>
          </w:p>
        </w:tc>
      </w:tr>
    </w:tbl>
    <w:p w14:paraId="535C834C" w14:textId="77777777" w:rsidR="00F513D8" w:rsidRDefault="00F513D8">
      <w:pPr>
        <w:spacing w:line="360" w:lineRule="auto"/>
        <w:jc w:val="left"/>
        <w:divId w:val="304435675"/>
      </w:pPr>
      <w:bookmarkStart w:id="238" w:name="_Toc247616244"/>
      <w:bookmarkStart w:id="239" w:name="_Toc433036708"/>
      <w:bookmarkStart w:id="240" w:name="_Toc247613259"/>
      <w:bookmarkStart w:id="241" w:name="m08QD_04_01"/>
      <w:bookmarkStart w:id="242" w:name="m07_04_07_02"/>
      <w:bookmarkEnd w:id="235"/>
      <w:bookmarkEnd w:id="236"/>
      <w:bookmarkEnd w:id="237"/>
      <w:r>
        <w:rPr>
          <w:rFonts w:ascii="宋体" w:hAnsi="宋体" w:hint="eastAsia"/>
          <w:szCs w:val="21"/>
        </w:rPr>
        <w:t>注：</w:t>
      </w:r>
      <w:r>
        <w:rPr>
          <w:rFonts w:ascii="宋体" w:hAnsi="宋体" w:hint="eastAsia"/>
          <w:szCs w:val="21"/>
          <w:lang w:eastAsia="zh-Hans"/>
        </w:rPr>
        <w:t>以上分类采用全球行业分类标准(GICS)。</w:t>
      </w:r>
      <w:bookmarkEnd w:id="238"/>
      <w:bookmarkEnd w:id="239"/>
      <w:bookmarkEnd w:id="240"/>
      <w:r>
        <w:rPr>
          <w:rFonts w:ascii="宋体" w:hAnsi="宋体" w:hint="eastAsia"/>
          <w:szCs w:val="21"/>
          <w:lang w:eastAsia="zh-Hans"/>
        </w:rPr>
        <w:t xml:space="preserve"> </w:t>
      </w:r>
    </w:p>
    <w:p w14:paraId="1F25DB45" w14:textId="77777777" w:rsidR="00F513D8" w:rsidRDefault="00F513D8">
      <w:pPr>
        <w:pStyle w:val="XBRLTitle2"/>
        <w:spacing w:before="156" w:line="360" w:lineRule="auto"/>
        <w:ind w:left="454"/>
      </w:pPr>
      <w:bookmarkStart w:id="243" w:name="_Toc5140882991"/>
      <w:bookmarkStart w:id="244" w:name="_Toc480465441"/>
      <w:bookmarkStart w:id="245" w:name="_Toc459213786"/>
      <w:bookmarkStart w:id="246" w:name="_Toc456107140"/>
      <w:bookmarkStart w:id="247" w:name="_Toc438654095"/>
      <w:bookmarkStart w:id="248" w:name="_Toc448480307"/>
      <w:bookmarkStart w:id="249" w:name="_Toc513542670"/>
      <w:bookmarkStart w:id="250" w:name="_Toc512696272"/>
      <w:bookmarkStart w:id="251" w:name="_Toc512612275"/>
      <w:bookmarkStart w:id="252" w:name="_Toc512612099"/>
      <w:bookmarkStart w:id="253" w:name="_Toc512611303"/>
      <w:bookmarkEnd w:id="234"/>
      <w:r>
        <w:rPr>
          <w:rFonts w:eastAsia="宋体" w:hint="eastAsia"/>
        </w:rPr>
        <w:t>期末按公允价值占基金资产净值比例大小排序的权益投资明细</w:t>
      </w:r>
      <w:bookmarkEnd w:id="243"/>
      <w:r>
        <w:rPr>
          <w:rFonts w:eastAsia="宋体" w:hint="eastAsia"/>
        </w:rPr>
        <w:t xml:space="preserve"> </w:t>
      </w:r>
    </w:p>
    <w:p w14:paraId="0A59B126" w14:textId="77777777" w:rsidR="00F513D8" w:rsidRDefault="00F513D8">
      <w:pPr>
        <w:pStyle w:val="XBRLTitle3"/>
        <w:spacing w:before="156" w:line="360" w:lineRule="auto"/>
        <w:ind w:left="624"/>
      </w:pPr>
      <w:bookmarkStart w:id="254" w:name="m510_01_1597"/>
      <w:r>
        <w:rPr>
          <w:rFonts w:hAnsi="宋体" w:hint="eastAsia"/>
        </w:rPr>
        <w:t>报告期末按公允价值占基金资产净值比例大小排序的前十名股票及存托凭证投资明细</w:t>
      </w:r>
      <w:bookmarkStart w:id="255" w:name="_Toc5140882992"/>
      <w:bookmarkStart w:id="256" w:name="_Toc513542671"/>
      <w:bookmarkStart w:id="257" w:name="_Toc480465442"/>
      <w:bookmarkEnd w:id="255"/>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426"/>
        <w:gridCol w:w="1581"/>
        <w:gridCol w:w="820"/>
        <w:gridCol w:w="846"/>
        <w:gridCol w:w="574"/>
        <w:gridCol w:w="636"/>
        <w:gridCol w:w="1161"/>
        <w:gridCol w:w="1686"/>
        <w:gridCol w:w="1105"/>
      </w:tblGrid>
      <w:tr w:rsidR="009142D6" w14:paraId="5A1F24AC" w14:textId="77777777">
        <w:trPr>
          <w:divId w:val="841168971"/>
        </w:trPr>
        <w:tc>
          <w:tcPr>
            <w:tcW w:w="4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EDB26F" w14:textId="77777777" w:rsidR="00F513D8" w:rsidRDefault="00F513D8">
            <w:pPr>
              <w:jc w:val="center"/>
            </w:pPr>
            <w:bookmarkStart w:id="258" w:name="m08QD_04_01_tab"/>
            <w:r>
              <w:rPr>
                <w:rFonts w:ascii="宋体" w:hAnsi="宋体" w:hint="eastAsia"/>
              </w:rPr>
              <w:t>序号</w:t>
            </w:r>
            <w:r>
              <w:rPr>
                <w:rFonts w:ascii="宋体" w:hAnsi="宋体" w:hint="eastAsia"/>
                <w:lang w:eastAsia="zh-Hans"/>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2E30593" w14:textId="77777777" w:rsidR="00F513D8" w:rsidRDefault="00F513D8">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A598330" w14:textId="77777777" w:rsidR="00F513D8" w:rsidRDefault="00F513D8">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70A9769" w14:textId="77777777" w:rsidR="00F513D8" w:rsidRDefault="00F513D8">
            <w:pPr>
              <w:jc w:val="center"/>
            </w:pPr>
            <w:r>
              <w:rPr>
                <w:rFonts w:ascii="宋体" w:hAnsi="宋体" w:hint="eastAsia"/>
              </w:rPr>
              <w:t>证券代码</w:t>
            </w:r>
            <w:r>
              <w:rPr>
                <w:rFonts w:ascii="宋体" w:hAnsi="宋体" w:hint="eastAsia"/>
                <w:lang w:eastAsia="zh-Hans"/>
              </w:rPr>
              <w:t xml:space="preserve"> </w:t>
            </w:r>
          </w:p>
        </w:tc>
        <w:tc>
          <w:tcPr>
            <w:tcW w:w="5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5F8237" w14:textId="77777777" w:rsidR="00F513D8" w:rsidRDefault="00F513D8">
            <w:pPr>
              <w:jc w:val="center"/>
            </w:pPr>
            <w:r>
              <w:rPr>
                <w:rFonts w:ascii="宋体" w:hAnsi="宋体" w:hint="eastAsia"/>
              </w:rPr>
              <w:t>所在证券市场</w:t>
            </w:r>
            <w:r>
              <w:rPr>
                <w:rFonts w:ascii="宋体" w:hAnsi="宋体" w:hint="eastAsia"/>
                <w:lang w:eastAsia="zh-Hans"/>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7136779" w14:textId="77777777" w:rsidR="00F513D8" w:rsidRDefault="00F513D8">
            <w:pPr>
              <w:jc w:val="center"/>
            </w:pPr>
            <w:r>
              <w:rPr>
                <w:rFonts w:ascii="宋体" w:hAnsi="宋体" w:hint="eastAsia"/>
              </w:rPr>
              <w:t>所属国家（地区）</w:t>
            </w:r>
            <w:r>
              <w:rPr>
                <w:rFonts w:ascii="宋体" w:hAnsi="宋体" w:hint="eastAsia"/>
                <w:lang w:eastAsia="zh-Hans"/>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E757196" w14:textId="77777777" w:rsidR="00F513D8" w:rsidRDefault="00F513D8">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52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A935F3C" w14:textId="77777777" w:rsidR="00F513D8" w:rsidRDefault="00F513D8">
            <w:pPr>
              <w:jc w:val="center"/>
            </w:pPr>
            <w:r>
              <w:rPr>
                <w:rFonts w:ascii="宋体" w:hAnsi="宋体" w:hint="eastAsia"/>
              </w:rPr>
              <w:t xml:space="preserve">公允价值（人民币元） </w:t>
            </w:r>
          </w:p>
        </w:tc>
        <w:tc>
          <w:tcPr>
            <w:tcW w:w="89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2B94F2C" w14:textId="77777777" w:rsidR="00F513D8" w:rsidRDefault="00F513D8">
            <w:pPr>
              <w:jc w:val="center"/>
            </w:pPr>
            <w:r>
              <w:rPr>
                <w:rFonts w:ascii="宋体" w:hAnsi="宋体" w:hint="eastAsia"/>
              </w:rPr>
              <w:t>占基金资产净值比例</w:t>
            </w:r>
            <w:r>
              <w:rPr>
                <w:rFonts w:ascii="宋体" w:hAnsi="宋体" w:hint="eastAsia"/>
                <w:lang w:eastAsia="zh-Hans"/>
              </w:rPr>
              <w:t xml:space="preserve">(%) </w:t>
            </w:r>
          </w:p>
        </w:tc>
      </w:tr>
      <w:tr w:rsidR="009142D6" w14:paraId="18F26088" w14:textId="77777777">
        <w:trPr>
          <w:divId w:val="84116897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CEC494" w14:textId="77777777" w:rsidR="00F513D8" w:rsidRDefault="00F513D8">
            <w:pPr>
              <w:jc w:val="center"/>
            </w:pPr>
            <w:r>
              <w:rPr>
                <w:rFonts w:ascii="宋体" w:hAnsi="宋体" w:hint="eastAsia"/>
                <w:color w:val="000000"/>
                <w:lang w:eastAsia="zh-Hans"/>
              </w:rPr>
              <w:t>1</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5869C2" w14:textId="77777777" w:rsidR="00F513D8" w:rsidRDefault="00F513D8">
            <w:r>
              <w:rPr>
                <w:rFonts w:ascii="宋体" w:hAnsi="宋体" w:hint="eastAsia"/>
                <w:color w:val="000000"/>
                <w:lang w:eastAsia="zh-Hans"/>
              </w:rPr>
              <w:t>TAIWAN SEMICONDUCTOR MFG (2330)</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DE2B65" w14:textId="77777777" w:rsidR="00F513D8" w:rsidRDefault="00F513D8">
            <w:r>
              <w:rPr>
                <w:rFonts w:ascii="宋体" w:hAnsi="宋体" w:hint="eastAsia"/>
                <w:color w:val="000000"/>
                <w:lang w:eastAsia="zh-Hans"/>
              </w:rPr>
              <w:t>台湾集成电路制造股份有限公司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37517" w14:textId="77777777" w:rsidR="00F513D8" w:rsidRDefault="00F513D8">
            <w:r>
              <w:rPr>
                <w:rFonts w:ascii="宋体" w:hAnsi="宋体" w:hint="eastAsia"/>
                <w:color w:val="000000"/>
                <w:lang w:eastAsia="zh-Hans"/>
              </w:rPr>
              <w:t>2330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FE46D" w14:textId="77777777" w:rsidR="00F513D8" w:rsidRDefault="00F513D8">
            <w:r>
              <w:rPr>
                <w:rFonts w:ascii="宋体" w:hAnsi="宋体" w:hint="eastAsia"/>
                <w:color w:val="000000"/>
                <w:lang w:eastAsia="zh-Hans"/>
              </w:rPr>
              <w:t>台湾交易所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8AE0D3" w14:textId="77777777" w:rsidR="00F513D8" w:rsidRDefault="00F513D8">
            <w:r>
              <w:rPr>
                <w:rFonts w:ascii="宋体" w:hAnsi="宋体" w:hint="eastAsia"/>
                <w:color w:val="000000"/>
                <w:lang w:eastAsia="zh-Hans"/>
              </w:rPr>
              <w:t>中国台湾</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DFAD1B" w14:textId="77777777" w:rsidR="00F513D8" w:rsidRDefault="00F513D8">
            <w:pPr>
              <w:jc w:val="right"/>
            </w:pPr>
            <w:r>
              <w:rPr>
                <w:rFonts w:ascii="宋体" w:hAnsi="宋体" w:hint="eastAsia"/>
                <w:color w:val="000000"/>
                <w:lang w:eastAsia="zh-Hans"/>
              </w:rPr>
              <w:t>937,000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00D653" w14:textId="77777777" w:rsidR="00F513D8" w:rsidRDefault="00F513D8">
            <w:pPr>
              <w:jc w:val="right"/>
            </w:pPr>
            <w:r>
              <w:rPr>
                <w:rFonts w:ascii="宋体" w:hAnsi="宋体" w:hint="eastAsia"/>
                <w:color w:val="000000"/>
                <w:lang w:eastAsia="zh-Hans"/>
              </w:rPr>
              <w:t>243,395,340.72</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2B0F30" w14:textId="77777777" w:rsidR="00F513D8" w:rsidRDefault="00F513D8">
            <w:pPr>
              <w:jc w:val="right"/>
            </w:pPr>
            <w:r>
              <w:rPr>
                <w:rFonts w:ascii="宋体" w:hAnsi="宋体" w:hint="eastAsia"/>
                <w:color w:val="000000"/>
                <w:lang w:eastAsia="zh-Hans"/>
              </w:rPr>
              <w:t>9.68</w:t>
            </w:r>
            <w:r>
              <w:rPr>
                <w:rFonts w:ascii="宋体" w:hAnsi="宋体" w:hint="eastAsia"/>
                <w:sz w:val="18"/>
              </w:rPr>
              <w:t xml:space="preserve"> </w:t>
            </w:r>
          </w:p>
        </w:tc>
      </w:tr>
      <w:tr w:rsidR="009142D6" w14:paraId="24C3DD90" w14:textId="77777777">
        <w:trPr>
          <w:divId w:val="84116897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6E0ECF" w14:textId="77777777" w:rsidR="00F513D8" w:rsidRDefault="00F513D8">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3AE708" w14:textId="77777777" w:rsidR="00F513D8" w:rsidRDefault="00F513D8">
            <w:r>
              <w:rPr>
                <w:rFonts w:ascii="宋体" w:hAnsi="宋体" w:hint="eastAsia"/>
                <w:color w:val="000000"/>
                <w:lang w:eastAsia="zh-Hans"/>
              </w:rPr>
              <w:t>TENCENT HOLDINGS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DCA7E" w14:textId="77777777" w:rsidR="00F513D8" w:rsidRDefault="00F513D8">
            <w:r>
              <w:rPr>
                <w:rFonts w:ascii="宋体" w:hAnsi="宋体" w:hint="eastAsia"/>
                <w:color w:val="000000"/>
                <w:lang w:eastAsia="zh-Hans"/>
              </w:rPr>
              <w:t>腾讯控股有限</w:t>
            </w:r>
            <w:r>
              <w:rPr>
                <w:rFonts w:ascii="宋体" w:hAnsi="宋体" w:hint="eastAsia"/>
                <w:color w:val="000000"/>
                <w:lang w:eastAsia="zh-Hans"/>
              </w:rPr>
              <w:lastRenderedPageBreak/>
              <w:t>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0DFA2C" w14:textId="77777777" w:rsidR="00F513D8" w:rsidRDefault="00F513D8">
            <w:r>
              <w:rPr>
                <w:rFonts w:ascii="宋体" w:hAnsi="宋体" w:hint="eastAsia"/>
                <w:color w:val="000000"/>
                <w:lang w:eastAsia="zh-Hans"/>
              </w:rPr>
              <w:lastRenderedPageBreak/>
              <w:t>700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433EE1" w14:textId="77777777" w:rsidR="00F513D8" w:rsidRDefault="00F513D8">
            <w:r>
              <w:rPr>
                <w:rFonts w:ascii="宋体" w:hAnsi="宋体" w:hint="eastAsia"/>
                <w:color w:val="000000"/>
                <w:lang w:eastAsia="zh-Hans"/>
              </w:rPr>
              <w:t>香港证</w:t>
            </w:r>
            <w:r>
              <w:rPr>
                <w:rFonts w:ascii="宋体" w:hAnsi="宋体" w:hint="eastAsia"/>
                <w:color w:val="000000"/>
                <w:lang w:eastAsia="zh-Hans"/>
              </w:rPr>
              <w:lastRenderedPageBreak/>
              <w:t>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D00FDB" w14:textId="77777777" w:rsidR="00F513D8" w:rsidRDefault="00F513D8">
            <w:r>
              <w:rPr>
                <w:rFonts w:ascii="宋体" w:hAnsi="宋体" w:hint="eastAsia"/>
                <w:color w:val="000000"/>
                <w:lang w:eastAsia="zh-Hans"/>
              </w:rPr>
              <w:lastRenderedPageBreak/>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FD47C2" w14:textId="77777777" w:rsidR="00F513D8" w:rsidRDefault="00F513D8">
            <w:pPr>
              <w:jc w:val="right"/>
            </w:pPr>
            <w:r>
              <w:rPr>
                <w:rFonts w:ascii="宋体" w:hAnsi="宋体" w:hint="eastAsia"/>
                <w:color w:val="000000"/>
                <w:lang w:eastAsia="zh-Hans"/>
              </w:rPr>
              <w:t>352,600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6B969" w14:textId="77777777" w:rsidR="00F513D8" w:rsidRDefault="00F513D8">
            <w:pPr>
              <w:jc w:val="right"/>
            </w:pPr>
            <w:r>
              <w:rPr>
                <w:rFonts w:ascii="宋体" w:hAnsi="宋体" w:hint="eastAsia"/>
                <w:color w:val="000000"/>
                <w:lang w:eastAsia="zh-Hans"/>
              </w:rPr>
              <w:t>161,741,445.71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3EC7A" w14:textId="77777777" w:rsidR="00F513D8" w:rsidRDefault="00F513D8">
            <w:pPr>
              <w:jc w:val="right"/>
            </w:pPr>
            <w:r>
              <w:rPr>
                <w:rFonts w:ascii="宋体" w:hAnsi="宋体" w:hint="eastAsia"/>
                <w:color w:val="000000"/>
                <w:lang w:eastAsia="zh-Hans"/>
              </w:rPr>
              <w:t>6.43</w:t>
            </w:r>
            <w:r>
              <w:rPr>
                <w:rFonts w:ascii="宋体" w:hAnsi="宋体" w:hint="eastAsia"/>
                <w:sz w:val="18"/>
              </w:rPr>
              <w:t xml:space="preserve"> </w:t>
            </w:r>
          </w:p>
        </w:tc>
      </w:tr>
      <w:tr w:rsidR="009142D6" w14:paraId="57591B6E" w14:textId="77777777">
        <w:trPr>
          <w:divId w:val="84116897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79D9B" w14:textId="77777777" w:rsidR="00F513D8" w:rsidRDefault="00F513D8">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05F0F0" w14:textId="77777777" w:rsidR="00F513D8" w:rsidRDefault="00F513D8">
            <w:r>
              <w:rPr>
                <w:rFonts w:ascii="宋体" w:hAnsi="宋体" w:hint="eastAsia"/>
                <w:color w:val="000000"/>
                <w:lang w:eastAsia="zh-Hans"/>
              </w:rPr>
              <w:t>ALIBABA GROUP HOLDING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F918C8" w14:textId="77777777" w:rsidR="00F513D8" w:rsidRDefault="00F513D8">
            <w:r>
              <w:rPr>
                <w:rFonts w:ascii="宋体" w:hAnsi="宋体" w:hint="eastAsia"/>
                <w:color w:val="000000"/>
                <w:lang w:eastAsia="zh-Hans"/>
              </w:rPr>
              <w:t>阿里巴巴-W</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387237" w14:textId="77777777" w:rsidR="00F513D8" w:rsidRDefault="00F513D8">
            <w:r>
              <w:rPr>
                <w:rFonts w:ascii="宋体" w:hAnsi="宋体" w:hint="eastAsia"/>
                <w:color w:val="000000"/>
                <w:lang w:eastAsia="zh-Hans"/>
              </w:rPr>
              <w:t>9988</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82A5B6" w14:textId="77777777" w:rsidR="00F513D8" w:rsidRDefault="00F513D8">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1C148E" w14:textId="77777777" w:rsidR="00F513D8" w:rsidRDefault="00F513D8">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D5278" w14:textId="77777777" w:rsidR="00F513D8" w:rsidRDefault="00F513D8">
            <w:pPr>
              <w:jc w:val="right"/>
            </w:pPr>
            <w:r>
              <w:rPr>
                <w:rFonts w:ascii="宋体" w:hAnsi="宋体" w:hint="eastAsia"/>
                <w:color w:val="000000"/>
                <w:lang w:eastAsia="zh-Hans"/>
              </w:rPr>
              <w:t>1,343,310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6198FE" w14:textId="77777777" w:rsidR="00F513D8" w:rsidRDefault="00F513D8">
            <w:pPr>
              <w:jc w:val="right"/>
            </w:pPr>
            <w:r>
              <w:rPr>
                <w:rFonts w:ascii="宋体" w:hAnsi="宋体" w:hint="eastAsia"/>
                <w:color w:val="000000"/>
                <w:lang w:eastAsia="zh-Hans"/>
              </w:rPr>
              <w:t>134,508,464.68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37021F" w14:textId="77777777" w:rsidR="00F513D8" w:rsidRDefault="00F513D8">
            <w:pPr>
              <w:jc w:val="right"/>
            </w:pPr>
            <w:r>
              <w:rPr>
                <w:rFonts w:ascii="宋体" w:hAnsi="宋体" w:hint="eastAsia"/>
                <w:color w:val="000000"/>
                <w:lang w:eastAsia="zh-Hans"/>
              </w:rPr>
              <w:t>5.35</w:t>
            </w:r>
            <w:r>
              <w:rPr>
                <w:rFonts w:ascii="宋体" w:hAnsi="宋体" w:hint="eastAsia"/>
                <w:sz w:val="18"/>
              </w:rPr>
              <w:t xml:space="preserve"> </w:t>
            </w:r>
          </w:p>
        </w:tc>
      </w:tr>
      <w:tr w:rsidR="009142D6" w14:paraId="03D7F90E" w14:textId="77777777">
        <w:trPr>
          <w:divId w:val="84116897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E1F55" w14:textId="77777777" w:rsidR="00F513D8" w:rsidRDefault="00F513D8">
            <w:pPr>
              <w:jc w:val="center"/>
            </w:pPr>
            <w:r>
              <w:rPr>
                <w:rFonts w:ascii="宋体" w:hAnsi="宋体" w:hint="eastAsia"/>
                <w:color w:val="000000"/>
                <w:lang w:eastAsia="zh-Hans"/>
              </w:rPr>
              <w:t>4</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84C796" w14:textId="77777777" w:rsidR="00F513D8" w:rsidRDefault="00F513D8">
            <w:r>
              <w:rPr>
                <w:rFonts w:ascii="宋体" w:hAnsi="宋体" w:hint="eastAsia"/>
                <w:color w:val="000000"/>
                <w:lang w:eastAsia="zh-Hans"/>
              </w:rPr>
              <w:t>HONG KONG EXCHANGES &amp; CLEAR</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998CF" w14:textId="77777777" w:rsidR="00F513D8" w:rsidRDefault="00F513D8">
            <w:r>
              <w:rPr>
                <w:rFonts w:ascii="宋体" w:hAnsi="宋体" w:hint="eastAsia"/>
                <w:color w:val="000000"/>
                <w:lang w:eastAsia="zh-Hans"/>
              </w:rPr>
              <w:t>香港交易所</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983CCE" w14:textId="77777777" w:rsidR="00F513D8" w:rsidRDefault="00F513D8">
            <w:r>
              <w:rPr>
                <w:rFonts w:ascii="宋体" w:hAnsi="宋体" w:hint="eastAsia"/>
                <w:color w:val="000000"/>
                <w:lang w:eastAsia="zh-Hans"/>
              </w:rPr>
              <w:t>388</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616B33" w14:textId="77777777" w:rsidR="00F513D8" w:rsidRDefault="00F513D8">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5A5E7E" w14:textId="77777777" w:rsidR="00F513D8" w:rsidRDefault="00F513D8">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E7CEE2" w14:textId="77777777" w:rsidR="00F513D8" w:rsidRDefault="00F513D8">
            <w:pPr>
              <w:jc w:val="right"/>
            </w:pPr>
            <w:r>
              <w:rPr>
                <w:rFonts w:ascii="宋体" w:hAnsi="宋体" w:hint="eastAsia"/>
                <w:color w:val="000000"/>
                <w:lang w:eastAsia="zh-Hans"/>
              </w:rPr>
              <w:t>203,000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F87609" w14:textId="77777777" w:rsidR="00F513D8" w:rsidRDefault="00F513D8">
            <w:pPr>
              <w:jc w:val="right"/>
            </w:pPr>
            <w:r>
              <w:rPr>
                <w:rFonts w:ascii="宋体" w:hAnsi="宋体" w:hint="eastAsia"/>
                <w:color w:val="000000"/>
                <w:lang w:eastAsia="zh-Hans"/>
              </w:rPr>
              <w:t>77,530,705.98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5317A" w14:textId="77777777" w:rsidR="00F513D8" w:rsidRDefault="00F513D8">
            <w:pPr>
              <w:jc w:val="right"/>
            </w:pPr>
            <w:r>
              <w:rPr>
                <w:rFonts w:ascii="宋体" w:hAnsi="宋体" w:hint="eastAsia"/>
                <w:color w:val="000000"/>
                <w:lang w:eastAsia="zh-Hans"/>
              </w:rPr>
              <w:t>3.08</w:t>
            </w:r>
            <w:r>
              <w:rPr>
                <w:rFonts w:ascii="宋体" w:hAnsi="宋体" w:hint="eastAsia"/>
                <w:sz w:val="18"/>
              </w:rPr>
              <w:t xml:space="preserve"> </w:t>
            </w:r>
          </w:p>
        </w:tc>
      </w:tr>
      <w:tr w:rsidR="009142D6" w14:paraId="11E5FEF2" w14:textId="77777777">
        <w:trPr>
          <w:divId w:val="84116897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7A3893" w14:textId="77777777" w:rsidR="00F513D8" w:rsidRDefault="00F513D8">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D91280" w14:textId="77777777" w:rsidR="00F513D8" w:rsidRDefault="00F513D8">
            <w:r>
              <w:rPr>
                <w:rFonts w:ascii="宋体" w:hAnsi="宋体" w:hint="eastAsia"/>
                <w:color w:val="000000"/>
                <w:lang w:eastAsia="zh-Hans"/>
              </w:rPr>
              <w:t>NETEASE INC</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A7B40E" w14:textId="77777777" w:rsidR="00F513D8" w:rsidRDefault="00F513D8">
            <w:r>
              <w:rPr>
                <w:rFonts w:ascii="宋体" w:hAnsi="宋体" w:hint="eastAsia"/>
                <w:color w:val="000000"/>
                <w:lang w:eastAsia="zh-Hans"/>
              </w:rPr>
              <w:t>网易 - S</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B36B14" w14:textId="77777777" w:rsidR="00F513D8" w:rsidRDefault="00F513D8">
            <w:r>
              <w:rPr>
                <w:rFonts w:ascii="宋体" w:hAnsi="宋体" w:hint="eastAsia"/>
                <w:color w:val="000000"/>
                <w:lang w:eastAsia="zh-Hans"/>
              </w:rPr>
              <w:t>9999</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1FD0FB" w14:textId="77777777" w:rsidR="00F513D8" w:rsidRDefault="00F513D8">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10A8C" w14:textId="77777777" w:rsidR="00F513D8" w:rsidRDefault="00F513D8">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1E5CC6" w14:textId="77777777" w:rsidR="00F513D8" w:rsidRDefault="00F513D8">
            <w:pPr>
              <w:jc w:val="right"/>
            </w:pPr>
            <w:r>
              <w:rPr>
                <w:rFonts w:ascii="宋体" w:hAnsi="宋体" w:hint="eastAsia"/>
                <w:color w:val="000000"/>
                <w:lang w:eastAsia="zh-Hans"/>
              </w:rPr>
              <w:t>340,600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D9EF73" w14:textId="77777777" w:rsidR="00F513D8" w:rsidRDefault="00F513D8">
            <w:pPr>
              <w:jc w:val="right"/>
            </w:pPr>
            <w:r>
              <w:rPr>
                <w:rFonts w:ascii="宋体" w:hAnsi="宋体" w:hint="eastAsia"/>
                <w:color w:val="000000"/>
                <w:lang w:eastAsia="zh-Hans"/>
              </w:rPr>
              <w:t>65,538,745.87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C3C840" w14:textId="77777777" w:rsidR="00F513D8" w:rsidRDefault="00F513D8">
            <w:pPr>
              <w:jc w:val="right"/>
            </w:pPr>
            <w:r>
              <w:rPr>
                <w:rFonts w:ascii="宋体" w:hAnsi="宋体" w:hint="eastAsia"/>
                <w:color w:val="000000"/>
                <w:lang w:eastAsia="zh-Hans"/>
              </w:rPr>
              <w:t>2.61</w:t>
            </w:r>
            <w:r>
              <w:rPr>
                <w:rFonts w:ascii="宋体" w:hAnsi="宋体" w:hint="eastAsia"/>
                <w:sz w:val="18"/>
              </w:rPr>
              <w:t xml:space="preserve"> </w:t>
            </w:r>
          </w:p>
        </w:tc>
      </w:tr>
      <w:tr w:rsidR="009142D6" w14:paraId="4C788BFC" w14:textId="77777777">
        <w:trPr>
          <w:divId w:val="84116897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23D2A" w14:textId="77777777" w:rsidR="00F513D8" w:rsidRDefault="00F513D8">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A15764" w14:textId="77777777" w:rsidR="00F513D8" w:rsidRDefault="00F513D8">
            <w:r>
              <w:rPr>
                <w:rFonts w:ascii="宋体" w:hAnsi="宋体" w:hint="eastAsia"/>
                <w:color w:val="000000"/>
                <w:lang w:eastAsia="zh-Hans"/>
              </w:rPr>
              <w:t>TELSTRA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A256B7" w14:textId="77777777" w:rsidR="00F513D8" w:rsidRDefault="00F513D8">
            <w:r>
              <w:rPr>
                <w:rFonts w:ascii="宋体" w:hAnsi="宋体" w:hint="eastAsia"/>
                <w:color w:val="000000"/>
                <w:lang w:eastAsia="zh-Hans"/>
              </w:rPr>
              <w:t>澳大利亚电信集团有限公司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E59DF3" w14:textId="77777777" w:rsidR="00F513D8" w:rsidRDefault="00F513D8">
            <w:r>
              <w:rPr>
                <w:rFonts w:ascii="宋体" w:hAnsi="宋体" w:hint="eastAsia"/>
                <w:color w:val="000000"/>
                <w:lang w:eastAsia="zh-Hans"/>
              </w:rPr>
              <w:t>TLS</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E9234F" w14:textId="77777777" w:rsidR="00F513D8" w:rsidRDefault="00F513D8">
            <w:r>
              <w:rPr>
                <w:rFonts w:ascii="宋体" w:hAnsi="宋体" w:hint="eastAsia"/>
                <w:color w:val="000000"/>
                <w:lang w:eastAsia="zh-Hans"/>
              </w:rPr>
              <w:t>澳大利亚证券交易所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FC51BC" w14:textId="77777777" w:rsidR="00F513D8" w:rsidRDefault="00F513D8">
            <w:r>
              <w:rPr>
                <w:rFonts w:ascii="宋体" w:hAnsi="宋体" w:hint="eastAsia"/>
                <w:color w:val="000000"/>
                <w:lang w:eastAsia="zh-Hans"/>
              </w:rPr>
              <w:t>澳大利亚</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D87070" w14:textId="77777777" w:rsidR="00F513D8" w:rsidRDefault="00F513D8">
            <w:pPr>
              <w:jc w:val="right"/>
            </w:pPr>
            <w:r>
              <w:rPr>
                <w:rFonts w:ascii="宋体" w:hAnsi="宋体" w:hint="eastAsia"/>
                <w:color w:val="000000"/>
                <w:lang w:eastAsia="zh-Hans"/>
              </w:rPr>
              <w:t>2,824,882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E5C0B" w14:textId="77777777" w:rsidR="00F513D8" w:rsidRDefault="00F513D8">
            <w:pPr>
              <w:jc w:val="right"/>
            </w:pPr>
            <w:r>
              <w:rPr>
                <w:rFonts w:ascii="宋体" w:hAnsi="宋体" w:hint="eastAsia"/>
                <w:color w:val="000000"/>
                <w:lang w:eastAsia="zh-Hans"/>
              </w:rPr>
              <w:t>64,142,675.74</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FDE64A" w14:textId="77777777" w:rsidR="00F513D8" w:rsidRDefault="00F513D8">
            <w:pPr>
              <w:jc w:val="right"/>
            </w:pPr>
            <w:r>
              <w:rPr>
                <w:rFonts w:ascii="宋体" w:hAnsi="宋体" w:hint="eastAsia"/>
                <w:color w:val="000000"/>
                <w:lang w:eastAsia="zh-Hans"/>
              </w:rPr>
              <w:t>2.55</w:t>
            </w:r>
            <w:r>
              <w:rPr>
                <w:rFonts w:ascii="宋体" w:hAnsi="宋体" w:hint="eastAsia"/>
                <w:sz w:val="18"/>
              </w:rPr>
              <w:t xml:space="preserve"> </w:t>
            </w:r>
          </w:p>
        </w:tc>
      </w:tr>
      <w:tr w:rsidR="009142D6" w14:paraId="31B169E1" w14:textId="77777777">
        <w:trPr>
          <w:divId w:val="84116897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9F19FD" w14:textId="77777777" w:rsidR="00F513D8" w:rsidRDefault="00F513D8">
            <w:pPr>
              <w:jc w:val="center"/>
            </w:pPr>
            <w:r>
              <w:rPr>
                <w:rFonts w:ascii="宋体" w:hAnsi="宋体" w:hint="eastAsia"/>
                <w:color w:val="000000"/>
                <w:lang w:eastAsia="zh-Hans"/>
              </w:rPr>
              <w:t>7</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B4D7C7" w14:textId="77777777" w:rsidR="00F513D8" w:rsidRDefault="00F513D8">
            <w:r>
              <w:rPr>
                <w:rFonts w:ascii="宋体" w:hAnsi="宋体" w:hint="eastAsia"/>
                <w:color w:val="000000"/>
                <w:lang w:eastAsia="zh-Hans"/>
              </w:rPr>
              <w:t>HDFC BANK LIMITED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C6B11A" w14:textId="77777777" w:rsidR="00F513D8" w:rsidRDefault="00F513D8">
            <w:r>
              <w:rPr>
                <w:rFonts w:ascii="宋体" w:hAnsi="宋体" w:hint="eastAsia"/>
                <w:color w:val="000000"/>
                <w:lang w:eastAsia="zh-Hans"/>
              </w:rPr>
              <w:t>HDFC银行有限公司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851B0C" w14:textId="77777777" w:rsidR="00F513D8" w:rsidRDefault="00F513D8">
            <w:r>
              <w:rPr>
                <w:rFonts w:ascii="宋体" w:hAnsi="宋体" w:hint="eastAsia"/>
                <w:color w:val="000000"/>
                <w:lang w:eastAsia="zh-Hans"/>
              </w:rPr>
              <w:t>HDFCB</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6B64B7" w14:textId="77777777" w:rsidR="00F513D8" w:rsidRDefault="00F513D8">
            <w:r>
              <w:rPr>
                <w:rFonts w:ascii="宋体" w:hAnsi="宋体" w:hint="eastAsia"/>
                <w:color w:val="000000"/>
                <w:lang w:eastAsia="zh-Hans"/>
              </w:rPr>
              <w:t>印度证券交易所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0393A6" w14:textId="77777777" w:rsidR="00F513D8" w:rsidRDefault="00F513D8">
            <w:r>
              <w:rPr>
                <w:rFonts w:ascii="宋体" w:hAnsi="宋体" w:hint="eastAsia"/>
                <w:color w:val="000000"/>
                <w:lang w:eastAsia="zh-Hans"/>
              </w:rPr>
              <w:t>印度</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4438F9" w14:textId="77777777" w:rsidR="00F513D8" w:rsidRDefault="00F513D8">
            <w:pPr>
              <w:jc w:val="right"/>
            </w:pPr>
            <w:r>
              <w:rPr>
                <w:rFonts w:ascii="宋体" w:hAnsi="宋体" w:hint="eastAsia"/>
                <w:color w:val="000000"/>
                <w:lang w:eastAsia="zh-Hans"/>
              </w:rPr>
              <w:t>357,734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4A70FC" w14:textId="77777777" w:rsidR="00F513D8" w:rsidRDefault="00F513D8">
            <w:pPr>
              <w:jc w:val="right"/>
            </w:pPr>
            <w:r>
              <w:rPr>
                <w:rFonts w:ascii="宋体" w:hAnsi="宋体" w:hint="eastAsia"/>
                <w:color w:val="000000"/>
                <w:lang w:eastAsia="zh-Hans"/>
              </w:rPr>
              <w:t>59,766,680.67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DD6D29" w14:textId="77777777" w:rsidR="00F513D8" w:rsidRDefault="00F513D8">
            <w:pPr>
              <w:jc w:val="right"/>
            </w:pPr>
            <w:r>
              <w:rPr>
                <w:rFonts w:ascii="宋体" w:hAnsi="宋体" w:hint="eastAsia"/>
                <w:color w:val="000000"/>
                <w:lang w:eastAsia="zh-Hans"/>
              </w:rPr>
              <w:t>2.38</w:t>
            </w:r>
            <w:r>
              <w:rPr>
                <w:rFonts w:ascii="宋体" w:hAnsi="宋体" w:hint="eastAsia"/>
                <w:sz w:val="18"/>
              </w:rPr>
              <w:t xml:space="preserve"> </w:t>
            </w:r>
          </w:p>
        </w:tc>
      </w:tr>
      <w:tr w:rsidR="009142D6" w14:paraId="1FE1DC8C" w14:textId="77777777">
        <w:trPr>
          <w:divId w:val="84116897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37A81D" w14:textId="77777777" w:rsidR="00F513D8" w:rsidRDefault="00F513D8">
            <w:pPr>
              <w:jc w:val="center"/>
            </w:pPr>
            <w:r>
              <w:rPr>
                <w:rFonts w:ascii="宋体" w:hAnsi="宋体" w:hint="eastAsia"/>
                <w:color w:val="000000"/>
                <w:lang w:eastAsia="zh-Hans"/>
              </w:rPr>
              <w:t>8</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95666" w14:textId="77777777" w:rsidR="00F513D8" w:rsidRDefault="00F513D8">
            <w:r>
              <w:rPr>
                <w:rFonts w:ascii="宋体" w:hAnsi="宋体" w:hint="eastAsia"/>
                <w:color w:val="000000"/>
                <w:lang w:eastAsia="zh-Hans"/>
              </w:rPr>
              <w:t>SHINHAN FINANCIAL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B45642" w14:textId="77777777" w:rsidR="00F513D8" w:rsidRDefault="00F513D8">
            <w:r>
              <w:rPr>
                <w:rFonts w:ascii="宋体" w:hAnsi="宋体" w:hint="eastAsia"/>
                <w:color w:val="000000"/>
                <w:lang w:eastAsia="zh-Hans"/>
              </w:rPr>
              <w:t>新韩金融</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5DD53A" w14:textId="77777777" w:rsidR="00F513D8" w:rsidRDefault="00F513D8">
            <w:r>
              <w:rPr>
                <w:rFonts w:ascii="宋体" w:hAnsi="宋体" w:hint="eastAsia"/>
                <w:color w:val="000000"/>
                <w:lang w:eastAsia="zh-Hans"/>
              </w:rPr>
              <w:t>055550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9F534" w14:textId="77777777" w:rsidR="00F513D8" w:rsidRDefault="00F513D8">
            <w:r>
              <w:rPr>
                <w:rFonts w:ascii="宋体" w:hAnsi="宋体" w:hint="eastAsia"/>
                <w:color w:val="000000"/>
                <w:lang w:eastAsia="zh-Hans"/>
              </w:rPr>
              <w:t>韩国证券</w:t>
            </w:r>
            <w:r>
              <w:rPr>
                <w:rFonts w:ascii="宋体" w:hAnsi="宋体" w:hint="eastAsia"/>
                <w:color w:val="000000"/>
                <w:lang w:eastAsia="zh-Hans"/>
              </w:rPr>
              <w:lastRenderedPageBreak/>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08B48" w14:textId="77777777" w:rsidR="00F513D8" w:rsidRDefault="00F513D8">
            <w:r>
              <w:rPr>
                <w:rFonts w:ascii="宋体" w:hAnsi="宋体" w:hint="eastAsia"/>
                <w:color w:val="000000"/>
                <w:lang w:eastAsia="zh-Hans"/>
              </w:rPr>
              <w:lastRenderedPageBreak/>
              <w:t>韩国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7C1642" w14:textId="77777777" w:rsidR="00F513D8" w:rsidRDefault="00F513D8">
            <w:pPr>
              <w:jc w:val="right"/>
            </w:pPr>
            <w:r>
              <w:rPr>
                <w:rFonts w:ascii="宋体" w:hAnsi="宋体" w:hint="eastAsia"/>
                <w:color w:val="000000"/>
                <w:lang w:eastAsia="zh-Hans"/>
              </w:rPr>
              <w:t>166,524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6ECF4D" w14:textId="77777777" w:rsidR="00F513D8" w:rsidRDefault="00F513D8">
            <w:pPr>
              <w:jc w:val="right"/>
            </w:pPr>
            <w:r>
              <w:rPr>
                <w:rFonts w:ascii="宋体" w:hAnsi="宋体" w:hint="eastAsia"/>
                <w:color w:val="000000"/>
                <w:lang w:eastAsia="zh-Hans"/>
              </w:rPr>
              <w:t>54,233,574.89</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370F9" w14:textId="77777777" w:rsidR="00F513D8" w:rsidRDefault="00F513D8">
            <w:pPr>
              <w:jc w:val="right"/>
            </w:pPr>
            <w:r>
              <w:rPr>
                <w:rFonts w:ascii="宋体" w:hAnsi="宋体" w:hint="eastAsia"/>
                <w:color w:val="000000"/>
                <w:lang w:eastAsia="zh-Hans"/>
              </w:rPr>
              <w:t>2.16</w:t>
            </w:r>
            <w:r>
              <w:rPr>
                <w:rFonts w:ascii="宋体" w:hAnsi="宋体" w:hint="eastAsia"/>
                <w:sz w:val="18"/>
              </w:rPr>
              <w:t xml:space="preserve"> </w:t>
            </w:r>
          </w:p>
        </w:tc>
      </w:tr>
      <w:tr w:rsidR="009142D6" w14:paraId="5BA06631" w14:textId="77777777">
        <w:trPr>
          <w:divId w:val="84116897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D6A367" w14:textId="77777777" w:rsidR="00F513D8" w:rsidRDefault="00F513D8">
            <w:pPr>
              <w:jc w:val="center"/>
            </w:pPr>
            <w:r>
              <w:rPr>
                <w:rFonts w:ascii="宋体" w:hAnsi="宋体" w:hint="eastAsia"/>
                <w:color w:val="000000"/>
                <w:lang w:eastAsia="zh-Hans"/>
              </w:rPr>
              <w:t>9</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77744" w14:textId="77777777" w:rsidR="00F513D8" w:rsidRDefault="00F513D8">
            <w:r>
              <w:rPr>
                <w:rFonts w:ascii="宋体" w:hAnsi="宋体" w:hint="eastAsia"/>
                <w:color w:val="000000"/>
                <w:lang w:eastAsia="zh-Hans"/>
              </w:rPr>
              <w:t>DBS GROUP HOLDINGS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B7452B" w14:textId="77777777" w:rsidR="00F513D8" w:rsidRDefault="00F513D8">
            <w:r>
              <w:rPr>
                <w:rFonts w:ascii="宋体" w:hAnsi="宋体" w:hint="eastAsia"/>
                <w:color w:val="000000"/>
                <w:lang w:eastAsia="zh-Hans"/>
              </w:rPr>
              <w:t>星展集团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E557D0" w14:textId="77777777" w:rsidR="00F513D8" w:rsidRDefault="00F513D8">
            <w:r>
              <w:rPr>
                <w:rFonts w:ascii="宋体" w:hAnsi="宋体" w:hint="eastAsia"/>
                <w:color w:val="000000"/>
                <w:lang w:eastAsia="zh-Hans"/>
              </w:rPr>
              <w:t>DBS</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66B48E" w14:textId="77777777" w:rsidR="00F513D8" w:rsidRDefault="00F513D8">
            <w:r>
              <w:rPr>
                <w:rFonts w:ascii="宋体" w:hAnsi="宋体" w:hint="eastAsia"/>
                <w:color w:val="000000"/>
                <w:lang w:eastAsia="zh-Hans"/>
              </w:rPr>
              <w:t>新加坡证券交易所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299E4D" w14:textId="77777777" w:rsidR="00F513D8" w:rsidRDefault="00F513D8">
            <w:r>
              <w:rPr>
                <w:rFonts w:ascii="宋体" w:hAnsi="宋体" w:hint="eastAsia"/>
                <w:color w:val="000000"/>
                <w:lang w:eastAsia="zh-Hans"/>
              </w:rPr>
              <w:t>新加坡</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AACD55" w14:textId="77777777" w:rsidR="00F513D8" w:rsidRDefault="00F513D8">
            <w:pPr>
              <w:jc w:val="right"/>
            </w:pPr>
            <w:r>
              <w:rPr>
                <w:rFonts w:ascii="宋体" w:hAnsi="宋体" w:hint="eastAsia"/>
                <w:color w:val="000000"/>
                <w:lang w:eastAsia="zh-Hans"/>
              </w:rPr>
              <w:t>197,440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41C27" w14:textId="77777777" w:rsidR="00F513D8" w:rsidRDefault="00F513D8">
            <w:pPr>
              <w:jc w:val="right"/>
            </w:pPr>
            <w:r>
              <w:rPr>
                <w:rFonts w:ascii="宋体" w:hAnsi="宋体" w:hint="eastAsia"/>
                <w:color w:val="000000"/>
                <w:lang w:eastAsia="zh-Hans"/>
              </w:rPr>
              <w:t>49,837,493.68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9020D" w14:textId="77777777" w:rsidR="00F513D8" w:rsidRDefault="00F513D8">
            <w:pPr>
              <w:jc w:val="right"/>
            </w:pPr>
            <w:r>
              <w:rPr>
                <w:rFonts w:ascii="宋体" w:hAnsi="宋体" w:hint="eastAsia"/>
                <w:color w:val="000000"/>
                <w:lang w:eastAsia="zh-Hans"/>
              </w:rPr>
              <w:t>1.98</w:t>
            </w:r>
            <w:r>
              <w:rPr>
                <w:rFonts w:ascii="宋体" w:hAnsi="宋体" w:hint="eastAsia"/>
                <w:sz w:val="18"/>
              </w:rPr>
              <w:t xml:space="preserve"> </w:t>
            </w:r>
          </w:p>
        </w:tc>
      </w:tr>
      <w:tr w:rsidR="009142D6" w14:paraId="12563473" w14:textId="77777777">
        <w:trPr>
          <w:divId w:val="84116897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D4BDB" w14:textId="77777777" w:rsidR="00F513D8" w:rsidRDefault="00F513D8">
            <w:pPr>
              <w:jc w:val="center"/>
            </w:pPr>
            <w:r>
              <w:rPr>
                <w:rFonts w:ascii="宋体" w:hAnsi="宋体" w:hint="eastAsia"/>
                <w:color w:val="000000"/>
                <w:lang w:eastAsia="zh-Hans"/>
              </w:rPr>
              <w:t>10</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D3D32B" w14:textId="77777777" w:rsidR="00F513D8" w:rsidRDefault="00F513D8">
            <w:r>
              <w:rPr>
                <w:rFonts w:ascii="宋体" w:hAnsi="宋体" w:hint="eastAsia"/>
                <w:color w:val="000000"/>
                <w:lang w:eastAsia="zh-Hans"/>
              </w:rPr>
              <w:t>ZIJIN MINING GROUP CO LTD-H</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5904D2" w14:textId="77777777" w:rsidR="00F513D8" w:rsidRDefault="00F513D8">
            <w:r>
              <w:rPr>
                <w:rFonts w:ascii="宋体" w:hAnsi="宋体" w:hint="eastAsia"/>
                <w:color w:val="000000"/>
                <w:lang w:eastAsia="zh-Hans"/>
              </w:rPr>
              <w:t>紫金矿业</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1AAADA" w14:textId="77777777" w:rsidR="00F513D8" w:rsidRDefault="00F513D8">
            <w:r>
              <w:rPr>
                <w:rFonts w:ascii="宋体" w:hAnsi="宋体" w:hint="eastAsia"/>
                <w:color w:val="000000"/>
                <w:lang w:eastAsia="zh-Hans"/>
              </w:rPr>
              <w:t>2899</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1960BB" w14:textId="77777777" w:rsidR="00F513D8" w:rsidRDefault="00F513D8">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0E9BD" w14:textId="77777777" w:rsidR="00F513D8" w:rsidRDefault="00F513D8">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339842" w14:textId="77777777" w:rsidR="00F513D8" w:rsidRDefault="00F513D8">
            <w:pPr>
              <w:jc w:val="right"/>
            </w:pPr>
            <w:r>
              <w:rPr>
                <w:rFonts w:ascii="宋体" w:hAnsi="宋体" w:hint="eastAsia"/>
                <w:color w:val="000000"/>
                <w:lang w:eastAsia="zh-Hans"/>
              </w:rPr>
              <w:t>2,266,000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64CFFA" w14:textId="77777777" w:rsidR="00F513D8" w:rsidRDefault="00F513D8">
            <w:pPr>
              <w:jc w:val="right"/>
            </w:pPr>
            <w:r>
              <w:rPr>
                <w:rFonts w:ascii="宋体" w:hAnsi="宋体" w:hint="eastAsia"/>
                <w:color w:val="000000"/>
                <w:lang w:eastAsia="zh-Hans"/>
              </w:rPr>
              <w:t>41,432,897.94</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B9168" w14:textId="77777777" w:rsidR="00F513D8" w:rsidRDefault="00F513D8">
            <w:pPr>
              <w:jc w:val="right"/>
            </w:pPr>
            <w:r>
              <w:rPr>
                <w:rFonts w:ascii="宋体" w:hAnsi="宋体" w:hint="eastAsia"/>
                <w:color w:val="000000"/>
                <w:lang w:eastAsia="zh-Hans"/>
              </w:rPr>
              <w:t>1.65</w:t>
            </w:r>
            <w:r>
              <w:rPr>
                <w:rFonts w:ascii="宋体" w:hAnsi="宋体" w:hint="eastAsia"/>
                <w:sz w:val="18"/>
              </w:rPr>
              <w:t xml:space="preserve"> </w:t>
            </w:r>
          </w:p>
        </w:tc>
      </w:tr>
    </w:tbl>
    <w:bookmarkEnd w:id="258"/>
    <w:p w14:paraId="1026E863" w14:textId="77777777" w:rsidR="00F513D8" w:rsidRDefault="00F513D8">
      <w:pPr>
        <w:spacing w:line="360" w:lineRule="auto"/>
      </w:pPr>
      <w:r>
        <w:rPr>
          <w:rFonts w:ascii="宋体" w:hAnsi="宋体" w:hint="eastAsia"/>
          <w:kern w:val="0"/>
          <w:szCs w:val="21"/>
        </w:rPr>
        <w:t>注：</w:t>
      </w:r>
      <w:r>
        <w:rPr>
          <w:rFonts w:ascii="宋体" w:hAnsi="宋体" w:hint="eastAsia"/>
          <w:lang w:eastAsia="zh-Hans"/>
        </w:rPr>
        <w:t>此处所用证券代码的类别是当地市场代码。</w:t>
      </w:r>
      <w:bookmarkEnd w:id="241"/>
      <w:r>
        <w:rPr>
          <w:rFonts w:ascii="宋体" w:hAnsi="宋体" w:hint="eastAsia"/>
        </w:rPr>
        <w:t xml:space="preserve"> </w:t>
      </w:r>
    </w:p>
    <w:p w14:paraId="3FADD1D1" w14:textId="77777777" w:rsidR="00F513D8" w:rsidRDefault="00F513D8">
      <w:pPr>
        <w:pStyle w:val="XBRLTitle2"/>
        <w:spacing w:before="156" w:line="360" w:lineRule="auto"/>
        <w:ind w:left="454"/>
      </w:pPr>
      <w:bookmarkStart w:id="259" w:name="_Toc514088264"/>
      <w:bookmarkStart w:id="260" w:name="_Toc480465436"/>
      <w:bookmarkStart w:id="261" w:name="_Toc448480302"/>
      <w:bookmarkStart w:id="262" w:name="_Toc438654090"/>
      <w:bookmarkStart w:id="263" w:name="_Toc456107135"/>
      <w:bookmarkStart w:id="264" w:name="_Toc459213781"/>
      <w:bookmarkStart w:id="265" w:name="_Toc513542665"/>
      <w:bookmarkStart w:id="266" w:name="_Toc512696267"/>
      <w:bookmarkStart w:id="267" w:name="_Toc512612270"/>
      <w:bookmarkStart w:id="268" w:name="_Toc512612094"/>
      <w:bookmarkStart w:id="269" w:name="_Toc512611298"/>
      <w:bookmarkStart w:id="270" w:name="m505"/>
      <w:r>
        <w:rPr>
          <w:rFonts w:eastAsia="宋体" w:hint="eastAsia"/>
        </w:rPr>
        <w:t>报告期末按债券信用等级分类的债券投资组合</w:t>
      </w:r>
      <w:bookmarkEnd w:id="259"/>
      <w:bookmarkEnd w:id="260"/>
      <w:bookmarkEnd w:id="261"/>
      <w:bookmarkEnd w:id="262"/>
      <w:bookmarkEnd w:id="263"/>
      <w:bookmarkEnd w:id="264"/>
      <w:r>
        <w:rPr>
          <w:rFonts w:hint="eastAsia"/>
        </w:rPr>
        <w:t xml:space="preserve"> </w:t>
      </w:r>
      <w:bookmarkEnd w:id="265"/>
      <w:bookmarkEnd w:id="266"/>
      <w:bookmarkEnd w:id="267"/>
      <w:bookmarkEnd w:id="268"/>
      <w:bookmarkEnd w:id="269"/>
    </w:p>
    <w:p w14:paraId="0A570D14" w14:textId="77777777" w:rsidR="00F513D8" w:rsidRDefault="00F513D8">
      <w:pPr>
        <w:spacing w:line="360" w:lineRule="auto"/>
        <w:ind w:firstLineChars="200" w:firstLine="420"/>
        <w:jc w:val="left"/>
      </w:pPr>
      <w:r>
        <w:rPr>
          <w:rFonts w:ascii="宋体" w:hAnsi="宋体" w:hint="eastAsia"/>
        </w:rPr>
        <w:t>本基金本报告期末未持有债券。</w:t>
      </w:r>
    </w:p>
    <w:p w14:paraId="489D7D0D" w14:textId="77777777" w:rsidR="00F513D8" w:rsidRDefault="00F513D8">
      <w:pPr>
        <w:pStyle w:val="XBRLTitle2"/>
        <w:spacing w:before="156" w:line="360" w:lineRule="auto"/>
        <w:ind w:left="454"/>
      </w:pPr>
      <w:bookmarkStart w:id="271" w:name="_Toc514088265"/>
      <w:bookmarkStart w:id="272" w:name="_Toc480465437"/>
      <w:bookmarkStart w:id="273" w:name="_Toc448480303"/>
      <w:bookmarkStart w:id="274" w:name="_Toc438654091"/>
      <w:bookmarkStart w:id="275" w:name="_Toc456107136"/>
      <w:bookmarkStart w:id="276" w:name="_Toc459213782"/>
      <w:bookmarkStart w:id="277" w:name="_Toc513542666"/>
      <w:bookmarkStart w:id="278" w:name="_Toc512696268"/>
      <w:bookmarkStart w:id="279" w:name="_Toc512612271"/>
      <w:bookmarkStart w:id="280" w:name="_Toc512612095"/>
      <w:bookmarkStart w:id="281" w:name="_Toc512611299"/>
      <w:bookmarkStart w:id="282" w:name="m506"/>
      <w:bookmarkEnd w:id="270"/>
      <w:r>
        <w:rPr>
          <w:rFonts w:eastAsia="宋体" w:hint="eastAsia"/>
        </w:rPr>
        <w:t>报告期末按公允价值占基金资产净值比例大小排名的前五名债券投资明细</w:t>
      </w:r>
      <w:bookmarkEnd w:id="271"/>
      <w:bookmarkEnd w:id="272"/>
      <w:bookmarkEnd w:id="273"/>
      <w:bookmarkEnd w:id="274"/>
      <w:bookmarkEnd w:id="275"/>
      <w:bookmarkEnd w:id="276"/>
      <w:r>
        <w:rPr>
          <w:rFonts w:hint="eastAsia"/>
        </w:rPr>
        <w:t xml:space="preserve"> </w:t>
      </w:r>
      <w:bookmarkEnd w:id="277"/>
      <w:bookmarkEnd w:id="278"/>
      <w:bookmarkEnd w:id="279"/>
      <w:bookmarkEnd w:id="280"/>
      <w:bookmarkEnd w:id="281"/>
    </w:p>
    <w:p w14:paraId="5CD32BD2" w14:textId="77777777" w:rsidR="00F513D8" w:rsidRDefault="00F513D8">
      <w:pPr>
        <w:spacing w:line="360" w:lineRule="auto"/>
        <w:ind w:firstLineChars="200" w:firstLine="420"/>
        <w:jc w:val="left"/>
        <w:divId w:val="1078284594"/>
      </w:pPr>
      <w:r>
        <w:rPr>
          <w:rFonts w:ascii="宋体" w:hAnsi="宋体" w:hint="eastAsia"/>
          <w:color w:val="000000"/>
          <w:szCs w:val="21"/>
          <w:lang w:eastAsia="zh-Hans"/>
        </w:rPr>
        <w:t>本基金本报告期末未持有债券。</w:t>
      </w:r>
    </w:p>
    <w:p w14:paraId="2C44F7CC" w14:textId="77777777" w:rsidR="00F513D8" w:rsidRDefault="00F513D8">
      <w:pPr>
        <w:pStyle w:val="XBRLTitle2"/>
        <w:spacing w:before="156" w:line="360" w:lineRule="auto"/>
        <w:ind w:left="454"/>
      </w:pPr>
      <w:bookmarkStart w:id="283" w:name="_Toc514088266"/>
      <w:bookmarkStart w:id="284" w:name="_Toc480465438"/>
      <w:bookmarkStart w:id="285" w:name="_Toc448480304"/>
      <w:bookmarkStart w:id="286" w:name="_Toc438654092"/>
      <w:bookmarkStart w:id="287" w:name="_Toc456107137"/>
      <w:bookmarkStart w:id="288" w:name="_Toc459213783"/>
      <w:bookmarkStart w:id="289" w:name="_Toc513542667"/>
      <w:bookmarkStart w:id="290" w:name="_Toc512696269"/>
      <w:bookmarkStart w:id="291" w:name="_Toc512612272"/>
      <w:bookmarkStart w:id="292" w:name="_Toc512612096"/>
      <w:bookmarkStart w:id="293" w:name="_Toc512611300"/>
      <w:bookmarkStart w:id="294" w:name="m507"/>
      <w:bookmarkEnd w:id="282"/>
      <w:r>
        <w:rPr>
          <w:rFonts w:eastAsia="宋体" w:hint="eastAsia"/>
        </w:rPr>
        <w:t>报告期末按公允价值占基金资产净值比例大小排名的前十名资产支持证券投资明细</w:t>
      </w:r>
      <w:bookmarkEnd w:id="283"/>
      <w:bookmarkEnd w:id="284"/>
      <w:bookmarkEnd w:id="285"/>
      <w:bookmarkEnd w:id="286"/>
      <w:bookmarkEnd w:id="287"/>
      <w:bookmarkEnd w:id="288"/>
      <w:r>
        <w:rPr>
          <w:rFonts w:hint="eastAsia"/>
        </w:rPr>
        <w:t xml:space="preserve"> </w:t>
      </w:r>
      <w:bookmarkEnd w:id="289"/>
      <w:bookmarkEnd w:id="290"/>
      <w:bookmarkEnd w:id="291"/>
      <w:bookmarkEnd w:id="292"/>
      <w:bookmarkEnd w:id="293"/>
    </w:p>
    <w:p w14:paraId="6CE32526" w14:textId="77777777" w:rsidR="00F513D8" w:rsidRDefault="00F513D8">
      <w:pPr>
        <w:spacing w:line="360" w:lineRule="auto"/>
        <w:ind w:firstLineChars="200" w:firstLine="420"/>
        <w:jc w:val="left"/>
        <w:divId w:val="181360104"/>
      </w:pPr>
      <w:r>
        <w:rPr>
          <w:rFonts w:ascii="宋体" w:hAnsi="宋体" w:hint="eastAsia"/>
          <w:color w:val="000000"/>
          <w:szCs w:val="21"/>
          <w:lang w:eastAsia="zh-Hans"/>
        </w:rPr>
        <w:t>本基金本报告期末未持有资产支持证券。</w:t>
      </w:r>
    </w:p>
    <w:p w14:paraId="61150D0D" w14:textId="77777777" w:rsidR="00F513D8" w:rsidRDefault="00F513D8">
      <w:pPr>
        <w:pStyle w:val="XBRLTitle2"/>
        <w:spacing w:before="156" w:line="360" w:lineRule="auto"/>
        <w:ind w:left="454"/>
      </w:pPr>
      <w:bookmarkStart w:id="295" w:name="_Toc514088267"/>
      <w:bookmarkStart w:id="296" w:name="_Toc480465439"/>
      <w:bookmarkStart w:id="297" w:name="_Toc459213784"/>
      <w:bookmarkStart w:id="298" w:name="_Toc456107138"/>
      <w:bookmarkStart w:id="299" w:name="_Toc438654093"/>
      <w:bookmarkStart w:id="300" w:name="_Toc448480305"/>
      <w:bookmarkStart w:id="301" w:name="_Toc513542668"/>
      <w:bookmarkStart w:id="302" w:name="_Toc512696270"/>
      <w:bookmarkStart w:id="303" w:name="_Toc512612273"/>
      <w:bookmarkStart w:id="304" w:name="_Toc512612097"/>
      <w:bookmarkStart w:id="305" w:name="_Toc512611301"/>
      <w:bookmarkStart w:id="306" w:name="m508"/>
      <w:bookmarkEnd w:id="294"/>
      <w:r>
        <w:rPr>
          <w:rFonts w:eastAsia="宋体" w:hint="eastAsia"/>
        </w:rPr>
        <w:t>报告期末按公允价值占基金资产净值比例大小排名的前五名金融衍生品投资明细</w:t>
      </w:r>
      <w:bookmarkEnd w:id="295"/>
      <w:bookmarkEnd w:id="296"/>
      <w:bookmarkEnd w:id="297"/>
      <w:bookmarkEnd w:id="298"/>
      <w:bookmarkEnd w:id="299"/>
      <w:bookmarkEnd w:id="300"/>
      <w:r>
        <w:rPr>
          <w:rFonts w:hint="eastAsia"/>
        </w:rPr>
        <w:t xml:space="preserve"> </w:t>
      </w:r>
      <w:bookmarkEnd w:id="301"/>
      <w:bookmarkEnd w:id="302"/>
      <w:bookmarkEnd w:id="303"/>
      <w:bookmarkEnd w:id="304"/>
      <w:bookmarkEnd w:id="305"/>
    </w:p>
    <w:p w14:paraId="7FA29B70" w14:textId="77777777" w:rsidR="00F513D8" w:rsidRDefault="00F513D8">
      <w:pPr>
        <w:spacing w:line="360" w:lineRule="auto"/>
        <w:ind w:firstLineChars="200" w:firstLine="420"/>
        <w:divId w:val="1213152528"/>
      </w:pPr>
      <w:bookmarkStart w:id="307"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307"/>
      <w:r>
        <w:rPr>
          <w:rFonts w:ascii="宋体" w:hAnsi="宋体" w:hint="eastAsia"/>
          <w:szCs w:val="24"/>
          <w:lang w:eastAsia="zh-Hans"/>
        </w:rPr>
        <w:t xml:space="preserve"> </w:t>
      </w:r>
    </w:p>
    <w:p w14:paraId="1C321139" w14:textId="77777777" w:rsidR="00F513D8" w:rsidRDefault="00F513D8">
      <w:pPr>
        <w:pStyle w:val="XBRLTitle2"/>
        <w:spacing w:before="156" w:line="360" w:lineRule="auto"/>
        <w:ind w:left="454"/>
      </w:pPr>
      <w:bookmarkStart w:id="308" w:name="_Toc514088268"/>
      <w:bookmarkStart w:id="309" w:name="_Toc480465440"/>
      <w:bookmarkStart w:id="310" w:name="_Toc459213785"/>
      <w:bookmarkStart w:id="311" w:name="_Toc456107139"/>
      <w:bookmarkStart w:id="312" w:name="_Toc438654094"/>
      <w:bookmarkStart w:id="313" w:name="_Toc448480306"/>
      <w:bookmarkStart w:id="314" w:name="_Toc513542669"/>
      <w:bookmarkStart w:id="315" w:name="_Toc512696271"/>
      <w:bookmarkStart w:id="316" w:name="_Toc512612274"/>
      <w:bookmarkStart w:id="317" w:name="_Toc512612098"/>
      <w:bookmarkStart w:id="318" w:name="_Toc512611302"/>
      <w:bookmarkStart w:id="319" w:name="m509"/>
      <w:bookmarkEnd w:id="306"/>
      <w:r>
        <w:rPr>
          <w:rFonts w:eastAsia="宋体" w:hint="eastAsia"/>
        </w:rPr>
        <w:t>报告期末按公允价值占基金资产净值比例大小排序的前十名基金投资明细</w:t>
      </w:r>
      <w:bookmarkEnd w:id="308"/>
      <w:bookmarkEnd w:id="309"/>
      <w:bookmarkEnd w:id="310"/>
      <w:bookmarkEnd w:id="311"/>
      <w:bookmarkEnd w:id="312"/>
      <w:bookmarkEnd w:id="313"/>
      <w:r>
        <w:rPr>
          <w:rFonts w:hint="eastAsia"/>
        </w:rPr>
        <w:t xml:space="preserve"> </w:t>
      </w:r>
      <w:bookmarkEnd w:id="314"/>
      <w:bookmarkEnd w:id="315"/>
      <w:bookmarkEnd w:id="316"/>
      <w:bookmarkEnd w:id="317"/>
      <w:bookmarkEnd w:id="318"/>
    </w:p>
    <w:p w14:paraId="47CB8329" w14:textId="77777777" w:rsidR="00F513D8" w:rsidRDefault="00F513D8">
      <w:pPr>
        <w:spacing w:line="360" w:lineRule="auto"/>
        <w:ind w:firstLineChars="200" w:firstLine="420"/>
      </w:pPr>
      <w:bookmarkStart w:id="320" w:name="m08QD_10"/>
      <w:bookmarkEnd w:id="242"/>
      <w:r>
        <w:rPr>
          <w:rFonts w:ascii="宋体" w:hAnsi="宋体" w:hint="eastAsia"/>
          <w:szCs w:val="21"/>
          <w:lang w:eastAsia="zh-Hans"/>
        </w:rPr>
        <w:t>本基金本报告期末未持有基金。</w:t>
      </w:r>
      <w:r>
        <w:rPr>
          <w:rFonts w:ascii="宋体" w:hAnsi="宋体" w:hint="eastAsia"/>
          <w:lang w:eastAsia="zh-Hans"/>
        </w:rPr>
        <w:t xml:space="preserve"> </w:t>
      </w:r>
      <w:bookmarkEnd w:id="320"/>
      <w:bookmarkEnd w:id="206"/>
      <w:bookmarkEnd w:id="207"/>
      <w:bookmarkEnd w:id="208"/>
      <w:bookmarkEnd w:id="209"/>
    </w:p>
    <w:p w14:paraId="6573925C" w14:textId="77777777" w:rsidR="00F513D8" w:rsidRDefault="00F513D8">
      <w:pPr>
        <w:pStyle w:val="XBRLTitle2"/>
        <w:spacing w:before="156" w:line="360" w:lineRule="auto"/>
        <w:ind w:left="454"/>
      </w:pPr>
      <w:bookmarkStart w:id="321" w:name="_Toc514088269"/>
      <w:bookmarkEnd w:id="319"/>
      <w:r>
        <w:rPr>
          <w:rFonts w:eastAsia="宋体" w:hint="eastAsia"/>
        </w:rPr>
        <w:t>投资组合报告附注</w:t>
      </w:r>
      <w:bookmarkEnd w:id="321"/>
      <w:bookmarkEnd w:id="244"/>
      <w:bookmarkEnd w:id="245"/>
      <w:bookmarkEnd w:id="246"/>
      <w:bookmarkEnd w:id="247"/>
      <w:bookmarkEnd w:id="248"/>
      <w:bookmarkEnd w:id="249"/>
      <w:bookmarkEnd w:id="250"/>
      <w:bookmarkEnd w:id="251"/>
      <w:bookmarkEnd w:id="252"/>
      <w:bookmarkEnd w:id="253"/>
      <w:r>
        <w:rPr>
          <w:rFonts w:eastAsia="宋体" w:hint="eastAsia"/>
        </w:rPr>
        <w:t xml:space="preserve"> </w:t>
      </w:r>
    </w:p>
    <w:p w14:paraId="1DC2C4CA" w14:textId="77777777" w:rsidR="00F513D8" w:rsidRDefault="00F513D8">
      <w:pPr>
        <w:pStyle w:val="XBRLTitle3"/>
        <w:spacing w:before="156" w:line="360" w:lineRule="auto"/>
        <w:ind w:left="624"/>
      </w:pPr>
      <w:r>
        <w:rPr>
          <w:rFonts w:hAnsi="宋体" w:hint="eastAsia"/>
          <w:lang w:eastAsia="zh-CN"/>
        </w:rPr>
        <w:t xml:space="preserve"> </w:t>
      </w:r>
      <w:bookmarkStart w:id="322" w:name="_Toc514088270"/>
      <w:bookmarkEnd w:id="322"/>
      <w:bookmarkEnd w:id="256"/>
      <w:bookmarkEnd w:id="257"/>
      <w:r>
        <w:rPr>
          <w:rFonts w:hAnsi="宋体" w:hint="eastAsia"/>
        </w:rPr>
        <w:t xml:space="preserve"> </w:t>
      </w:r>
    </w:p>
    <w:p w14:paraId="54044C67" w14:textId="77777777" w:rsidR="00F513D8" w:rsidRDefault="00F513D8">
      <w:pPr>
        <w:spacing w:line="360" w:lineRule="auto"/>
        <w:ind w:firstLineChars="200" w:firstLine="420"/>
      </w:pPr>
      <w:r>
        <w:rPr>
          <w:rFonts w:ascii="宋体" w:hAnsi="宋体" w:hint="eastAsia"/>
        </w:rPr>
        <w:t>报告期内，本基金投资决策程序符合相关法律法规的要求，未发现本基金投资的前十名证券</w:t>
      </w:r>
      <w:r>
        <w:rPr>
          <w:rFonts w:ascii="宋体" w:hAnsi="宋体" w:hint="eastAsia"/>
        </w:rPr>
        <w:lastRenderedPageBreak/>
        <w:t>的发行主体本期出现被监管部门立案调查，或者在报告编制日前一年内受到公开谴责、处罚的情形。</w:t>
      </w:r>
    </w:p>
    <w:p w14:paraId="43F3EF26" w14:textId="77777777" w:rsidR="00F513D8" w:rsidRDefault="00F513D8">
      <w:pPr>
        <w:pStyle w:val="XBRLTitle3"/>
        <w:spacing w:before="156" w:line="360" w:lineRule="auto"/>
        <w:ind w:left="624"/>
      </w:pPr>
      <w:bookmarkStart w:id="323" w:name="m510_01_1598"/>
      <w:bookmarkEnd w:id="254"/>
      <w:r>
        <w:rPr>
          <w:rFonts w:hAnsi="宋体" w:hint="eastAsia"/>
          <w:lang w:eastAsia="zh-CN"/>
        </w:rPr>
        <w:t xml:space="preserve"> </w:t>
      </w:r>
      <w:bookmarkStart w:id="324" w:name="_Toc514088271"/>
      <w:bookmarkStart w:id="325" w:name="_Toc513542672"/>
      <w:bookmarkStart w:id="326" w:name="_Toc480465443"/>
      <w:bookmarkEnd w:id="324"/>
      <w:bookmarkEnd w:id="325"/>
      <w:bookmarkEnd w:id="326"/>
      <w:r>
        <w:rPr>
          <w:rFonts w:hAnsi="宋体" w:hint="eastAsia"/>
        </w:rPr>
        <w:t xml:space="preserve"> </w:t>
      </w:r>
    </w:p>
    <w:p w14:paraId="002A5595" w14:textId="77777777" w:rsidR="00F513D8" w:rsidRDefault="00F513D8">
      <w:pPr>
        <w:spacing w:line="360" w:lineRule="auto"/>
        <w:ind w:firstLineChars="200" w:firstLine="420"/>
      </w:pPr>
      <w:r>
        <w:rPr>
          <w:rFonts w:ascii="宋体" w:hAnsi="宋体" w:hint="eastAsia"/>
        </w:rPr>
        <w:t>报告期内本基金投资的前十名股票中没有在基金合同规定备选股票库之外的股票。</w:t>
      </w:r>
    </w:p>
    <w:p w14:paraId="7321E142" w14:textId="77777777" w:rsidR="00F513D8" w:rsidRDefault="00F513D8">
      <w:pPr>
        <w:pStyle w:val="XBRLTitle3"/>
        <w:spacing w:before="156" w:line="360" w:lineRule="auto"/>
        <w:ind w:left="624"/>
      </w:pPr>
      <w:bookmarkStart w:id="327" w:name="_Toc514088272"/>
      <w:bookmarkStart w:id="328" w:name="_Toc480465444"/>
      <w:bookmarkStart w:id="329" w:name="_Toc513542673"/>
      <w:bookmarkStart w:id="330" w:name="m510_02"/>
      <w:bookmarkEnd w:id="323"/>
      <w:r>
        <w:rPr>
          <w:rFonts w:hAnsi="宋体" w:hint="eastAsia"/>
        </w:rPr>
        <w:t>其他资产构成</w:t>
      </w:r>
      <w:bookmarkEnd w:id="327"/>
      <w:bookmarkEnd w:id="328"/>
      <w:r>
        <w:rPr>
          <w:rFonts w:hint="eastAsia"/>
        </w:rPr>
        <w:t xml:space="preserve"> </w:t>
      </w:r>
      <w:bookmarkEnd w:id="3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9142D6" w14:paraId="57B96AF5" w14:textId="77777777">
        <w:trPr>
          <w:divId w:val="213767633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BA0A7" w14:textId="77777777" w:rsidR="00F513D8" w:rsidRDefault="00F513D8">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DF22AD" w14:textId="77777777" w:rsidR="00F513D8" w:rsidRDefault="00F513D8">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421200" w14:textId="77777777" w:rsidR="00F513D8" w:rsidRDefault="00F513D8">
            <w:pPr>
              <w:jc w:val="center"/>
            </w:pPr>
            <w:r>
              <w:rPr>
                <w:rFonts w:ascii="宋体" w:hAnsi="宋体" w:hint="eastAsia"/>
              </w:rPr>
              <w:t>金额（人民币元）</w:t>
            </w:r>
            <w:r>
              <w:t xml:space="preserve"> </w:t>
            </w:r>
          </w:p>
        </w:tc>
      </w:tr>
      <w:tr w:rsidR="009142D6" w14:paraId="59EA3E47" w14:textId="77777777">
        <w:trPr>
          <w:divId w:val="2137676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49147D" w14:textId="77777777" w:rsidR="00F513D8" w:rsidRDefault="00F513D8">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3F74C" w14:textId="77777777" w:rsidR="00F513D8" w:rsidRDefault="00F513D8">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2EA0F" w14:textId="77777777" w:rsidR="00F513D8" w:rsidRDefault="00F513D8">
            <w:pPr>
              <w:jc w:val="right"/>
            </w:pPr>
            <w:r>
              <w:rPr>
                <w:rFonts w:ascii="宋体" w:hAnsi="宋体" w:hint="eastAsia"/>
              </w:rPr>
              <w:t>-</w:t>
            </w:r>
          </w:p>
        </w:tc>
      </w:tr>
      <w:tr w:rsidR="009142D6" w14:paraId="55B0DDD6" w14:textId="77777777">
        <w:trPr>
          <w:divId w:val="2137676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641B50" w14:textId="77777777" w:rsidR="00F513D8" w:rsidRDefault="00F513D8">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7886A8" w14:textId="77777777" w:rsidR="00F513D8" w:rsidRDefault="00F513D8">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2B685" w14:textId="77777777" w:rsidR="00F513D8" w:rsidRDefault="00F513D8">
            <w:pPr>
              <w:jc w:val="right"/>
            </w:pPr>
            <w:r>
              <w:rPr>
                <w:rFonts w:ascii="宋体" w:hAnsi="宋体" w:hint="eastAsia"/>
              </w:rPr>
              <w:t>15,481,494.95</w:t>
            </w:r>
          </w:p>
        </w:tc>
      </w:tr>
      <w:tr w:rsidR="009142D6" w14:paraId="7BA2AB22" w14:textId="77777777">
        <w:trPr>
          <w:divId w:val="2137676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B4C8E" w14:textId="77777777" w:rsidR="00F513D8" w:rsidRDefault="00F513D8">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F4E06A" w14:textId="77777777" w:rsidR="00F513D8" w:rsidRDefault="00F513D8">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523406" w14:textId="77777777" w:rsidR="00F513D8" w:rsidRDefault="00F513D8">
            <w:pPr>
              <w:jc w:val="right"/>
            </w:pPr>
            <w:r>
              <w:rPr>
                <w:rFonts w:ascii="宋体" w:hAnsi="宋体" w:hint="eastAsia"/>
              </w:rPr>
              <w:t>7,616,433.91</w:t>
            </w:r>
          </w:p>
        </w:tc>
      </w:tr>
      <w:tr w:rsidR="009142D6" w14:paraId="5F308FB9" w14:textId="77777777">
        <w:trPr>
          <w:divId w:val="2137676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C3934" w14:textId="77777777" w:rsidR="00F513D8" w:rsidRDefault="00F513D8">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B517C" w14:textId="77777777" w:rsidR="00F513D8" w:rsidRDefault="00F513D8">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F1FAD4" w14:textId="77777777" w:rsidR="00F513D8" w:rsidRDefault="00F513D8">
            <w:pPr>
              <w:jc w:val="right"/>
            </w:pPr>
            <w:r>
              <w:rPr>
                <w:rFonts w:ascii="宋体" w:hAnsi="宋体" w:hint="eastAsia"/>
              </w:rPr>
              <w:t>-</w:t>
            </w:r>
          </w:p>
        </w:tc>
      </w:tr>
      <w:tr w:rsidR="009142D6" w14:paraId="134F7AB9" w14:textId="77777777">
        <w:trPr>
          <w:divId w:val="2137676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069E05" w14:textId="77777777" w:rsidR="00F513D8" w:rsidRDefault="00F513D8">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E922A6" w14:textId="77777777" w:rsidR="00F513D8" w:rsidRDefault="00F513D8">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E30550" w14:textId="77777777" w:rsidR="00F513D8" w:rsidRDefault="00F513D8">
            <w:pPr>
              <w:jc w:val="right"/>
            </w:pPr>
            <w:r>
              <w:rPr>
                <w:rFonts w:ascii="宋体" w:hAnsi="宋体" w:hint="eastAsia"/>
              </w:rPr>
              <w:t>135,108.15</w:t>
            </w:r>
          </w:p>
        </w:tc>
      </w:tr>
      <w:tr w:rsidR="009142D6" w14:paraId="6C74C786" w14:textId="77777777">
        <w:trPr>
          <w:divId w:val="2137676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3C892" w14:textId="77777777" w:rsidR="00F513D8" w:rsidRDefault="00F513D8">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D2802D" w14:textId="77777777" w:rsidR="00F513D8" w:rsidRDefault="00F513D8">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8C10FE" w14:textId="77777777" w:rsidR="00F513D8" w:rsidRDefault="00F513D8">
            <w:pPr>
              <w:jc w:val="right"/>
            </w:pPr>
            <w:r>
              <w:rPr>
                <w:rFonts w:ascii="宋体" w:hAnsi="宋体" w:hint="eastAsia"/>
              </w:rPr>
              <w:t>18,904,166.04</w:t>
            </w:r>
          </w:p>
        </w:tc>
      </w:tr>
      <w:tr w:rsidR="009142D6" w14:paraId="3D5EEC51" w14:textId="77777777">
        <w:trPr>
          <w:divId w:val="2137676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17450E" w14:textId="77777777" w:rsidR="00F513D8" w:rsidRDefault="00F513D8">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C12126" w14:textId="77777777" w:rsidR="00F513D8" w:rsidRDefault="00F513D8">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217A55" w14:textId="77777777" w:rsidR="00F513D8" w:rsidRDefault="00F513D8">
            <w:pPr>
              <w:jc w:val="right"/>
            </w:pPr>
            <w:r>
              <w:rPr>
                <w:rFonts w:ascii="宋体" w:hAnsi="宋体" w:hint="eastAsia"/>
              </w:rPr>
              <w:t>-</w:t>
            </w:r>
          </w:p>
        </w:tc>
      </w:tr>
      <w:tr w:rsidR="009142D6" w14:paraId="5B9D9693" w14:textId="77777777">
        <w:trPr>
          <w:divId w:val="21376763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9CA64E" w14:textId="77777777" w:rsidR="00F513D8" w:rsidRDefault="00F513D8">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4F817" w14:textId="77777777" w:rsidR="00F513D8" w:rsidRDefault="00F513D8">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CE9101" w14:textId="77777777" w:rsidR="00F513D8" w:rsidRDefault="00F513D8">
            <w:pPr>
              <w:jc w:val="right"/>
            </w:pPr>
            <w:r>
              <w:rPr>
                <w:rFonts w:ascii="宋体" w:hAnsi="宋体" w:hint="eastAsia"/>
              </w:rPr>
              <w:t>42,137,203.05</w:t>
            </w:r>
          </w:p>
        </w:tc>
      </w:tr>
    </w:tbl>
    <w:p w14:paraId="47A65C9E" w14:textId="77777777" w:rsidR="00F513D8" w:rsidRDefault="00F513D8">
      <w:pPr>
        <w:pStyle w:val="XBRLTitle3"/>
        <w:spacing w:before="156" w:line="360" w:lineRule="auto"/>
        <w:ind w:left="624"/>
      </w:pPr>
      <w:bookmarkStart w:id="331" w:name="_Toc514088273"/>
      <w:bookmarkStart w:id="332" w:name="_Toc480465445"/>
      <w:bookmarkStart w:id="333" w:name="_Toc513542674"/>
      <w:bookmarkStart w:id="334" w:name="m510_03"/>
      <w:bookmarkEnd w:id="330"/>
      <w:r>
        <w:rPr>
          <w:rFonts w:hAnsi="宋体" w:hint="eastAsia"/>
        </w:rPr>
        <w:t>报告期末持有的处于转股期的可转换债券明细</w:t>
      </w:r>
      <w:bookmarkEnd w:id="331"/>
      <w:bookmarkEnd w:id="332"/>
      <w:r>
        <w:rPr>
          <w:rFonts w:hint="eastAsia"/>
        </w:rPr>
        <w:t xml:space="preserve"> </w:t>
      </w:r>
      <w:bookmarkEnd w:id="333"/>
    </w:p>
    <w:p w14:paraId="543C03B9" w14:textId="77777777" w:rsidR="00F513D8" w:rsidRDefault="00F513D8">
      <w:pPr>
        <w:spacing w:line="360" w:lineRule="auto"/>
        <w:ind w:firstLineChars="200" w:firstLine="420"/>
        <w:jc w:val="left"/>
        <w:divId w:val="280113663"/>
      </w:pPr>
      <w:r>
        <w:rPr>
          <w:rFonts w:ascii="宋体" w:hAnsi="宋体" w:hint="eastAsia"/>
        </w:rPr>
        <w:t xml:space="preserve">本基金本报告期末未持有处于转股期的可转换债券。 </w:t>
      </w:r>
    </w:p>
    <w:p w14:paraId="1D67A062" w14:textId="77777777" w:rsidR="00F513D8" w:rsidRDefault="00F513D8">
      <w:pPr>
        <w:pStyle w:val="XBRLTitle3"/>
        <w:spacing w:before="156" w:line="360" w:lineRule="auto"/>
        <w:ind w:left="624"/>
      </w:pPr>
      <w:bookmarkStart w:id="335" w:name="_Toc514088274"/>
      <w:bookmarkStart w:id="336" w:name="_Toc480465446"/>
      <w:bookmarkStart w:id="337" w:name="_Toc513542675"/>
      <w:bookmarkStart w:id="338" w:name="m510_04"/>
      <w:bookmarkEnd w:id="334"/>
      <w:r>
        <w:rPr>
          <w:rFonts w:hAnsi="宋体" w:hint="eastAsia"/>
        </w:rPr>
        <w:t>报告期末前十名股票中存在流通受限情况的说明</w:t>
      </w:r>
      <w:bookmarkEnd w:id="335"/>
      <w:bookmarkEnd w:id="336"/>
      <w:r>
        <w:rPr>
          <w:rFonts w:hint="eastAsia"/>
        </w:rPr>
        <w:t xml:space="preserve"> </w:t>
      </w:r>
      <w:bookmarkEnd w:id="337"/>
    </w:p>
    <w:p w14:paraId="2B8090B7" w14:textId="77777777" w:rsidR="00F513D8" w:rsidRDefault="00F513D8">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23"/>
    </w:p>
    <w:p w14:paraId="7E3C9066" w14:textId="77777777" w:rsidR="00F513D8" w:rsidRDefault="00F513D8">
      <w:pPr>
        <w:pStyle w:val="XBRLTitle3"/>
        <w:spacing w:before="156" w:line="360" w:lineRule="auto"/>
        <w:ind w:left="624"/>
      </w:pPr>
      <w:bookmarkStart w:id="339" w:name="_Toc514088275"/>
      <w:bookmarkStart w:id="340" w:name="_Toc480465447"/>
      <w:bookmarkStart w:id="341" w:name="_Toc513542676"/>
      <w:bookmarkStart w:id="342" w:name="m510_05_1678"/>
      <w:bookmarkEnd w:id="338"/>
      <w:r>
        <w:rPr>
          <w:rFonts w:hAnsi="宋体" w:hint="eastAsia"/>
        </w:rPr>
        <w:t>投资组合报告附注的其他文字描述部分</w:t>
      </w:r>
      <w:bookmarkEnd w:id="339"/>
      <w:bookmarkEnd w:id="340"/>
      <w:bookmarkEnd w:id="341"/>
      <w:r>
        <w:rPr>
          <w:rFonts w:hAnsi="宋体" w:hint="eastAsia"/>
        </w:rPr>
        <w:t xml:space="preserve"> </w:t>
      </w:r>
    </w:p>
    <w:p w14:paraId="747C83AD" w14:textId="77777777" w:rsidR="00F513D8" w:rsidRDefault="00F513D8">
      <w:pPr>
        <w:spacing w:line="360" w:lineRule="auto"/>
        <w:ind w:firstLineChars="200" w:firstLine="420"/>
        <w:jc w:val="left"/>
      </w:pPr>
      <w:r>
        <w:rPr>
          <w:rFonts w:ascii="宋体" w:hAnsi="宋体" w:hint="eastAsia"/>
        </w:rPr>
        <w:t>因四舍五入原因，投资组合报告中分项之和与合计可能存在尾差。</w:t>
      </w:r>
    </w:p>
    <w:p w14:paraId="67D46FF8" w14:textId="77777777" w:rsidR="00F513D8" w:rsidRDefault="00F513D8">
      <w:pPr>
        <w:pStyle w:val="XBRLTitle1"/>
        <w:spacing w:before="156"/>
        <w:ind w:left="425"/>
        <w:rPr>
          <w:rFonts w:hint="eastAsia"/>
        </w:rPr>
      </w:pPr>
      <w:bookmarkStart w:id="343" w:name="_Toc514088276"/>
      <w:bookmarkStart w:id="344" w:name="_Toc480465448"/>
      <w:bookmarkStart w:id="345" w:name="_Toc448480308"/>
      <w:bookmarkStart w:id="346" w:name="_Toc438654096"/>
      <w:bookmarkStart w:id="347" w:name="_Toc456107141"/>
      <w:bookmarkStart w:id="348" w:name="_Toc459213787"/>
      <w:bookmarkStart w:id="349" w:name="_Toc513542677"/>
      <w:bookmarkStart w:id="350" w:name="_Toc512696273"/>
      <w:bookmarkStart w:id="351" w:name="_Toc512612276"/>
      <w:bookmarkStart w:id="352" w:name="_Toc512612100"/>
      <w:bookmarkStart w:id="353" w:name="_Toc512611304"/>
      <w:bookmarkStart w:id="354" w:name="m601"/>
      <w:r>
        <w:rPr>
          <w:rFonts w:hint="eastAsia"/>
        </w:rPr>
        <w:t>开放式基金份额变动</w:t>
      </w:r>
      <w:bookmarkEnd w:id="343"/>
      <w:bookmarkEnd w:id="344"/>
      <w:bookmarkEnd w:id="345"/>
      <w:bookmarkEnd w:id="346"/>
      <w:bookmarkEnd w:id="347"/>
      <w:bookmarkEnd w:id="348"/>
      <w:bookmarkEnd w:id="349"/>
      <w:bookmarkEnd w:id="350"/>
      <w:bookmarkEnd w:id="351"/>
      <w:bookmarkEnd w:id="352"/>
      <w:bookmarkEnd w:id="353"/>
    </w:p>
    <w:p w14:paraId="5BD85B21" w14:textId="77777777" w:rsidR="00F513D8" w:rsidRDefault="00F513D8">
      <w:pPr>
        <w:wordWrap w:val="0"/>
        <w:spacing w:line="360" w:lineRule="auto"/>
        <w:jc w:val="right"/>
      </w:pPr>
      <w:bookmarkStart w:id="35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66"/>
        <w:gridCol w:w="2455"/>
      </w:tblGrid>
      <w:tr w:rsidR="009142D6" w14:paraId="577C8D7B" w14:textId="7777777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62CD942" w14:textId="77777777" w:rsidR="00F513D8" w:rsidRDefault="00F513D8">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356" w:name="m10_01" w:colFirst="1" w:colLast="2"/>
            <w:bookmarkStart w:id="357" w:name="m601_tab"/>
            <w:bookmarkEnd w:id="355"/>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76B67" w14:textId="77777777" w:rsidR="00F513D8" w:rsidRDefault="00F513D8">
            <w:pPr>
              <w:ind w:right="3"/>
              <w:jc w:val="center"/>
            </w:pPr>
            <w:r>
              <w:rPr>
                <w:rFonts w:ascii="宋体" w:hAnsi="宋体" w:hint="eastAsia"/>
                <w:lang w:eastAsia="zh-Hans"/>
              </w:rPr>
              <w:t>摩根亚太优势混合(QDII)A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031A0" w14:textId="77777777" w:rsidR="00F513D8" w:rsidRDefault="00F513D8">
            <w:pPr>
              <w:ind w:right="3"/>
              <w:jc w:val="center"/>
            </w:pPr>
            <w:r>
              <w:rPr>
                <w:rFonts w:ascii="宋体" w:hAnsi="宋体" w:hint="eastAsia"/>
                <w:lang w:eastAsia="zh-Hans"/>
              </w:rPr>
              <w:t>摩根亚太优势混合(QDII)C</w:t>
            </w:r>
            <w:r>
              <w:rPr>
                <w:rFonts w:ascii="宋体" w:hAnsi="宋体" w:hint="eastAsia"/>
                <w:kern w:val="0"/>
                <w:szCs w:val="24"/>
                <w:lang w:eastAsia="zh-Hans"/>
              </w:rPr>
              <w:t xml:space="preserve"> </w:t>
            </w:r>
          </w:p>
        </w:tc>
      </w:tr>
      <w:tr w:rsidR="009142D6" w14:paraId="38DC5D69"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4C9706" w14:textId="77777777" w:rsidR="00F513D8" w:rsidRDefault="00F513D8">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4ABE3B" w14:textId="77777777" w:rsidR="00F513D8" w:rsidRDefault="00F513D8">
            <w:pPr>
              <w:jc w:val="right"/>
            </w:pPr>
            <w:r>
              <w:rPr>
                <w:rFonts w:ascii="宋体" w:hAnsi="宋体" w:hint="eastAsia"/>
              </w:rPr>
              <w:t>2,449,525,181.90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70E3B4" w14:textId="77777777" w:rsidR="00F513D8" w:rsidRDefault="00F513D8">
            <w:pPr>
              <w:jc w:val="right"/>
            </w:pPr>
            <w:r>
              <w:rPr>
                <w:rFonts w:ascii="宋体" w:hAnsi="宋体" w:hint="eastAsia"/>
              </w:rPr>
              <w:t>1,788,332.01</w:t>
            </w:r>
          </w:p>
        </w:tc>
      </w:tr>
      <w:tr w:rsidR="009142D6" w14:paraId="3BC4E446"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F869FF" w14:textId="77777777" w:rsidR="00F513D8" w:rsidRDefault="00F513D8">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074835" w14:textId="77777777" w:rsidR="00F513D8" w:rsidRDefault="00F513D8">
            <w:pPr>
              <w:jc w:val="right"/>
            </w:pPr>
            <w:r>
              <w:rPr>
                <w:rFonts w:ascii="宋体" w:hAnsi="宋体" w:hint="eastAsia"/>
              </w:rPr>
              <w:t>2,339,138.97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69FABC" w14:textId="77777777" w:rsidR="00F513D8" w:rsidRDefault="00F513D8">
            <w:pPr>
              <w:jc w:val="right"/>
            </w:pPr>
            <w:r>
              <w:rPr>
                <w:rFonts w:ascii="宋体" w:hAnsi="宋体" w:hint="eastAsia"/>
              </w:rPr>
              <w:t>879,451.23</w:t>
            </w:r>
          </w:p>
        </w:tc>
      </w:tr>
      <w:tr w:rsidR="009142D6" w14:paraId="2EA7220D"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763370" w14:textId="77777777" w:rsidR="00F513D8" w:rsidRDefault="00F513D8">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A019A4" w14:textId="77777777" w:rsidR="00F513D8" w:rsidRDefault="00F513D8">
            <w:pPr>
              <w:jc w:val="right"/>
            </w:pPr>
            <w:r>
              <w:rPr>
                <w:rFonts w:ascii="宋体" w:hAnsi="宋体" w:hint="eastAsia"/>
              </w:rPr>
              <w:t>107,324,320.86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048D22" w14:textId="77777777" w:rsidR="00F513D8" w:rsidRDefault="00F513D8">
            <w:pPr>
              <w:jc w:val="right"/>
            </w:pPr>
            <w:r>
              <w:rPr>
                <w:rFonts w:ascii="宋体" w:hAnsi="宋体" w:hint="eastAsia"/>
              </w:rPr>
              <w:t>693,100.65</w:t>
            </w:r>
          </w:p>
        </w:tc>
      </w:tr>
      <w:tr w:rsidR="009142D6" w14:paraId="6728A5AF"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D21840" w14:textId="77777777" w:rsidR="00F513D8" w:rsidRDefault="00F513D8">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F92CB1" w14:textId="77777777" w:rsidR="00F513D8" w:rsidRDefault="00F513D8">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3422D2" w14:textId="77777777" w:rsidR="00F513D8" w:rsidRDefault="00F513D8">
            <w:pPr>
              <w:jc w:val="right"/>
            </w:pPr>
            <w:r>
              <w:rPr>
                <w:rFonts w:ascii="宋体" w:hAnsi="宋体" w:hint="eastAsia"/>
              </w:rPr>
              <w:t>-</w:t>
            </w:r>
          </w:p>
        </w:tc>
      </w:tr>
      <w:tr w:rsidR="009142D6" w14:paraId="1CE5F128"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6921CA" w14:textId="77777777" w:rsidR="00F513D8" w:rsidRDefault="00F513D8">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41F57B" w14:textId="77777777" w:rsidR="00F513D8" w:rsidRDefault="00F513D8">
            <w:pPr>
              <w:jc w:val="right"/>
            </w:pPr>
            <w:r>
              <w:rPr>
                <w:rFonts w:ascii="宋体" w:hAnsi="宋体" w:hint="eastAsia"/>
              </w:rPr>
              <w:t>2,344,540,000.01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736B3E" w14:textId="77777777" w:rsidR="00F513D8" w:rsidRDefault="00F513D8">
            <w:pPr>
              <w:jc w:val="right"/>
            </w:pPr>
            <w:r>
              <w:rPr>
                <w:rFonts w:ascii="宋体" w:hAnsi="宋体" w:hint="eastAsia"/>
              </w:rPr>
              <w:t>1,974,682.59</w:t>
            </w:r>
          </w:p>
        </w:tc>
      </w:tr>
    </w:tbl>
    <w:p w14:paraId="3C6157E2" w14:textId="77777777" w:rsidR="00F513D8" w:rsidRDefault="00F513D8">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56"/>
      <w:r>
        <w:rPr>
          <w:rFonts w:ascii="宋体" w:hAnsi="宋体" w:hint="eastAsia"/>
        </w:rPr>
        <w:t xml:space="preserve"> </w:t>
      </w:r>
    </w:p>
    <w:p w14:paraId="7D755675" w14:textId="77777777" w:rsidR="00F513D8" w:rsidRDefault="00F513D8">
      <w:pPr>
        <w:pStyle w:val="XBRLTitle1"/>
        <w:spacing w:before="156"/>
        <w:ind w:left="425"/>
        <w:rPr>
          <w:rFonts w:hint="eastAsia"/>
        </w:rPr>
      </w:pPr>
      <w:bookmarkStart w:id="358" w:name="_Toc514088277"/>
      <w:bookmarkStart w:id="359" w:name="_Toc480465449"/>
      <w:bookmarkStart w:id="360" w:name="_Toc448480309"/>
      <w:bookmarkStart w:id="361" w:name="_Toc438654097"/>
      <w:bookmarkStart w:id="362" w:name="_Toc456107142"/>
      <w:bookmarkStart w:id="363" w:name="_Toc459213788"/>
      <w:bookmarkStart w:id="364" w:name="_Toc513542678"/>
      <w:bookmarkStart w:id="365" w:name="_Toc512696274"/>
      <w:bookmarkStart w:id="366" w:name="_Toc512612277"/>
      <w:bookmarkStart w:id="367" w:name="_Toc512612101"/>
      <w:bookmarkStart w:id="368" w:name="_Toc512611305"/>
      <w:bookmarkStart w:id="369" w:name="m7manage01"/>
      <w:bookmarkEnd w:id="357"/>
      <w:bookmarkEnd w:id="354"/>
      <w:r>
        <w:rPr>
          <w:rFonts w:hint="eastAsia"/>
        </w:rPr>
        <w:t>基金管理人运用固有资金投资本基金交易明细</w:t>
      </w:r>
      <w:bookmarkEnd w:id="358"/>
      <w:bookmarkEnd w:id="359"/>
      <w:bookmarkEnd w:id="360"/>
      <w:bookmarkEnd w:id="361"/>
      <w:bookmarkEnd w:id="362"/>
      <w:bookmarkEnd w:id="363"/>
      <w:bookmarkEnd w:id="364"/>
      <w:bookmarkEnd w:id="365"/>
      <w:bookmarkEnd w:id="366"/>
      <w:bookmarkEnd w:id="367"/>
      <w:bookmarkEnd w:id="368"/>
      <w:bookmarkEnd w:id="369"/>
      <w:bookmarkEnd w:id="342"/>
    </w:p>
    <w:p w14:paraId="1982D326" w14:textId="77777777" w:rsidR="00F513D8" w:rsidRDefault="00F513D8">
      <w:pPr>
        <w:spacing w:line="360" w:lineRule="auto"/>
        <w:ind w:firstLineChars="200" w:firstLine="420"/>
        <w:jc w:val="left"/>
      </w:pPr>
      <w:r>
        <w:rPr>
          <w:rFonts w:ascii="宋体" w:hAnsi="宋体" w:hint="eastAsia"/>
          <w:lang w:eastAsia="zh-Hans"/>
        </w:rPr>
        <w:lastRenderedPageBreak/>
        <w:t>无。</w:t>
      </w:r>
      <w:r>
        <w:rPr>
          <w:rFonts w:ascii="宋体" w:hAnsi="宋体" w:hint="eastAsia"/>
        </w:rPr>
        <w:t xml:space="preserve"> </w:t>
      </w:r>
    </w:p>
    <w:p w14:paraId="4AEB0A08" w14:textId="77777777" w:rsidR="00F513D8" w:rsidRDefault="00F513D8">
      <w:pPr>
        <w:pStyle w:val="XBRLTitle1"/>
        <w:spacing w:before="156"/>
        <w:ind w:left="425"/>
        <w:rPr>
          <w:rFonts w:hint="eastAsia"/>
        </w:rPr>
      </w:pPr>
      <w:bookmarkStart w:id="370" w:name="_Toc17881714"/>
      <w:bookmarkStart w:id="371" w:name="_Toc479856294"/>
      <w:bookmarkStart w:id="372" w:name="_Toc492299909"/>
      <w:bookmarkStart w:id="373" w:name="_Toc512627244"/>
      <w:bookmarkStart w:id="374" w:name="_Toc512694324"/>
      <w:bookmarkStart w:id="375" w:name="m701"/>
      <w:r>
        <w:rPr>
          <w:rFonts w:hint="eastAsia"/>
        </w:rPr>
        <w:t>影响投资者决策的其他重要信息</w:t>
      </w:r>
      <w:bookmarkEnd w:id="370"/>
      <w:bookmarkEnd w:id="371"/>
      <w:bookmarkEnd w:id="372"/>
      <w:bookmarkEnd w:id="373"/>
      <w:bookmarkEnd w:id="374"/>
      <w:r>
        <w:rPr>
          <w:rFonts w:hint="eastAsia"/>
          <w:lang w:eastAsia="zh-CN"/>
        </w:rPr>
        <w:t xml:space="preserve"> </w:t>
      </w:r>
    </w:p>
    <w:p w14:paraId="35ECBBB5" w14:textId="77777777" w:rsidR="00F513D8" w:rsidRDefault="00F513D8">
      <w:pPr>
        <w:pStyle w:val="XBRLTitle2"/>
        <w:spacing w:before="156"/>
        <w:ind w:left="454"/>
      </w:pPr>
      <w:bookmarkStart w:id="376" w:name="_Toc17881715"/>
      <w:bookmarkStart w:id="377" w:name="_Toc492299910"/>
      <w:bookmarkStart w:id="378" w:name="_Toc512627245"/>
      <w:bookmarkStart w:id="379"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76"/>
      <w:bookmarkEnd w:id="377"/>
      <w:bookmarkEnd w:id="378"/>
      <w:bookmarkEnd w:id="379"/>
      <w:r>
        <w:rPr>
          <w:rFonts w:hint="eastAsia"/>
          <w:kern w:val="0"/>
          <w:lang w:eastAsia="zh-CN"/>
        </w:rPr>
        <w:t xml:space="preserve"> </w:t>
      </w:r>
    </w:p>
    <w:bookmarkEnd w:id="50"/>
    <w:bookmarkEnd w:id="51"/>
    <w:bookmarkEnd w:id="24"/>
    <w:p w14:paraId="55E9F0AF" w14:textId="77777777" w:rsidR="00F513D8" w:rsidRDefault="00F513D8">
      <w:pPr>
        <w:spacing w:line="360" w:lineRule="auto"/>
        <w:ind w:firstLineChars="200" w:firstLine="420"/>
        <w:rPr>
          <w:rFonts w:ascii="宋体" w:hAnsi="宋体" w:hint="eastAsia"/>
          <w:szCs w:val="21"/>
          <w:lang w:eastAsia="zh-Hans"/>
        </w:rPr>
      </w:pPr>
      <w:r>
        <w:rPr>
          <w:rFonts w:ascii="宋体" w:hAnsi="宋体" w:hint="eastAsia"/>
          <w:szCs w:val="21"/>
          <w:lang w:eastAsia="zh-Hans"/>
        </w:rPr>
        <w:t>无。</w:t>
      </w:r>
    </w:p>
    <w:p w14:paraId="0AC352ED" w14:textId="77777777" w:rsidR="00F513D8" w:rsidRDefault="00F513D8">
      <w:pPr>
        <w:pStyle w:val="XBRLTitle1"/>
        <w:spacing w:before="156"/>
        <w:ind w:left="425"/>
        <w:rPr>
          <w:rFonts w:hint="eastAsia"/>
        </w:rPr>
      </w:pPr>
      <w:bookmarkStart w:id="380" w:name="_Toc514088283"/>
      <w:bookmarkStart w:id="381" w:name="_Toc466644495"/>
      <w:bookmarkStart w:id="382" w:name="_Toc480465455"/>
      <w:bookmarkStart w:id="383" w:name="_Toc513542684"/>
      <w:bookmarkStart w:id="384" w:name="_Toc512696280"/>
      <w:bookmarkStart w:id="385" w:name="_Toc512612283"/>
      <w:bookmarkStart w:id="386" w:name="_Toc512612107"/>
      <w:bookmarkStart w:id="387" w:name="_Toc512611311"/>
      <w:bookmarkEnd w:id="375"/>
      <w:r>
        <w:rPr>
          <w:rFonts w:hint="eastAsia"/>
        </w:rPr>
        <w:t>备查文件目录</w:t>
      </w:r>
      <w:bookmarkEnd w:id="380"/>
      <w:bookmarkEnd w:id="381"/>
      <w:bookmarkEnd w:id="382"/>
      <w:bookmarkEnd w:id="383"/>
      <w:bookmarkEnd w:id="384"/>
      <w:bookmarkEnd w:id="385"/>
      <w:bookmarkEnd w:id="386"/>
      <w:bookmarkEnd w:id="387"/>
    </w:p>
    <w:p w14:paraId="0251106A" w14:textId="77777777" w:rsidR="00F513D8" w:rsidRDefault="00F513D8">
      <w:pPr>
        <w:pStyle w:val="XBRLTitle2"/>
        <w:spacing w:before="156" w:line="360" w:lineRule="auto"/>
        <w:ind w:left="454"/>
      </w:pPr>
      <w:bookmarkStart w:id="388" w:name="_Toc514088284"/>
      <w:bookmarkStart w:id="389" w:name="_Toc480465456"/>
      <w:bookmarkStart w:id="390" w:name="_Toc448480313"/>
      <w:bookmarkStart w:id="391" w:name="_Toc438654101"/>
      <w:bookmarkStart w:id="392" w:name="_Toc456107145"/>
      <w:bookmarkStart w:id="393" w:name="_Toc459213792"/>
      <w:bookmarkStart w:id="394" w:name="_Toc513542685"/>
      <w:bookmarkStart w:id="395" w:name="_Toc512696281"/>
      <w:bookmarkStart w:id="396" w:name="_Toc512612284"/>
      <w:bookmarkStart w:id="397" w:name="_Toc512612108"/>
      <w:bookmarkStart w:id="398" w:name="_Toc512611312"/>
      <w:bookmarkStart w:id="399" w:name="m801_01_1733"/>
      <w:r>
        <w:rPr>
          <w:rFonts w:eastAsia="宋体" w:hint="eastAsia"/>
        </w:rPr>
        <w:t>备查文件目录</w:t>
      </w:r>
      <w:bookmarkEnd w:id="388"/>
      <w:bookmarkEnd w:id="389"/>
      <w:bookmarkEnd w:id="390"/>
      <w:bookmarkEnd w:id="391"/>
      <w:bookmarkEnd w:id="392"/>
      <w:bookmarkEnd w:id="393"/>
      <w:bookmarkEnd w:id="394"/>
      <w:bookmarkEnd w:id="395"/>
      <w:bookmarkEnd w:id="396"/>
      <w:bookmarkEnd w:id="397"/>
      <w:bookmarkEnd w:id="398"/>
      <w:r>
        <w:rPr>
          <w:rFonts w:eastAsia="宋体" w:hint="eastAsia"/>
        </w:rPr>
        <w:t xml:space="preserve"> </w:t>
      </w:r>
    </w:p>
    <w:p w14:paraId="7AEF5C77" w14:textId="77777777" w:rsidR="00F513D8" w:rsidRDefault="00F513D8">
      <w:pPr>
        <w:spacing w:line="360" w:lineRule="auto"/>
        <w:ind w:firstLineChars="200" w:firstLine="420"/>
        <w:jc w:val="left"/>
      </w:pPr>
      <w:r>
        <w:rPr>
          <w:rFonts w:ascii="宋体" w:hAnsi="宋体" w:cs="宋体" w:hint="eastAsia"/>
          <w:color w:val="000000"/>
          <w:kern w:val="0"/>
        </w:rPr>
        <w:t>1、中国证监会核准本基金募集的文件；</w:t>
      </w:r>
      <w:r>
        <w:rPr>
          <w:rFonts w:ascii="宋体" w:hAnsi="宋体" w:cs="宋体" w:hint="eastAsia"/>
          <w:color w:val="000000"/>
          <w:kern w:val="0"/>
        </w:rPr>
        <w:br/>
        <w:t xml:space="preserve">　　2、《摩根亚太优势混合型证券投资基金(QDII)基金合同》；</w:t>
      </w:r>
      <w:r>
        <w:rPr>
          <w:rFonts w:ascii="宋体" w:hAnsi="宋体" w:cs="宋体" w:hint="eastAsia"/>
          <w:color w:val="000000"/>
          <w:kern w:val="0"/>
        </w:rPr>
        <w:br/>
        <w:t xml:space="preserve">　　3、《摩根亚太优势混合型证券投资基金(QDII)托管协议》；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7、中国证监会要求的其他文件。</w:t>
      </w:r>
    </w:p>
    <w:p w14:paraId="4BBB36A5" w14:textId="77777777" w:rsidR="00F513D8" w:rsidRDefault="00F513D8">
      <w:pPr>
        <w:pStyle w:val="XBRLTitle2"/>
        <w:spacing w:before="156" w:line="360" w:lineRule="auto"/>
        <w:ind w:left="454"/>
      </w:pPr>
      <w:bookmarkStart w:id="400" w:name="_Toc514088285"/>
      <w:bookmarkStart w:id="401" w:name="_Toc480465457"/>
      <w:bookmarkStart w:id="402" w:name="_Toc448480314"/>
      <w:bookmarkStart w:id="403" w:name="_Toc438654102"/>
      <w:bookmarkStart w:id="404" w:name="_Toc456107146"/>
      <w:bookmarkStart w:id="405" w:name="_Toc459213793"/>
      <w:bookmarkStart w:id="406" w:name="_Toc513542686"/>
      <w:bookmarkStart w:id="407" w:name="_Toc512696282"/>
      <w:bookmarkStart w:id="408" w:name="_Toc512612285"/>
      <w:bookmarkStart w:id="409" w:name="_Toc512612109"/>
      <w:bookmarkStart w:id="410" w:name="_Toc512611313"/>
      <w:bookmarkStart w:id="411" w:name="m801_01_1734"/>
      <w:bookmarkEnd w:id="399"/>
      <w:r>
        <w:rPr>
          <w:rFonts w:eastAsia="宋体" w:hint="eastAsia"/>
        </w:rPr>
        <w:t>存放地点</w:t>
      </w:r>
      <w:bookmarkEnd w:id="400"/>
      <w:bookmarkEnd w:id="401"/>
      <w:bookmarkEnd w:id="402"/>
      <w:bookmarkEnd w:id="403"/>
      <w:bookmarkEnd w:id="404"/>
      <w:bookmarkEnd w:id="405"/>
      <w:bookmarkEnd w:id="406"/>
      <w:bookmarkEnd w:id="407"/>
      <w:bookmarkEnd w:id="408"/>
      <w:bookmarkEnd w:id="409"/>
      <w:bookmarkEnd w:id="410"/>
      <w:r>
        <w:rPr>
          <w:rFonts w:eastAsia="宋体" w:hint="eastAsia"/>
        </w:rPr>
        <w:t xml:space="preserve"> </w:t>
      </w:r>
    </w:p>
    <w:p w14:paraId="682C3A9F" w14:textId="77777777" w:rsidR="00F513D8" w:rsidRDefault="00F513D8">
      <w:pPr>
        <w:spacing w:line="360" w:lineRule="auto"/>
        <w:ind w:firstLineChars="200" w:firstLine="420"/>
        <w:jc w:val="left"/>
      </w:pPr>
      <w:r>
        <w:rPr>
          <w:rFonts w:ascii="宋体" w:hAnsi="宋体" w:cs="宋体" w:hint="eastAsia"/>
          <w:color w:val="000000"/>
          <w:kern w:val="0"/>
        </w:rPr>
        <w:t>基金管理人或基金托管人住所。</w:t>
      </w:r>
    </w:p>
    <w:p w14:paraId="03D1C812" w14:textId="77777777" w:rsidR="00F513D8" w:rsidRDefault="00F513D8">
      <w:pPr>
        <w:pStyle w:val="XBRLTitle2"/>
        <w:spacing w:before="156" w:line="360" w:lineRule="auto"/>
        <w:ind w:left="454"/>
      </w:pPr>
      <w:bookmarkStart w:id="412" w:name="_Toc514088286"/>
      <w:bookmarkStart w:id="413" w:name="_Toc480465458"/>
      <w:bookmarkStart w:id="414" w:name="_Toc448480315"/>
      <w:bookmarkStart w:id="415" w:name="_Toc438654103"/>
      <w:bookmarkStart w:id="416" w:name="_Toc456107147"/>
      <w:bookmarkStart w:id="417" w:name="_Toc459213794"/>
      <w:bookmarkStart w:id="418" w:name="_Toc513542687"/>
      <w:bookmarkStart w:id="419" w:name="_Toc512696283"/>
      <w:bookmarkStart w:id="420" w:name="_Toc512612286"/>
      <w:bookmarkStart w:id="421" w:name="_Toc512612110"/>
      <w:bookmarkStart w:id="422" w:name="_Toc512611314"/>
      <w:bookmarkStart w:id="423" w:name="m801_01_1735"/>
      <w:bookmarkEnd w:id="411"/>
      <w:r>
        <w:rPr>
          <w:rFonts w:eastAsia="宋体" w:hint="eastAsia"/>
        </w:rPr>
        <w:t>查阅方式</w:t>
      </w:r>
      <w:bookmarkEnd w:id="412"/>
      <w:bookmarkEnd w:id="413"/>
      <w:bookmarkEnd w:id="414"/>
      <w:bookmarkEnd w:id="415"/>
      <w:bookmarkEnd w:id="416"/>
      <w:bookmarkEnd w:id="417"/>
      <w:bookmarkEnd w:id="418"/>
      <w:bookmarkEnd w:id="419"/>
      <w:bookmarkEnd w:id="420"/>
      <w:bookmarkEnd w:id="421"/>
      <w:bookmarkEnd w:id="422"/>
      <w:r>
        <w:rPr>
          <w:rFonts w:eastAsia="宋体" w:hint="eastAsia"/>
        </w:rPr>
        <w:t xml:space="preserve"> </w:t>
      </w:r>
    </w:p>
    <w:p w14:paraId="21F51A01" w14:textId="77777777" w:rsidR="00F513D8" w:rsidRDefault="00F513D8">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5"/>
      <w:r>
        <w:rPr>
          <w:rFonts w:ascii="宋体" w:hAnsi="宋体" w:cs="宋体" w:hint="eastAsia"/>
          <w:color w:val="000000"/>
          <w:kern w:val="0"/>
        </w:rPr>
        <w:t xml:space="preserve"> </w:t>
      </w:r>
    </w:p>
    <w:bookmarkEnd w:id="423"/>
    <w:p w14:paraId="52F36C6F" w14:textId="77777777" w:rsidR="00F513D8" w:rsidRDefault="00F513D8">
      <w:pPr>
        <w:spacing w:line="360" w:lineRule="auto"/>
        <w:jc w:val="left"/>
        <w:rPr>
          <w:rFonts w:ascii="宋体" w:hAnsi="宋体" w:hint="eastAsia"/>
          <w:b/>
          <w:bCs/>
          <w:sz w:val="28"/>
          <w:szCs w:val="30"/>
        </w:rPr>
      </w:pPr>
      <w:r>
        <w:rPr>
          <w:rFonts w:ascii="宋体" w:hAnsi="宋体" w:hint="eastAsia"/>
          <w:b/>
          <w:bCs/>
          <w:sz w:val="28"/>
          <w:szCs w:val="30"/>
        </w:rPr>
        <w:t xml:space="preserve">　 </w:t>
      </w:r>
    </w:p>
    <w:p w14:paraId="5F93B085" w14:textId="77777777" w:rsidR="00F513D8" w:rsidRDefault="00F513D8">
      <w:pPr>
        <w:spacing w:line="360" w:lineRule="auto"/>
        <w:jc w:val="left"/>
        <w:rPr>
          <w:rFonts w:ascii="宋体" w:hAnsi="宋体" w:hint="eastAsia"/>
          <w:b/>
          <w:bCs/>
          <w:sz w:val="28"/>
          <w:szCs w:val="30"/>
        </w:rPr>
      </w:pPr>
      <w:r>
        <w:rPr>
          <w:rFonts w:ascii="宋体" w:hAnsi="宋体" w:hint="eastAsia"/>
          <w:b/>
          <w:bCs/>
          <w:sz w:val="28"/>
          <w:szCs w:val="30"/>
        </w:rPr>
        <w:t xml:space="preserve">　 </w:t>
      </w:r>
    </w:p>
    <w:p w14:paraId="3FE7C21F" w14:textId="77777777" w:rsidR="00F513D8" w:rsidRDefault="00F513D8">
      <w:pPr>
        <w:spacing w:line="360" w:lineRule="auto"/>
        <w:ind w:firstLineChars="600" w:firstLine="1446"/>
        <w:jc w:val="right"/>
      </w:pPr>
      <w:r>
        <w:rPr>
          <w:rFonts w:ascii="宋体" w:hAnsi="宋体" w:hint="eastAsia"/>
          <w:b/>
          <w:bCs/>
          <w:sz w:val="24"/>
          <w:szCs w:val="24"/>
        </w:rPr>
        <w:t>摩根基金管理（中国）有限公司</w:t>
      </w:r>
    </w:p>
    <w:p w14:paraId="390EF701" w14:textId="77777777" w:rsidR="00F513D8" w:rsidRDefault="00F513D8">
      <w:pPr>
        <w:spacing w:line="360" w:lineRule="auto"/>
        <w:ind w:firstLineChars="600" w:firstLine="1446"/>
        <w:jc w:val="right"/>
      </w:pPr>
      <w:r>
        <w:rPr>
          <w:rFonts w:ascii="宋体" w:hAnsi="宋体" w:hint="eastAsia"/>
          <w:b/>
          <w:bCs/>
          <w:sz w:val="24"/>
          <w:szCs w:val="24"/>
        </w:rPr>
        <w:t>2025年7月21日</w:t>
      </w:r>
    </w:p>
    <w:sectPr w:rsidR="00F513D8">
      <w:headerReference w:type="default" r:id="rId10"/>
      <w:footerReference w:type="even" r:id="rId11"/>
      <w:footerReference w:type="default" r:id="rId12"/>
      <w:headerReference w:type="firs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D6854" w14:textId="77777777" w:rsidR="00F513D8" w:rsidRDefault="00F513D8">
      <w:pPr>
        <w:rPr>
          <w:szCs w:val="21"/>
        </w:rPr>
      </w:pPr>
      <w:r>
        <w:rPr>
          <w:szCs w:val="21"/>
        </w:rPr>
        <w:separator/>
      </w:r>
      <w:r>
        <w:rPr>
          <w:szCs w:val="21"/>
        </w:rPr>
        <w:t xml:space="preserve"> </w:t>
      </w:r>
    </w:p>
  </w:endnote>
  <w:endnote w:type="continuationSeparator" w:id="0">
    <w:p w14:paraId="6101A453" w14:textId="77777777" w:rsidR="00F513D8" w:rsidRDefault="00F513D8">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F22B" w14:textId="77777777" w:rsidR="00F513D8" w:rsidRDefault="00F513D8">
    <w:pPr>
      <w:pStyle w:val="aa"/>
      <w:framePr w:wrap="around" w:vAnchor="text" w:hAnchor="margin" w:xAlign="right" w:y="1"/>
      <w:rPr>
        <w:rStyle w:val="af9"/>
      </w:rPr>
    </w:pPr>
    <w:r>
      <w:fldChar w:fldCharType="begin"/>
    </w:r>
    <w:r>
      <w:rPr>
        <w:rStyle w:val="af9"/>
      </w:rPr>
      <w:instrText xml:space="preserve">PAGE  </w:instrText>
    </w:r>
    <w:r>
      <w:fldChar w:fldCharType="separate"/>
    </w:r>
    <w:r>
      <w:fldChar w:fldCharType="end"/>
    </w:r>
  </w:p>
  <w:p w14:paraId="0A56432D" w14:textId="77777777" w:rsidR="00F513D8" w:rsidRDefault="00F513D8">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5684" w14:textId="77777777" w:rsidR="00F513D8" w:rsidRDefault="00F513D8">
    <w:pPr>
      <w:pStyle w:val="aa"/>
      <w:framePr w:wrap="around" w:vAnchor="text" w:hAnchor="margin" w:xAlign="right" w:y="1"/>
      <w:rPr>
        <w:rStyle w:val="af9"/>
      </w:rPr>
    </w:pPr>
    <w:r>
      <w:rPr>
        <w:rStyle w:val="af9"/>
      </w:rPr>
      <w:t xml:space="preserve">  </w:t>
    </w:r>
  </w:p>
  <w:p w14:paraId="576FCC03" w14:textId="77777777" w:rsidR="00F513D8" w:rsidRDefault="00F513D8">
    <w:pPr>
      <w:jc w:val="center"/>
      <w:rPr>
        <w:rFonts w:ascii="宋体" w:hAnsi="宋体" w:hint="eastAsia"/>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Pr>
        <w:rFonts w:ascii="宋体" w:hAnsi="宋体" w:hint="eastAsia"/>
        <w:noProof/>
        <w:sz w:val="18"/>
        <w:szCs w:val="18"/>
      </w:rPr>
      <w:t>7</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7776" w14:textId="77777777" w:rsidR="00F513D8" w:rsidRDefault="00F513D8">
      <w:pPr>
        <w:rPr>
          <w:szCs w:val="21"/>
        </w:rPr>
      </w:pPr>
      <w:r>
        <w:rPr>
          <w:szCs w:val="21"/>
        </w:rPr>
        <w:separator/>
      </w:r>
      <w:r>
        <w:rPr>
          <w:szCs w:val="21"/>
        </w:rPr>
        <w:t xml:space="preserve"> </w:t>
      </w:r>
    </w:p>
  </w:footnote>
  <w:footnote w:type="continuationSeparator" w:id="0">
    <w:p w14:paraId="08843B71" w14:textId="77777777" w:rsidR="00F513D8" w:rsidRDefault="00F513D8">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CA8E" w14:textId="77777777" w:rsidR="00F513D8" w:rsidRDefault="00F513D8">
    <w:pPr>
      <w:pStyle w:val="a8"/>
      <w:pBdr>
        <w:between w:val="single" w:sz="4" w:space="1" w:color="4F81BD"/>
      </w:pBdr>
      <w:spacing w:line="276" w:lineRule="auto"/>
      <w:jc w:val="right"/>
    </w:pPr>
    <w:r>
      <w:rPr>
        <w:rFonts w:ascii="宋体" w:hAnsi="宋体" w:hint="eastAsia"/>
        <w:bCs/>
      </w:rPr>
      <w:t>摩根亚太优势混合型证券投资基金(QDII)2025年第2季度报告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EF20" w14:textId="77777777" w:rsidR="00F513D8" w:rsidRDefault="00F513D8">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538862870">
    <w:abstractNumId w:val="0"/>
  </w:num>
  <w:num w:numId="2" w16cid:durableId="124040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D8"/>
    <w:rsid w:val="000E19AD"/>
    <w:rsid w:val="004D77C8"/>
    <w:rsid w:val="00570DF4"/>
    <w:rsid w:val="0086384C"/>
    <w:rsid w:val="008A56B1"/>
    <w:rsid w:val="009142D6"/>
    <w:rsid w:val="00B177B5"/>
    <w:rsid w:val="00B77D4C"/>
    <w:rsid w:val="00E41056"/>
    <w:rsid w:val="00F513D8"/>
    <w:rsid w:val="00F8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9F1FA7F"/>
  <w15:chartTrackingRefBased/>
  <w15:docId w15:val="{C6906B24-6DE1-4547-A539-91820B9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rFonts w:asciiTheme="majorHAnsi" w:eastAsiaTheme="majorEastAsia" w:hAnsiTheme="majorHAnsi" w:cstheme="majorBidi"/>
      <w:color w:val="365F91" w:themeColor="accent1" w:themeShade="BF"/>
      <w:kern w:val="2"/>
      <w:sz w:val="48"/>
      <w:szCs w:val="48"/>
    </w:rPr>
  </w:style>
  <w:style w:type="character" w:customStyle="1" w:styleId="20">
    <w:name w:val="标题 2 字符"/>
    <w:basedOn w:val="a0"/>
    <w:uiPriority w:val="9"/>
    <w:rPr>
      <w:rFonts w:asciiTheme="majorHAnsi" w:eastAsiaTheme="majorEastAsia" w:hAnsiTheme="majorHAnsi" w:cstheme="majorBidi"/>
      <w:color w:val="365F91" w:themeColor="accent1" w:themeShade="BF"/>
      <w:kern w:val="2"/>
      <w:sz w:val="40"/>
      <w:szCs w:val="40"/>
    </w:rPr>
  </w:style>
  <w:style w:type="character" w:customStyle="1" w:styleId="30">
    <w:name w:val="标题 3 字符"/>
    <w:basedOn w:val="a0"/>
    <w:uiPriority w:val="9"/>
    <w:rPr>
      <w:rFonts w:asciiTheme="majorHAnsi" w:eastAsiaTheme="majorEastAsia" w:hAnsiTheme="majorHAnsi" w:cstheme="majorBidi"/>
      <w:color w:val="365F91" w:themeColor="accent1" w:themeShade="BF"/>
      <w:kern w:val="2"/>
      <w:sz w:val="32"/>
      <w:szCs w:val="32"/>
    </w:rPr>
  </w:style>
  <w:style w:type="character" w:customStyle="1" w:styleId="40">
    <w:name w:val="标题 4 字符"/>
    <w:basedOn w:val="a0"/>
    <w:rPr>
      <w:rFonts w:asciiTheme="minorHAnsi" w:eastAsiaTheme="minorEastAsia" w:hAnsiTheme="minorHAnsi" w:cstheme="majorBidi"/>
      <w:color w:val="365F91" w:themeColor="accent1" w:themeShade="BF"/>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spacing w:val="-10"/>
      <w:kern w:val="28"/>
      <w:sz w:val="56"/>
      <w:szCs w:val="56"/>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rPr>
      <w:rFonts w:asciiTheme="majorHAnsi" w:eastAsiaTheme="majorEastAsia" w:hAnsiTheme="majorHAnsi" w:cstheme="majorBidi"/>
      <w:color w:val="595959" w:themeColor="text1" w:themeTint="A6"/>
      <w:spacing w:val="15"/>
      <w:kern w:val="2"/>
      <w:sz w:val="28"/>
      <w:szCs w:val="28"/>
    </w:rPr>
  </w:style>
  <w:style w:type="paragraph" w:styleId="af0">
    <w:name w:val="Date"/>
    <w:basedOn w:val="a"/>
    <w:next w:val="a"/>
    <w:link w:val="17"/>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8"/>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13">
    <w:name w:val="页眉 字符1"/>
    <w:basedOn w:val="a0"/>
    <w:link w:val="a8"/>
    <w:uiPriority w:val="99"/>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 w:type="paragraph" w:styleId="afa">
    <w:name w:val="Revision"/>
    <w:hidden/>
    <w:uiPriority w:val="99"/>
    <w:unhideWhenUsed/>
    <w:rsid w:val="008A56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0104">
      <w:marLeft w:val="0"/>
      <w:marRight w:val="0"/>
      <w:marTop w:val="0"/>
      <w:marBottom w:val="0"/>
      <w:divBdr>
        <w:top w:val="none" w:sz="0" w:space="0" w:color="auto"/>
        <w:left w:val="none" w:sz="0" w:space="0" w:color="auto"/>
        <w:bottom w:val="none" w:sz="0" w:space="0" w:color="auto"/>
        <w:right w:val="none" w:sz="0" w:space="0" w:color="auto"/>
      </w:divBdr>
    </w:div>
    <w:div w:id="280113663">
      <w:marLeft w:val="0"/>
      <w:marRight w:val="0"/>
      <w:marTop w:val="0"/>
      <w:marBottom w:val="0"/>
      <w:divBdr>
        <w:top w:val="none" w:sz="0" w:space="0" w:color="auto"/>
        <w:left w:val="none" w:sz="0" w:space="0" w:color="auto"/>
        <w:bottom w:val="none" w:sz="0" w:space="0" w:color="auto"/>
        <w:right w:val="none" w:sz="0" w:space="0" w:color="auto"/>
      </w:divBdr>
    </w:div>
    <w:div w:id="299073314">
      <w:marLeft w:val="0"/>
      <w:marRight w:val="0"/>
      <w:marTop w:val="0"/>
      <w:marBottom w:val="0"/>
      <w:divBdr>
        <w:top w:val="none" w:sz="0" w:space="0" w:color="auto"/>
        <w:left w:val="none" w:sz="0" w:space="0" w:color="auto"/>
        <w:bottom w:val="none" w:sz="0" w:space="0" w:color="auto"/>
        <w:right w:val="none" w:sz="0" w:space="0" w:color="auto"/>
      </w:divBdr>
    </w:div>
    <w:div w:id="304435675">
      <w:marLeft w:val="0"/>
      <w:marRight w:val="0"/>
      <w:marTop w:val="0"/>
      <w:marBottom w:val="0"/>
      <w:divBdr>
        <w:top w:val="none" w:sz="0" w:space="0" w:color="auto"/>
        <w:left w:val="none" w:sz="0" w:space="0" w:color="auto"/>
        <w:bottom w:val="none" w:sz="0" w:space="0" w:color="auto"/>
        <w:right w:val="none" w:sz="0" w:space="0" w:color="auto"/>
      </w:divBdr>
      <w:divsChild>
        <w:div w:id="238176728">
          <w:marLeft w:val="0"/>
          <w:marRight w:val="0"/>
          <w:marTop w:val="0"/>
          <w:marBottom w:val="0"/>
          <w:divBdr>
            <w:top w:val="none" w:sz="0" w:space="0" w:color="auto"/>
            <w:left w:val="none" w:sz="0" w:space="0" w:color="auto"/>
            <w:bottom w:val="none" w:sz="0" w:space="0" w:color="auto"/>
            <w:right w:val="none" w:sz="0" w:space="0" w:color="auto"/>
          </w:divBdr>
        </w:div>
      </w:divsChild>
    </w:div>
    <w:div w:id="369112772">
      <w:marLeft w:val="0"/>
      <w:marRight w:val="0"/>
      <w:marTop w:val="0"/>
      <w:marBottom w:val="0"/>
      <w:divBdr>
        <w:top w:val="none" w:sz="0" w:space="0" w:color="auto"/>
        <w:left w:val="none" w:sz="0" w:space="0" w:color="auto"/>
        <w:bottom w:val="none" w:sz="0" w:space="0" w:color="auto"/>
        <w:right w:val="none" w:sz="0" w:space="0" w:color="auto"/>
      </w:divBdr>
    </w:div>
    <w:div w:id="374543459">
      <w:marLeft w:val="0"/>
      <w:marRight w:val="0"/>
      <w:marTop w:val="0"/>
      <w:marBottom w:val="0"/>
      <w:divBdr>
        <w:top w:val="none" w:sz="0" w:space="0" w:color="auto"/>
        <w:left w:val="none" w:sz="0" w:space="0" w:color="auto"/>
        <w:bottom w:val="none" w:sz="0" w:space="0" w:color="auto"/>
        <w:right w:val="none" w:sz="0" w:space="0" w:color="auto"/>
      </w:divBdr>
    </w:div>
    <w:div w:id="412702394">
      <w:marLeft w:val="0"/>
      <w:marRight w:val="0"/>
      <w:marTop w:val="0"/>
      <w:marBottom w:val="0"/>
      <w:divBdr>
        <w:top w:val="none" w:sz="0" w:space="0" w:color="auto"/>
        <w:left w:val="none" w:sz="0" w:space="0" w:color="auto"/>
        <w:bottom w:val="none" w:sz="0" w:space="0" w:color="auto"/>
        <w:right w:val="none" w:sz="0" w:space="0" w:color="auto"/>
      </w:divBdr>
    </w:div>
    <w:div w:id="513347786">
      <w:marLeft w:val="0"/>
      <w:marRight w:val="0"/>
      <w:marTop w:val="0"/>
      <w:marBottom w:val="0"/>
      <w:divBdr>
        <w:top w:val="none" w:sz="0" w:space="0" w:color="auto"/>
        <w:left w:val="none" w:sz="0" w:space="0" w:color="auto"/>
        <w:bottom w:val="none" w:sz="0" w:space="0" w:color="auto"/>
        <w:right w:val="none" w:sz="0" w:space="0" w:color="auto"/>
      </w:divBdr>
    </w:div>
    <w:div w:id="793911994">
      <w:marLeft w:val="0"/>
      <w:marRight w:val="0"/>
      <w:marTop w:val="0"/>
      <w:marBottom w:val="0"/>
      <w:divBdr>
        <w:top w:val="none" w:sz="0" w:space="0" w:color="auto"/>
        <w:left w:val="none" w:sz="0" w:space="0" w:color="auto"/>
        <w:bottom w:val="none" w:sz="0" w:space="0" w:color="auto"/>
        <w:right w:val="none" w:sz="0" w:space="0" w:color="auto"/>
      </w:divBdr>
    </w:div>
    <w:div w:id="841168971">
      <w:marLeft w:val="0"/>
      <w:marRight w:val="0"/>
      <w:marTop w:val="0"/>
      <w:marBottom w:val="0"/>
      <w:divBdr>
        <w:top w:val="none" w:sz="0" w:space="0" w:color="auto"/>
        <w:left w:val="none" w:sz="0" w:space="0" w:color="auto"/>
        <w:bottom w:val="none" w:sz="0" w:space="0" w:color="auto"/>
        <w:right w:val="none" w:sz="0" w:space="0" w:color="auto"/>
      </w:divBdr>
    </w:div>
    <w:div w:id="1041589114">
      <w:marLeft w:val="0"/>
      <w:marRight w:val="0"/>
      <w:marTop w:val="0"/>
      <w:marBottom w:val="0"/>
      <w:divBdr>
        <w:top w:val="none" w:sz="0" w:space="0" w:color="auto"/>
        <w:left w:val="none" w:sz="0" w:space="0" w:color="auto"/>
        <w:bottom w:val="none" w:sz="0" w:space="0" w:color="auto"/>
        <w:right w:val="none" w:sz="0" w:space="0" w:color="auto"/>
      </w:divBdr>
    </w:div>
    <w:div w:id="1069186745">
      <w:marLeft w:val="0"/>
      <w:marRight w:val="0"/>
      <w:marTop w:val="0"/>
      <w:marBottom w:val="0"/>
      <w:divBdr>
        <w:top w:val="none" w:sz="0" w:space="0" w:color="auto"/>
        <w:left w:val="none" w:sz="0" w:space="0" w:color="auto"/>
        <w:bottom w:val="none" w:sz="0" w:space="0" w:color="auto"/>
        <w:right w:val="none" w:sz="0" w:space="0" w:color="auto"/>
      </w:divBdr>
      <w:divsChild>
        <w:div w:id="693578316">
          <w:marLeft w:val="0"/>
          <w:marRight w:val="0"/>
          <w:marTop w:val="0"/>
          <w:marBottom w:val="0"/>
          <w:divBdr>
            <w:top w:val="none" w:sz="0" w:space="0" w:color="auto"/>
            <w:left w:val="none" w:sz="0" w:space="0" w:color="auto"/>
            <w:bottom w:val="none" w:sz="0" w:space="0" w:color="auto"/>
            <w:right w:val="none" w:sz="0" w:space="0" w:color="auto"/>
          </w:divBdr>
        </w:div>
      </w:divsChild>
    </w:div>
    <w:div w:id="1078284594">
      <w:marLeft w:val="0"/>
      <w:marRight w:val="0"/>
      <w:marTop w:val="0"/>
      <w:marBottom w:val="0"/>
      <w:divBdr>
        <w:top w:val="none" w:sz="0" w:space="0" w:color="auto"/>
        <w:left w:val="none" w:sz="0" w:space="0" w:color="auto"/>
        <w:bottom w:val="none" w:sz="0" w:space="0" w:color="auto"/>
        <w:right w:val="none" w:sz="0" w:space="0" w:color="auto"/>
      </w:divBdr>
    </w:div>
    <w:div w:id="1149596829">
      <w:marLeft w:val="0"/>
      <w:marRight w:val="0"/>
      <w:marTop w:val="0"/>
      <w:marBottom w:val="0"/>
      <w:divBdr>
        <w:top w:val="none" w:sz="0" w:space="0" w:color="auto"/>
        <w:left w:val="none" w:sz="0" w:space="0" w:color="auto"/>
        <w:bottom w:val="none" w:sz="0" w:space="0" w:color="auto"/>
        <w:right w:val="none" w:sz="0" w:space="0" w:color="auto"/>
      </w:divBdr>
    </w:div>
    <w:div w:id="1213152528">
      <w:marLeft w:val="0"/>
      <w:marRight w:val="0"/>
      <w:marTop w:val="0"/>
      <w:marBottom w:val="0"/>
      <w:divBdr>
        <w:top w:val="none" w:sz="0" w:space="0" w:color="auto"/>
        <w:left w:val="none" w:sz="0" w:space="0" w:color="auto"/>
        <w:bottom w:val="none" w:sz="0" w:space="0" w:color="auto"/>
        <w:right w:val="none" w:sz="0" w:space="0" w:color="auto"/>
      </w:divBdr>
    </w:div>
    <w:div w:id="1259633897">
      <w:marLeft w:val="0"/>
      <w:marRight w:val="0"/>
      <w:marTop w:val="0"/>
      <w:marBottom w:val="0"/>
      <w:divBdr>
        <w:top w:val="none" w:sz="0" w:space="0" w:color="auto"/>
        <w:left w:val="none" w:sz="0" w:space="0" w:color="auto"/>
        <w:bottom w:val="none" w:sz="0" w:space="0" w:color="auto"/>
        <w:right w:val="none" w:sz="0" w:space="0" w:color="auto"/>
      </w:divBdr>
    </w:div>
    <w:div w:id="1521553637">
      <w:marLeft w:val="0"/>
      <w:marRight w:val="0"/>
      <w:marTop w:val="0"/>
      <w:marBottom w:val="0"/>
      <w:divBdr>
        <w:top w:val="none" w:sz="0" w:space="0" w:color="auto"/>
        <w:left w:val="none" w:sz="0" w:space="0" w:color="auto"/>
        <w:bottom w:val="none" w:sz="0" w:space="0" w:color="auto"/>
        <w:right w:val="none" w:sz="0" w:space="0" w:color="auto"/>
      </w:divBdr>
    </w:div>
    <w:div w:id="2003311039">
      <w:marLeft w:val="0"/>
      <w:marRight w:val="0"/>
      <w:marTop w:val="0"/>
      <w:marBottom w:val="0"/>
      <w:divBdr>
        <w:top w:val="none" w:sz="0" w:space="0" w:color="auto"/>
        <w:left w:val="none" w:sz="0" w:space="0" w:color="auto"/>
        <w:bottom w:val="none" w:sz="0" w:space="0" w:color="auto"/>
        <w:right w:val="none" w:sz="0" w:space="0" w:color="auto"/>
      </w:divBdr>
    </w:div>
    <w:div w:id="2022005131">
      <w:marLeft w:val="0"/>
      <w:marRight w:val="0"/>
      <w:marTop w:val="0"/>
      <w:marBottom w:val="0"/>
      <w:divBdr>
        <w:top w:val="none" w:sz="0" w:space="0" w:color="auto"/>
        <w:left w:val="none" w:sz="0" w:space="0" w:color="auto"/>
        <w:bottom w:val="none" w:sz="0" w:space="0" w:color="auto"/>
        <w:right w:val="none" w:sz="0" w:space="0" w:color="auto"/>
      </w:divBdr>
      <w:divsChild>
        <w:div w:id="1992249102">
          <w:marLeft w:val="0"/>
          <w:marRight w:val="0"/>
          <w:marTop w:val="0"/>
          <w:marBottom w:val="0"/>
          <w:divBdr>
            <w:top w:val="none" w:sz="0" w:space="0" w:color="auto"/>
            <w:left w:val="none" w:sz="0" w:space="0" w:color="auto"/>
            <w:bottom w:val="none" w:sz="0" w:space="0" w:color="auto"/>
            <w:right w:val="none" w:sz="0" w:space="0" w:color="auto"/>
          </w:divBdr>
          <w:divsChild>
            <w:div w:id="17900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63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2123F-EEC0-4322-A92B-99705110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Melody.Ling@FA</cp:lastModifiedBy>
  <cp:revision>6</cp:revision>
  <dcterms:created xsi:type="dcterms:W3CDTF">2025-07-14T11:56:00Z</dcterms:created>
  <dcterms:modified xsi:type="dcterms:W3CDTF">2025-07-18T08:53:00Z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