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摩根阿尔法混合型证券投资基金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基金托管人：中国建设银行股份有限公司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摩根阿尔法混合</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377010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2005</w:t>
            </w:r>
            <w:r w:rsidRPr="00B27A29">
              <w:rPr>
                <w:rFonts w:eastAsiaTheme="minorEastAsia"/>
                <w:color w:val="000000" w:themeColor="text1"/>
                <w:kern w:val="0"/>
                <w:szCs w:val="21"/>
              </w:rPr>
              <w:t>年</w:t>
            </w:r>
            <w:r w:rsidRPr="00B27A29">
              <w:rPr>
                <w:rFonts w:eastAsiaTheme="minorEastAsia"/>
                <w:color w:val="000000" w:themeColor="text1"/>
                <w:kern w:val="0"/>
                <w:szCs w:val="21"/>
              </w:rPr>
              <w:t>10</w:t>
            </w:r>
            <w:r w:rsidRPr="00B27A29">
              <w:rPr>
                <w:rFonts w:eastAsiaTheme="minorEastAsia"/>
                <w:color w:val="000000" w:themeColor="text1"/>
                <w:kern w:val="0"/>
                <w:szCs w:val="21"/>
              </w:rPr>
              <w:t>月</w:t>
            </w:r>
            <w:r w:rsidRPr="00B27A29">
              <w:rPr>
                <w:rFonts w:eastAsiaTheme="minorEastAsia"/>
                <w:color w:val="000000" w:themeColor="text1"/>
                <w:kern w:val="0"/>
                <w:szCs w:val="21"/>
              </w:rPr>
              <w:t>11</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216,952,488.19</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本基金采用哑铃式投资技术</w:t>
            </w:r>
            <w:r w:rsidRPr="00B27A29">
              <w:rPr>
                <w:rFonts w:eastAsiaTheme="minorEastAsia"/>
                <w:color w:val="000000" w:themeColor="text1"/>
                <w:kern w:val="0"/>
                <w:szCs w:val="21"/>
              </w:rPr>
              <w:t>(Barbell Approach)</w:t>
            </w:r>
            <w:r w:rsidRPr="00B27A29">
              <w:rPr>
                <w:rFonts w:eastAsiaTheme="minorEastAsia"/>
                <w:color w:val="000000" w:themeColor="text1"/>
                <w:kern w:val="0"/>
                <w:szCs w:val="21"/>
              </w:rPr>
              <w:t>，同步以</w:t>
            </w:r>
            <w:r w:rsidRPr="00B27A29">
              <w:rPr>
                <w:rFonts w:eastAsiaTheme="minorEastAsia"/>
                <w:color w:val="000000" w:themeColor="text1"/>
                <w:kern w:val="0"/>
                <w:szCs w:val="21"/>
              </w:rPr>
              <w:t>“</w:t>
            </w:r>
            <w:r w:rsidRPr="00B27A29">
              <w:rPr>
                <w:rFonts w:eastAsiaTheme="minorEastAsia"/>
                <w:color w:val="000000" w:themeColor="text1"/>
                <w:kern w:val="0"/>
                <w:szCs w:val="21"/>
              </w:rPr>
              <w:t>成长</w:t>
            </w:r>
            <w:r w:rsidRPr="00B27A29">
              <w:rPr>
                <w:rFonts w:eastAsiaTheme="minorEastAsia"/>
                <w:color w:val="000000" w:themeColor="text1"/>
                <w:kern w:val="0"/>
                <w:szCs w:val="21"/>
              </w:rPr>
              <w:t>”</w:t>
            </w:r>
            <w:r w:rsidRPr="00B27A29">
              <w:rPr>
                <w:rFonts w:eastAsiaTheme="minorEastAsia"/>
                <w:color w:val="000000" w:themeColor="text1"/>
                <w:kern w:val="0"/>
                <w:szCs w:val="21"/>
              </w:rPr>
              <w:t>与</w:t>
            </w:r>
            <w:r w:rsidRPr="00B27A29">
              <w:rPr>
                <w:rFonts w:eastAsiaTheme="minorEastAsia"/>
                <w:color w:val="000000" w:themeColor="text1"/>
                <w:kern w:val="0"/>
                <w:szCs w:val="21"/>
              </w:rPr>
              <w:t>“</w:t>
            </w:r>
            <w:r w:rsidRPr="00B27A29">
              <w:rPr>
                <w:rFonts w:eastAsiaTheme="minorEastAsia"/>
                <w:color w:val="000000" w:themeColor="text1"/>
                <w:kern w:val="0"/>
                <w:szCs w:val="21"/>
              </w:rPr>
              <w:t>价值</w:t>
            </w:r>
            <w:r w:rsidRPr="00B27A29">
              <w:rPr>
                <w:rFonts w:eastAsiaTheme="minorEastAsia"/>
                <w:color w:val="000000" w:themeColor="text1"/>
                <w:kern w:val="0"/>
                <w:szCs w:val="21"/>
              </w:rPr>
              <w:t>”</w:t>
            </w:r>
            <w:r w:rsidRPr="00B27A29">
              <w:rPr>
                <w:rFonts w:eastAsiaTheme="minorEastAsia"/>
                <w:color w:val="000000" w:themeColor="text1"/>
                <w:kern w:val="0"/>
                <w:szCs w:val="21"/>
              </w:rPr>
              <w:t>双重量化指标进行股票选择。在基于由下而上的择股流程中，精选个股，纪律执行，构造出相对均衡的不同风格类资产组合。同时结合公司质量、行业布局、风险因子等深入分析，对资产配置进行适度调整，努力控制投资组合的市场适应性，以求多空环境中都能创造超越业绩基准的主动管理回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本基金充分借鉴摩根资产管理集团全球行之有效的投资理念和技术，依据中国资本市场的具体特征，引入集团在</w:t>
            </w:r>
            <w:r>
              <w:rPr>
                <w:rFonts w:eastAsiaTheme="minorEastAsia"/>
                <w:color w:val="000000" w:themeColor="text1"/>
                <w:kern w:val="0"/>
                <w:szCs w:val="21"/>
              </w:rPr>
              <w:lastRenderedPageBreak/>
              <w:t>海外市场成功运作的</w:t>
            </w:r>
            <w:r>
              <w:rPr>
                <w:rFonts w:eastAsiaTheme="minorEastAsia"/>
                <w:color w:val="000000" w:themeColor="text1"/>
                <w:kern w:val="0"/>
                <w:szCs w:val="21"/>
              </w:rPr>
              <w:t>“Dynamic Fund”</w:t>
            </w:r>
            <w:r>
              <w:rPr>
                <w:rFonts w:eastAsiaTheme="minorEastAsia"/>
                <w:color w:val="000000" w:themeColor="text1"/>
                <w:kern w:val="0"/>
                <w:szCs w:val="21"/>
              </w:rPr>
              <w:t>基金产品概念。具体而言，本基金将以量化指标分析为基础，通过严格的证券选择，积极构建并持续优化</w:t>
            </w:r>
            <w:r>
              <w:rPr>
                <w:rFonts w:eastAsiaTheme="minorEastAsia"/>
                <w:color w:val="000000" w:themeColor="text1"/>
                <w:kern w:val="0"/>
                <w:szCs w:val="21"/>
              </w:rPr>
              <w:t>“</w:t>
            </w:r>
            <w:r>
              <w:rPr>
                <w:rFonts w:eastAsiaTheme="minorEastAsia"/>
                <w:color w:val="000000" w:themeColor="text1"/>
                <w:kern w:val="0"/>
                <w:szCs w:val="21"/>
              </w:rPr>
              <w:t>哑铃式</w:t>
            </w:r>
            <w:r>
              <w:rPr>
                <w:rFonts w:eastAsiaTheme="minorEastAsia"/>
                <w:color w:val="000000" w:themeColor="text1"/>
                <w:kern w:val="0"/>
                <w:szCs w:val="21"/>
              </w:rPr>
              <w:t>”</w:t>
            </w:r>
            <w:r>
              <w:rPr>
                <w:rFonts w:eastAsiaTheme="minorEastAsia"/>
                <w:color w:val="000000" w:themeColor="text1"/>
                <w:kern w:val="0"/>
                <w:szCs w:val="21"/>
              </w:rPr>
              <w:t>资产组合，结合严密的风险监控，不断谋求超越业绩比较基准的稳定回报。</w:t>
            </w:r>
          </w:p>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、股票投资策略</w:t>
            </w:r>
          </w:p>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包括</w:t>
            </w:r>
            <w:r>
              <w:rPr>
                <w:rFonts w:eastAsiaTheme="minorEastAsia"/>
                <w:color w:val="000000" w:themeColor="text1"/>
                <w:kern w:val="0"/>
                <w:szCs w:val="21"/>
              </w:rPr>
              <w:t>1</w:t>
            </w:r>
            <w:r>
              <w:rPr>
                <w:rFonts w:eastAsiaTheme="minorEastAsia"/>
                <w:color w:val="000000" w:themeColor="text1"/>
                <w:kern w:val="0"/>
                <w:szCs w:val="21"/>
              </w:rPr>
              <w:t>）选取价值</w:t>
            </w:r>
            <w:r>
              <w:rPr>
                <w:rFonts w:eastAsiaTheme="minorEastAsia"/>
                <w:color w:val="000000" w:themeColor="text1"/>
                <w:kern w:val="0"/>
                <w:szCs w:val="21"/>
              </w:rPr>
              <w:t>/</w:t>
            </w:r>
            <w:r>
              <w:rPr>
                <w:rFonts w:eastAsiaTheme="minorEastAsia"/>
                <w:color w:val="000000" w:themeColor="text1"/>
                <w:kern w:val="0"/>
                <w:szCs w:val="21"/>
              </w:rPr>
              <w:t>成长因子、</w:t>
            </w:r>
            <w:r>
              <w:rPr>
                <w:rFonts w:eastAsiaTheme="minorEastAsia"/>
                <w:color w:val="000000" w:themeColor="text1"/>
                <w:kern w:val="0"/>
                <w:szCs w:val="21"/>
              </w:rPr>
              <w:t>2</w:t>
            </w:r>
            <w:r>
              <w:rPr>
                <w:rFonts w:eastAsiaTheme="minorEastAsia"/>
                <w:color w:val="000000" w:themeColor="text1"/>
                <w:kern w:val="0"/>
                <w:szCs w:val="21"/>
              </w:rPr>
              <w:t>）计算股票风格等级、</w:t>
            </w:r>
            <w:r>
              <w:rPr>
                <w:rFonts w:eastAsiaTheme="minorEastAsia"/>
                <w:color w:val="000000" w:themeColor="text1"/>
                <w:kern w:val="0"/>
                <w:szCs w:val="21"/>
              </w:rPr>
              <w:t>3</w:t>
            </w:r>
            <w:r>
              <w:rPr>
                <w:rFonts w:eastAsiaTheme="minorEastAsia"/>
                <w:color w:val="000000" w:themeColor="text1"/>
                <w:kern w:val="0"/>
                <w:szCs w:val="21"/>
              </w:rPr>
              <w:t>）创造主动管理报酬。</w:t>
            </w:r>
          </w:p>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、固定收益类投资策略</w:t>
            </w:r>
          </w:p>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本基金以股票投资为主，为控制股票投资风险，优化组合流动性管理，本基金会适度考虑配置防御性资产，进行债券、货币市场工具等品种的投资。</w:t>
            </w:r>
          </w:p>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、存托凭证投资策略</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本基金将根据本基金的投资目标和股票投资策略，基于对基础证券投资价值的深入研究判断，进行存托凭证的投资。</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沪深</w:t>
            </w:r>
            <w:r w:rsidRPr="00B27A29">
              <w:rPr>
                <w:rFonts w:eastAsiaTheme="minorEastAsia"/>
                <w:color w:val="000000" w:themeColor="text1"/>
                <w:kern w:val="0"/>
                <w:szCs w:val="21"/>
              </w:rPr>
              <w:t>300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×80%+</w:t>
            </w:r>
            <w:r w:rsidRPr="00B27A29">
              <w:rPr>
                <w:rFonts w:eastAsiaTheme="minorEastAsia"/>
                <w:color w:val="000000" w:themeColor="text1"/>
                <w:kern w:val="0"/>
                <w:szCs w:val="21"/>
              </w:rPr>
              <w:t>中债总指数收益率</w:t>
            </w:r>
            <w:r w:rsidRPr="00B27A29">
              <w:rPr>
                <w:rFonts w:eastAsiaTheme="minorEastAsia"/>
                <w:color w:val="000000" w:themeColor="text1"/>
                <w:kern w:val="0"/>
                <w:szCs w:val="21"/>
              </w:rPr>
              <w:t>×20%</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C11C95" w:rsidRDefault="005139BC">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本基金是混合型证券投资基金，预期收益及预期风险水平低于股票型基金，高于债券型基金和货币市场基金，属于较高预期收益和预期风险水平的投资品种。</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根据</w:t>
            </w:r>
            <w:r w:rsidRPr="00B27A29">
              <w:rPr>
                <w:rFonts w:eastAsiaTheme="minorEastAsia"/>
                <w:color w:val="000000" w:themeColor="text1"/>
                <w:kern w:val="0"/>
                <w:szCs w:val="21"/>
              </w:rPr>
              <w:t>2017</w:t>
            </w:r>
            <w:r w:rsidRPr="00B27A29">
              <w:rPr>
                <w:rFonts w:eastAsiaTheme="minorEastAsia"/>
                <w:color w:val="000000" w:themeColor="text1"/>
                <w:kern w:val="0"/>
                <w:szCs w:val="21"/>
              </w:rPr>
              <w:t>年</w:t>
            </w:r>
            <w:r w:rsidRPr="00B27A29">
              <w:rPr>
                <w:rFonts w:eastAsiaTheme="minorEastAsia"/>
                <w:color w:val="000000" w:themeColor="text1"/>
                <w:kern w:val="0"/>
                <w:szCs w:val="21"/>
              </w:rPr>
              <w:t>7</w:t>
            </w:r>
            <w:r w:rsidRPr="00B27A29">
              <w:rPr>
                <w:rFonts w:eastAsiaTheme="minorEastAsia"/>
                <w:color w:val="000000" w:themeColor="text1"/>
                <w:kern w:val="0"/>
                <w:szCs w:val="21"/>
              </w:rPr>
              <w:t>月</w:t>
            </w:r>
            <w:r w:rsidRPr="00B27A29">
              <w:rPr>
                <w:rFonts w:eastAsiaTheme="minorEastAsia"/>
                <w:color w:val="000000" w:themeColor="text1"/>
                <w:kern w:val="0"/>
                <w:szCs w:val="21"/>
              </w:rPr>
              <w:t>1</w:t>
            </w:r>
            <w:r w:rsidRPr="00B27A29">
              <w:rPr>
                <w:rFonts w:eastAsiaTheme="minorEastAsia"/>
                <w:color w:val="000000" w:themeColor="text1"/>
                <w:kern w:val="0"/>
                <w:szCs w:val="21"/>
              </w:rPr>
              <w:t>日施行的《证券期货投资者适当性管理办法》，基金管理人和相关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中国建设银行股份有限公司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lastRenderedPageBreak/>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377010</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015637</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216,816,358.22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136,129.97</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-23,423,768.08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-15,345.24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125,448.81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5,081.02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0.0006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0.0348</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763,370,528.10</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474,006.60</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3.5208</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3.4820</w:t>
            </w:r>
          </w:p>
        </w:tc>
      </w:tr>
    </w:tbl>
    <w:p w:rsidR="00C11C95" w:rsidRDefault="005139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1C95">
        <w:tc>
          <w:tcPr>
            <w:tcW w:w="1290" w:type="dxa"/>
            <w:vAlign w:val="center"/>
          </w:tcPr>
          <w:p w:rsidR="00C11C95" w:rsidRDefault="005139BC">
            <w:pPr>
              <w:jc w:val="left"/>
            </w:pPr>
            <w:r>
              <w:rPr>
                <w:rFonts w:eastAsiaTheme="minorEastAsia"/>
                <w:color w:val="000000" w:themeColor="text1"/>
                <w:szCs w:val="21"/>
              </w:rPr>
              <w:t>过去三个月</w:t>
            </w:r>
          </w:p>
        </w:tc>
        <w:tc>
          <w:tcPr>
            <w:tcW w:w="1291" w:type="dxa"/>
            <w:vAlign w:val="center"/>
          </w:tcPr>
          <w:p w:rsidR="00C11C95" w:rsidRDefault="005139BC">
            <w:pPr>
              <w:jc w:val="right"/>
            </w:pPr>
            <w:r>
              <w:rPr>
                <w:rFonts w:eastAsiaTheme="minorEastAsia"/>
                <w:color w:val="000000" w:themeColor="text1"/>
                <w:szCs w:val="21"/>
              </w:rPr>
              <w:t>0.03%</w:t>
            </w:r>
          </w:p>
        </w:tc>
        <w:tc>
          <w:tcPr>
            <w:tcW w:w="1291" w:type="dxa"/>
            <w:vAlign w:val="center"/>
          </w:tcPr>
          <w:p w:rsidR="00C11C95" w:rsidRDefault="005139BC">
            <w:pPr>
              <w:jc w:val="right"/>
            </w:pPr>
            <w:r>
              <w:rPr>
                <w:rFonts w:eastAsiaTheme="minorEastAsia"/>
                <w:color w:val="000000" w:themeColor="text1"/>
                <w:szCs w:val="21"/>
              </w:rPr>
              <w:t>1.44%</w:t>
            </w:r>
          </w:p>
        </w:tc>
        <w:tc>
          <w:tcPr>
            <w:tcW w:w="1291" w:type="dxa"/>
            <w:vAlign w:val="center"/>
          </w:tcPr>
          <w:p w:rsidR="00C11C95" w:rsidRDefault="005139BC">
            <w:pPr>
              <w:jc w:val="right"/>
            </w:pPr>
            <w:r>
              <w:rPr>
                <w:rFonts w:eastAsiaTheme="minorEastAsia"/>
                <w:color w:val="000000" w:themeColor="text1"/>
                <w:szCs w:val="21"/>
              </w:rPr>
              <w:t>2.73%</w:t>
            </w:r>
          </w:p>
        </w:tc>
        <w:tc>
          <w:tcPr>
            <w:tcW w:w="1291" w:type="dxa"/>
            <w:vAlign w:val="center"/>
          </w:tcPr>
          <w:p w:rsidR="00C11C95" w:rsidRDefault="005139BC">
            <w:pPr>
              <w:jc w:val="right"/>
            </w:pPr>
            <w:r>
              <w:rPr>
                <w:rFonts w:eastAsiaTheme="minorEastAsia"/>
                <w:color w:val="000000" w:themeColor="text1"/>
                <w:szCs w:val="21"/>
              </w:rPr>
              <w:t>0.82%</w:t>
            </w:r>
          </w:p>
        </w:tc>
        <w:tc>
          <w:tcPr>
            <w:tcW w:w="1291" w:type="dxa"/>
            <w:vAlign w:val="center"/>
          </w:tcPr>
          <w:p w:rsidR="00C11C95" w:rsidRDefault="005139BC">
            <w:pPr>
              <w:jc w:val="right"/>
            </w:pPr>
            <w:r>
              <w:rPr>
                <w:rFonts w:eastAsiaTheme="minorEastAsia"/>
                <w:color w:val="000000" w:themeColor="text1"/>
                <w:szCs w:val="21"/>
              </w:rPr>
              <w:t>-2.70%</w:t>
            </w:r>
          </w:p>
        </w:tc>
        <w:tc>
          <w:tcPr>
            <w:tcW w:w="1291" w:type="dxa"/>
            <w:vAlign w:val="center"/>
          </w:tcPr>
          <w:p w:rsidR="00C11C95" w:rsidRDefault="005139BC">
            <w:pPr>
              <w:jc w:val="right"/>
            </w:pPr>
            <w:r>
              <w:rPr>
                <w:rFonts w:eastAsiaTheme="minorEastAsia"/>
                <w:color w:val="000000" w:themeColor="text1"/>
                <w:szCs w:val="21"/>
              </w:rPr>
              <w:t>0.62%</w:t>
            </w:r>
          </w:p>
        </w:tc>
      </w:tr>
      <w:tr w:rsidR="00C11C95">
        <w:tc>
          <w:tcPr>
            <w:tcW w:w="1290" w:type="dxa"/>
            <w:vAlign w:val="center"/>
          </w:tcPr>
          <w:p w:rsidR="00C11C95" w:rsidRDefault="005139BC">
            <w:pPr>
              <w:jc w:val="left"/>
            </w:pPr>
            <w:r>
              <w:rPr>
                <w:rFonts w:eastAsiaTheme="minorEastAsia"/>
                <w:color w:val="000000" w:themeColor="text1"/>
                <w:szCs w:val="21"/>
              </w:rPr>
              <w:t>过去六个月</w:t>
            </w:r>
          </w:p>
        </w:tc>
        <w:tc>
          <w:tcPr>
            <w:tcW w:w="1291" w:type="dxa"/>
            <w:vAlign w:val="center"/>
          </w:tcPr>
          <w:p w:rsidR="00C11C95" w:rsidRDefault="005139BC">
            <w:pPr>
              <w:jc w:val="right"/>
            </w:pPr>
            <w:r>
              <w:rPr>
                <w:rFonts w:eastAsiaTheme="minorEastAsia"/>
                <w:color w:val="000000" w:themeColor="text1"/>
                <w:szCs w:val="21"/>
              </w:rPr>
              <w:t>-10.45%</w:t>
            </w:r>
          </w:p>
        </w:tc>
        <w:tc>
          <w:tcPr>
            <w:tcW w:w="1291" w:type="dxa"/>
            <w:vAlign w:val="center"/>
          </w:tcPr>
          <w:p w:rsidR="00C11C95" w:rsidRDefault="005139BC">
            <w:pPr>
              <w:jc w:val="right"/>
            </w:pPr>
            <w:r>
              <w:rPr>
                <w:rFonts w:eastAsiaTheme="minorEastAsia"/>
                <w:color w:val="000000" w:themeColor="text1"/>
                <w:szCs w:val="21"/>
              </w:rPr>
              <w:t>1.27%</w:t>
            </w:r>
          </w:p>
        </w:tc>
        <w:tc>
          <w:tcPr>
            <w:tcW w:w="1291" w:type="dxa"/>
            <w:vAlign w:val="center"/>
          </w:tcPr>
          <w:p w:rsidR="00C11C95" w:rsidRDefault="005139BC">
            <w:pPr>
              <w:jc w:val="right"/>
            </w:pPr>
            <w:r>
              <w:rPr>
                <w:rFonts w:eastAsiaTheme="minorEastAsia"/>
                <w:color w:val="000000" w:themeColor="text1"/>
                <w:szCs w:val="21"/>
              </w:rPr>
              <w:t>-2.88%</w:t>
            </w:r>
          </w:p>
        </w:tc>
        <w:tc>
          <w:tcPr>
            <w:tcW w:w="1291" w:type="dxa"/>
            <w:vAlign w:val="center"/>
          </w:tcPr>
          <w:p w:rsidR="00C11C95" w:rsidRDefault="005139BC">
            <w:pPr>
              <w:jc w:val="right"/>
            </w:pPr>
            <w:r>
              <w:rPr>
                <w:rFonts w:eastAsiaTheme="minorEastAsia"/>
                <w:color w:val="000000" w:themeColor="text1"/>
                <w:szCs w:val="21"/>
              </w:rPr>
              <w:t>0.73%</w:t>
            </w:r>
          </w:p>
        </w:tc>
        <w:tc>
          <w:tcPr>
            <w:tcW w:w="1291" w:type="dxa"/>
            <w:vAlign w:val="center"/>
          </w:tcPr>
          <w:p w:rsidR="00C11C95" w:rsidRDefault="005139BC">
            <w:pPr>
              <w:jc w:val="right"/>
            </w:pPr>
            <w:r>
              <w:rPr>
                <w:rFonts w:eastAsiaTheme="minorEastAsia"/>
                <w:color w:val="000000" w:themeColor="text1"/>
                <w:szCs w:val="21"/>
              </w:rPr>
              <w:t>-7.57%</w:t>
            </w:r>
          </w:p>
        </w:tc>
        <w:tc>
          <w:tcPr>
            <w:tcW w:w="1291" w:type="dxa"/>
            <w:vAlign w:val="center"/>
          </w:tcPr>
          <w:p w:rsidR="00C11C95" w:rsidRDefault="005139BC">
            <w:pPr>
              <w:jc w:val="right"/>
            </w:pPr>
            <w:r>
              <w:rPr>
                <w:rFonts w:eastAsiaTheme="minorEastAsia"/>
                <w:color w:val="000000" w:themeColor="text1"/>
                <w:szCs w:val="21"/>
              </w:rPr>
              <w:t>0.54%</w:t>
            </w:r>
          </w:p>
        </w:tc>
      </w:tr>
      <w:tr w:rsidR="00C11C95">
        <w:tc>
          <w:tcPr>
            <w:tcW w:w="1290" w:type="dxa"/>
            <w:vAlign w:val="center"/>
          </w:tcPr>
          <w:p w:rsidR="00C11C95" w:rsidRDefault="005139BC">
            <w:pPr>
              <w:jc w:val="left"/>
            </w:pPr>
            <w:r>
              <w:rPr>
                <w:rFonts w:eastAsiaTheme="minorEastAsia"/>
                <w:color w:val="000000" w:themeColor="text1"/>
                <w:szCs w:val="21"/>
              </w:rPr>
              <w:t>过去一年</w:t>
            </w:r>
          </w:p>
        </w:tc>
        <w:tc>
          <w:tcPr>
            <w:tcW w:w="1291" w:type="dxa"/>
            <w:vAlign w:val="center"/>
          </w:tcPr>
          <w:p w:rsidR="00C11C95" w:rsidRDefault="005139BC">
            <w:pPr>
              <w:jc w:val="right"/>
            </w:pPr>
            <w:r>
              <w:rPr>
                <w:rFonts w:eastAsiaTheme="minorEastAsia"/>
                <w:color w:val="000000" w:themeColor="text1"/>
                <w:szCs w:val="21"/>
              </w:rPr>
              <w:t>-23.56%</w:t>
            </w:r>
          </w:p>
        </w:tc>
        <w:tc>
          <w:tcPr>
            <w:tcW w:w="1291" w:type="dxa"/>
            <w:vAlign w:val="center"/>
          </w:tcPr>
          <w:p w:rsidR="00C11C95" w:rsidRDefault="005139BC">
            <w:pPr>
              <w:jc w:val="right"/>
            </w:pPr>
            <w:r>
              <w:rPr>
                <w:rFonts w:eastAsiaTheme="minorEastAsia"/>
                <w:color w:val="000000" w:themeColor="text1"/>
                <w:szCs w:val="21"/>
              </w:rPr>
              <w:t>1.24%</w:t>
            </w:r>
          </w:p>
        </w:tc>
        <w:tc>
          <w:tcPr>
            <w:tcW w:w="1291" w:type="dxa"/>
            <w:vAlign w:val="center"/>
          </w:tcPr>
          <w:p w:rsidR="00C11C95" w:rsidRDefault="005139BC">
            <w:pPr>
              <w:jc w:val="right"/>
            </w:pPr>
            <w:r>
              <w:rPr>
                <w:rFonts w:eastAsiaTheme="minorEastAsia"/>
                <w:color w:val="000000" w:themeColor="text1"/>
                <w:szCs w:val="21"/>
              </w:rPr>
              <w:t>-9.52%</w:t>
            </w:r>
          </w:p>
        </w:tc>
        <w:tc>
          <w:tcPr>
            <w:tcW w:w="1291" w:type="dxa"/>
            <w:vAlign w:val="center"/>
          </w:tcPr>
          <w:p w:rsidR="00C11C95" w:rsidRDefault="005139BC">
            <w:pPr>
              <w:jc w:val="right"/>
            </w:pPr>
            <w:r>
              <w:rPr>
                <w:rFonts w:eastAsiaTheme="minorEastAsia"/>
                <w:color w:val="000000" w:themeColor="text1"/>
                <w:szCs w:val="21"/>
              </w:rPr>
              <w:t>0.71%</w:t>
            </w:r>
          </w:p>
        </w:tc>
        <w:tc>
          <w:tcPr>
            <w:tcW w:w="1291" w:type="dxa"/>
            <w:vAlign w:val="center"/>
          </w:tcPr>
          <w:p w:rsidR="00C11C95" w:rsidRDefault="005139BC">
            <w:pPr>
              <w:jc w:val="right"/>
            </w:pPr>
            <w:r>
              <w:rPr>
                <w:rFonts w:eastAsiaTheme="minorEastAsia"/>
                <w:color w:val="000000" w:themeColor="text1"/>
                <w:szCs w:val="21"/>
              </w:rPr>
              <w:t>-14.04%</w:t>
            </w:r>
          </w:p>
        </w:tc>
        <w:tc>
          <w:tcPr>
            <w:tcW w:w="1291" w:type="dxa"/>
            <w:vAlign w:val="center"/>
          </w:tcPr>
          <w:p w:rsidR="00C11C95" w:rsidRDefault="005139BC">
            <w:pPr>
              <w:jc w:val="right"/>
            </w:pPr>
            <w:r>
              <w:rPr>
                <w:rFonts w:eastAsiaTheme="minorEastAsia"/>
                <w:color w:val="000000" w:themeColor="text1"/>
                <w:szCs w:val="21"/>
              </w:rPr>
              <w:t>0.53%</w:t>
            </w:r>
          </w:p>
        </w:tc>
      </w:tr>
      <w:tr w:rsidR="00C11C95">
        <w:tc>
          <w:tcPr>
            <w:tcW w:w="1290" w:type="dxa"/>
            <w:vAlign w:val="center"/>
          </w:tcPr>
          <w:p w:rsidR="00C11C95" w:rsidRDefault="005139BC">
            <w:pPr>
              <w:jc w:val="left"/>
            </w:pPr>
            <w:r>
              <w:rPr>
                <w:rFonts w:eastAsiaTheme="minorEastAsia"/>
                <w:color w:val="000000" w:themeColor="text1"/>
                <w:szCs w:val="21"/>
              </w:rPr>
              <w:t>过去三年</w:t>
            </w:r>
          </w:p>
        </w:tc>
        <w:tc>
          <w:tcPr>
            <w:tcW w:w="1291" w:type="dxa"/>
            <w:vAlign w:val="center"/>
          </w:tcPr>
          <w:p w:rsidR="00C11C95" w:rsidRDefault="005139BC">
            <w:pPr>
              <w:jc w:val="right"/>
            </w:pPr>
            <w:r>
              <w:rPr>
                <w:rFonts w:eastAsiaTheme="minorEastAsia"/>
                <w:color w:val="000000" w:themeColor="text1"/>
                <w:szCs w:val="21"/>
              </w:rPr>
              <w:t>-37.33%</w:t>
            </w:r>
          </w:p>
        </w:tc>
        <w:tc>
          <w:tcPr>
            <w:tcW w:w="1291" w:type="dxa"/>
            <w:vAlign w:val="center"/>
          </w:tcPr>
          <w:p w:rsidR="00C11C95" w:rsidRDefault="005139BC">
            <w:pPr>
              <w:jc w:val="right"/>
            </w:pPr>
            <w:r>
              <w:rPr>
                <w:rFonts w:eastAsiaTheme="minorEastAsia"/>
                <w:color w:val="000000" w:themeColor="text1"/>
                <w:szCs w:val="21"/>
              </w:rPr>
              <w:t>1.19%</w:t>
            </w:r>
          </w:p>
        </w:tc>
        <w:tc>
          <w:tcPr>
            <w:tcW w:w="1291" w:type="dxa"/>
            <w:vAlign w:val="center"/>
          </w:tcPr>
          <w:p w:rsidR="00C11C95" w:rsidRDefault="005139BC">
            <w:pPr>
              <w:jc w:val="right"/>
            </w:pPr>
            <w:r>
              <w:rPr>
                <w:rFonts w:eastAsiaTheme="minorEastAsia"/>
                <w:color w:val="000000" w:themeColor="text1"/>
                <w:szCs w:val="21"/>
              </w:rPr>
              <w:t>-22.80%</w:t>
            </w:r>
          </w:p>
        </w:tc>
        <w:tc>
          <w:tcPr>
            <w:tcW w:w="1291" w:type="dxa"/>
            <w:vAlign w:val="center"/>
          </w:tcPr>
          <w:p w:rsidR="00C11C95" w:rsidRDefault="005139BC">
            <w:pPr>
              <w:jc w:val="right"/>
            </w:pPr>
            <w:r>
              <w:rPr>
                <w:rFonts w:eastAsiaTheme="minorEastAsia"/>
                <w:color w:val="000000" w:themeColor="text1"/>
                <w:szCs w:val="21"/>
              </w:rPr>
              <w:t>0.85%</w:t>
            </w:r>
          </w:p>
        </w:tc>
        <w:tc>
          <w:tcPr>
            <w:tcW w:w="1291" w:type="dxa"/>
            <w:vAlign w:val="center"/>
          </w:tcPr>
          <w:p w:rsidR="00C11C95" w:rsidRDefault="005139BC">
            <w:pPr>
              <w:jc w:val="right"/>
            </w:pPr>
            <w:r>
              <w:rPr>
                <w:rFonts w:eastAsiaTheme="minorEastAsia"/>
                <w:color w:val="000000" w:themeColor="text1"/>
                <w:szCs w:val="21"/>
              </w:rPr>
              <w:t>-14.53%</w:t>
            </w:r>
          </w:p>
        </w:tc>
        <w:tc>
          <w:tcPr>
            <w:tcW w:w="1291" w:type="dxa"/>
            <w:vAlign w:val="center"/>
          </w:tcPr>
          <w:p w:rsidR="00C11C95" w:rsidRDefault="005139BC">
            <w:pPr>
              <w:jc w:val="right"/>
            </w:pPr>
            <w:r>
              <w:rPr>
                <w:rFonts w:eastAsiaTheme="minorEastAsia"/>
                <w:color w:val="000000" w:themeColor="text1"/>
                <w:szCs w:val="21"/>
              </w:rPr>
              <w:t>0.34%</w:t>
            </w:r>
          </w:p>
        </w:tc>
      </w:tr>
      <w:tr w:rsidR="00C11C95">
        <w:tc>
          <w:tcPr>
            <w:tcW w:w="1290" w:type="dxa"/>
            <w:vAlign w:val="center"/>
          </w:tcPr>
          <w:p w:rsidR="00C11C95" w:rsidRDefault="005139BC">
            <w:pPr>
              <w:jc w:val="left"/>
            </w:pPr>
            <w:r>
              <w:rPr>
                <w:rFonts w:eastAsiaTheme="minorEastAsia"/>
                <w:color w:val="000000" w:themeColor="text1"/>
                <w:szCs w:val="21"/>
              </w:rPr>
              <w:t>过去五年</w:t>
            </w:r>
          </w:p>
        </w:tc>
        <w:tc>
          <w:tcPr>
            <w:tcW w:w="1291" w:type="dxa"/>
            <w:vAlign w:val="center"/>
          </w:tcPr>
          <w:p w:rsidR="00C11C95" w:rsidRDefault="005139BC">
            <w:pPr>
              <w:jc w:val="right"/>
            </w:pPr>
            <w:r>
              <w:rPr>
                <w:rFonts w:eastAsiaTheme="minorEastAsia"/>
                <w:color w:val="000000" w:themeColor="text1"/>
                <w:szCs w:val="21"/>
              </w:rPr>
              <w:t>25.53%</w:t>
            </w:r>
          </w:p>
        </w:tc>
        <w:tc>
          <w:tcPr>
            <w:tcW w:w="1291" w:type="dxa"/>
            <w:vAlign w:val="center"/>
          </w:tcPr>
          <w:p w:rsidR="00C11C95" w:rsidRDefault="005139BC">
            <w:pPr>
              <w:jc w:val="right"/>
            </w:pPr>
            <w:r>
              <w:rPr>
                <w:rFonts w:eastAsiaTheme="minorEastAsia"/>
                <w:color w:val="000000" w:themeColor="text1"/>
                <w:szCs w:val="21"/>
              </w:rPr>
              <w:t>1.25%</w:t>
            </w:r>
          </w:p>
        </w:tc>
        <w:tc>
          <w:tcPr>
            <w:tcW w:w="1291" w:type="dxa"/>
            <w:vAlign w:val="center"/>
          </w:tcPr>
          <w:p w:rsidR="00C11C95" w:rsidRDefault="005139BC">
            <w:pPr>
              <w:jc w:val="right"/>
            </w:pPr>
            <w:r>
              <w:rPr>
                <w:rFonts w:eastAsiaTheme="minorEastAsia"/>
                <w:color w:val="000000" w:themeColor="text1"/>
                <w:szCs w:val="21"/>
              </w:rPr>
              <w:t>-5.66%</w:t>
            </w:r>
          </w:p>
        </w:tc>
        <w:tc>
          <w:tcPr>
            <w:tcW w:w="1291" w:type="dxa"/>
            <w:vAlign w:val="center"/>
          </w:tcPr>
          <w:p w:rsidR="00C11C95" w:rsidRDefault="005139BC">
            <w:pPr>
              <w:jc w:val="right"/>
            </w:pPr>
            <w:r>
              <w:rPr>
                <w:rFonts w:eastAsiaTheme="minorEastAsia"/>
                <w:color w:val="000000" w:themeColor="text1"/>
                <w:szCs w:val="21"/>
              </w:rPr>
              <w:t>0.94%</w:t>
            </w:r>
          </w:p>
        </w:tc>
        <w:tc>
          <w:tcPr>
            <w:tcW w:w="1291" w:type="dxa"/>
            <w:vAlign w:val="center"/>
          </w:tcPr>
          <w:p w:rsidR="00C11C95" w:rsidRDefault="005139BC">
            <w:pPr>
              <w:jc w:val="right"/>
            </w:pPr>
            <w:r>
              <w:rPr>
                <w:rFonts w:eastAsiaTheme="minorEastAsia"/>
                <w:color w:val="000000" w:themeColor="text1"/>
                <w:szCs w:val="21"/>
              </w:rPr>
              <w:t>31.19%</w:t>
            </w:r>
          </w:p>
        </w:tc>
        <w:tc>
          <w:tcPr>
            <w:tcW w:w="1291" w:type="dxa"/>
            <w:vAlign w:val="center"/>
          </w:tcPr>
          <w:p w:rsidR="00C11C95" w:rsidRDefault="005139BC">
            <w:pPr>
              <w:jc w:val="right"/>
            </w:pPr>
            <w:r>
              <w:rPr>
                <w:rFonts w:eastAsiaTheme="minorEastAsia"/>
                <w:color w:val="000000" w:themeColor="text1"/>
                <w:szCs w:val="21"/>
              </w:rPr>
              <w:t>0.31%</w:t>
            </w:r>
          </w:p>
        </w:tc>
      </w:tr>
      <w:tr w:rsidR="00C11C95">
        <w:tc>
          <w:tcPr>
            <w:tcW w:w="1290" w:type="dxa"/>
            <w:vAlign w:val="center"/>
          </w:tcPr>
          <w:p w:rsidR="00C11C95" w:rsidRDefault="005139BC">
            <w:pPr>
              <w:jc w:val="left"/>
            </w:pPr>
            <w:r>
              <w:rPr>
                <w:rFonts w:eastAsiaTheme="minorEastAsia"/>
                <w:color w:val="000000" w:themeColor="text1"/>
                <w:szCs w:val="21"/>
              </w:rPr>
              <w:lastRenderedPageBreak/>
              <w:t>自基金合同生效起至今</w:t>
            </w:r>
          </w:p>
        </w:tc>
        <w:tc>
          <w:tcPr>
            <w:tcW w:w="1291" w:type="dxa"/>
            <w:vAlign w:val="center"/>
          </w:tcPr>
          <w:p w:rsidR="00C11C95" w:rsidRDefault="005139BC">
            <w:pPr>
              <w:jc w:val="right"/>
            </w:pPr>
            <w:r>
              <w:rPr>
                <w:rFonts w:eastAsiaTheme="minorEastAsia"/>
                <w:color w:val="000000" w:themeColor="text1"/>
                <w:szCs w:val="21"/>
              </w:rPr>
              <w:t>487.05%</w:t>
            </w:r>
          </w:p>
        </w:tc>
        <w:tc>
          <w:tcPr>
            <w:tcW w:w="1291" w:type="dxa"/>
            <w:vAlign w:val="center"/>
          </w:tcPr>
          <w:p w:rsidR="00C11C95" w:rsidRDefault="005139BC">
            <w:pPr>
              <w:jc w:val="right"/>
            </w:pPr>
            <w:r>
              <w:rPr>
                <w:rFonts w:eastAsiaTheme="minorEastAsia"/>
                <w:color w:val="000000" w:themeColor="text1"/>
                <w:szCs w:val="21"/>
              </w:rPr>
              <w:t>1.55%</w:t>
            </w:r>
          </w:p>
        </w:tc>
        <w:tc>
          <w:tcPr>
            <w:tcW w:w="1291" w:type="dxa"/>
            <w:vAlign w:val="center"/>
          </w:tcPr>
          <w:p w:rsidR="00C11C95" w:rsidRDefault="005139BC">
            <w:pPr>
              <w:jc w:val="right"/>
            </w:pPr>
            <w:r>
              <w:rPr>
                <w:rFonts w:eastAsiaTheme="minorEastAsia"/>
                <w:color w:val="000000" w:themeColor="text1"/>
                <w:szCs w:val="21"/>
              </w:rPr>
              <w:t>266.95%</w:t>
            </w:r>
          </w:p>
        </w:tc>
        <w:tc>
          <w:tcPr>
            <w:tcW w:w="1291" w:type="dxa"/>
            <w:vAlign w:val="center"/>
          </w:tcPr>
          <w:p w:rsidR="00C11C95" w:rsidRDefault="005139BC">
            <w:pPr>
              <w:jc w:val="right"/>
            </w:pPr>
            <w:r>
              <w:rPr>
                <w:rFonts w:eastAsiaTheme="minorEastAsia"/>
                <w:color w:val="000000" w:themeColor="text1"/>
                <w:szCs w:val="21"/>
              </w:rPr>
              <w:t>1.30%</w:t>
            </w:r>
          </w:p>
        </w:tc>
        <w:tc>
          <w:tcPr>
            <w:tcW w:w="1291" w:type="dxa"/>
            <w:vAlign w:val="center"/>
          </w:tcPr>
          <w:p w:rsidR="00C11C95" w:rsidRDefault="005139BC">
            <w:pPr>
              <w:jc w:val="right"/>
            </w:pPr>
            <w:r>
              <w:rPr>
                <w:rFonts w:eastAsiaTheme="minorEastAsia"/>
                <w:color w:val="000000" w:themeColor="text1"/>
                <w:szCs w:val="21"/>
              </w:rPr>
              <w:t>220.10%</w:t>
            </w:r>
          </w:p>
        </w:tc>
        <w:tc>
          <w:tcPr>
            <w:tcW w:w="1291" w:type="dxa"/>
            <w:vAlign w:val="center"/>
          </w:tcPr>
          <w:p w:rsidR="00C11C95" w:rsidRDefault="005139BC">
            <w:pPr>
              <w:jc w:val="right"/>
            </w:pPr>
            <w:r>
              <w:rPr>
                <w:rFonts w:eastAsiaTheme="minorEastAsia"/>
                <w:color w:val="000000" w:themeColor="text1"/>
                <w:szCs w:val="21"/>
              </w:rPr>
              <w:t>0.25%</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摩根阿尔法混合</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C11C95">
        <w:tc>
          <w:tcPr>
            <w:tcW w:w="1290" w:type="dxa"/>
            <w:vAlign w:val="center"/>
          </w:tcPr>
          <w:p w:rsidR="00C11C95" w:rsidRDefault="005139BC">
            <w:pPr>
              <w:jc w:val="left"/>
            </w:pPr>
            <w:r>
              <w:rPr>
                <w:rFonts w:eastAsiaTheme="minorEastAsia"/>
                <w:color w:val="000000" w:themeColor="text1"/>
                <w:szCs w:val="21"/>
              </w:rPr>
              <w:t>过去三个月</w:t>
            </w:r>
          </w:p>
        </w:tc>
        <w:tc>
          <w:tcPr>
            <w:tcW w:w="1291" w:type="dxa"/>
            <w:vAlign w:val="center"/>
          </w:tcPr>
          <w:p w:rsidR="00C11C95" w:rsidRDefault="005139BC">
            <w:pPr>
              <w:jc w:val="right"/>
            </w:pPr>
            <w:r>
              <w:rPr>
                <w:rFonts w:eastAsiaTheme="minorEastAsia"/>
                <w:color w:val="000000" w:themeColor="text1"/>
                <w:szCs w:val="21"/>
              </w:rPr>
              <w:t>-0.12%</w:t>
            </w:r>
          </w:p>
        </w:tc>
        <w:tc>
          <w:tcPr>
            <w:tcW w:w="1291" w:type="dxa"/>
            <w:vAlign w:val="center"/>
          </w:tcPr>
          <w:p w:rsidR="00C11C95" w:rsidRDefault="005139BC">
            <w:pPr>
              <w:jc w:val="right"/>
            </w:pPr>
            <w:r>
              <w:rPr>
                <w:rFonts w:eastAsiaTheme="minorEastAsia"/>
                <w:color w:val="000000" w:themeColor="text1"/>
                <w:szCs w:val="21"/>
              </w:rPr>
              <w:t>1.44%</w:t>
            </w:r>
          </w:p>
        </w:tc>
        <w:tc>
          <w:tcPr>
            <w:tcW w:w="1291" w:type="dxa"/>
            <w:vAlign w:val="center"/>
          </w:tcPr>
          <w:p w:rsidR="00C11C95" w:rsidRDefault="005139BC">
            <w:pPr>
              <w:jc w:val="right"/>
            </w:pPr>
            <w:r>
              <w:rPr>
                <w:rFonts w:eastAsiaTheme="minorEastAsia"/>
                <w:color w:val="000000" w:themeColor="text1"/>
                <w:szCs w:val="21"/>
              </w:rPr>
              <w:t>2.73%</w:t>
            </w:r>
          </w:p>
        </w:tc>
        <w:tc>
          <w:tcPr>
            <w:tcW w:w="1291" w:type="dxa"/>
            <w:vAlign w:val="center"/>
          </w:tcPr>
          <w:p w:rsidR="00C11C95" w:rsidRDefault="005139BC">
            <w:pPr>
              <w:jc w:val="right"/>
            </w:pPr>
            <w:r>
              <w:rPr>
                <w:rFonts w:eastAsiaTheme="minorEastAsia"/>
                <w:color w:val="000000" w:themeColor="text1"/>
                <w:szCs w:val="21"/>
              </w:rPr>
              <w:t>0.82%</w:t>
            </w:r>
          </w:p>
        </w:tc>
        <w:tc>
          <w:tcPr>
            <w:tcW w:w="1291" w:type="dxa"/>
            <w:vAlign w:val="center"/>
          </w:tcPr>
          <w:p w:rsidR="00C11C95" w:rsidRDefault="005139BC">
            <w:pPr>
              <w:jc w:val="right"/>
            </w:pPr>
            <w:r>
              <w:rPr>
                <w:rFonts w:eastAsiaTheme="minorEastAsia"/>
                <w:color w:val="000000" w:themeColor="text1"/>
                <w:szCs w:val="21"/>
              </w:rPr>
              <w:t>-2.85%</w:t>
            </w:r>
          </w:p>
        </w:tc>
        <w:tc>
          <w:tcPr>
            <w:tcW w:w="1291" w:type="dxa"/>
            <w:vAlign w:val="center"/>
          </w:tcPr>
          <w:p w:rsidR="00C11C95" w:rsidRDefault="005139BC">
            <w:pPr>
              <w:jc w:val="right"/>
            </w:pPr>
            <w:r>
              <w:rPr>
                <w:rFonts w:eastAsiaTheme="minorEastAsia"/>
                <w:color w:val="000000" w:themeColor="text1"/>
                <w:szCs w:val="21"/>
              </w:rPr>
              <w:t>0.62%</w:t>
            </w:r>
          </w:p>
        </w:tc>
      </w:tr>
      <w:tr w:rsidR="00C11C95">
        <w:tc>
          <w:tcPr>
            <w:tcW w:w="1290" w:type="dxa"/>
            <w:vAlign w:val="center"/>
          </w:tcPr>
          <w:p w:rsidR="00C11C95" w:rsidRDefault="005139BC">
            <w:pPr>
              <w:jc w:val="left"/>
            </w:pPr>
            <w:r>
              <w:rPr>
                <w:rFonts w:eastAsiaTheme="minorEastAsia"/>
                <w:color w:val="000000" w:themeColor="text1"/>
                <w:szCs w:val="21"/>
              </w:rPr>
              <w:t>过去六个月</w:t>
            </w:r>
          </w:p>
        </w:tc>
        <w:tc>
          <w:tcPr>
            <w:tcW w:w="1291" w:type="dxa"/>
            <w:vAlign w:val="center"/>
          </w:tcPr>
          <w:p w:rsidR="00C11C95" w:rsidRDefault="005139BC">
            <w:pPr>
              <w:jc w:val="right"/>
            </w:pPr>
            <w:r>
              <w:rPr>
                <w:rFonts w:eastAsiaTheme="minorEastAsia"/>
                <w:color w:val="000000" w:themeColor="text1"/>
                <w:szCs w:val="21"/>
              </w:rPr>
              <w:t>-10.72%</w:t>
            </w:r>
          </w:p>
        </w:tc>
        <w:tc>
          <w:tcPr>
            <w:tcW w:w="1291" w:type="dxa"/>
            <w:vAlign w:val="center"/>
          </w:tcPr>
          <w:p w:rsidR="00C11C95" w:rsidRDefault="005139BC">
            <w:pPr>
              <w:jc w:val="right"/>
            </w:pPr>
            <w:r>
              <w:rPr>
                <w:rFonts w:eastAsiaTheme="minorEastAsia"/>
                <w:color w:val="000000" w:themeColor="text1"/>
                <w:szCs w:val="21"/>
              </w:rPr>
              <w:t>1.27%</w:t>
            </w:r>
          </w:p>
        </w:tc>
        <w:tc>
          <w:tcPr>
            <w:tcW w:w="1291" w:type="dxa"/>
            <w:vAlign w:val="center"/>
          </w:tcPr>
          <w:p w:rsidR="00C11C95" w:rsidRDefault="005139BC">
            <w:pPr>
              <w:jc w:val="right"/>
            </w:pPr>
            <w:r>
              <w:rPr>
                <w:rFonts w:eastAsiaTheme="minorEastAsia"/>
                <w:color w:val="000000" w:themeColor="text1"/>
                <w:szCs w:val="21"/>
              </w:rPr>
              <w:t>-2.88%</w:t>
            </w:r>
          </w:p>
        </w:tc>
        <w:tc>
          <w:tcPr>
            <w:tcW w:w="1291" w:type="dxa"/>
            <w:vAlign w:val="center"/>
          </w:tcPr>
          <w:p w:rsidR="00C11C95" w:rsidRDefault="005139BC">
            <w:pPr>
              <w:jc w:val="right"/>
            </w:pPr>
            <w:r>
              <w:rPr>
                <w:rFonts w:eastAsiaTheme="minorEastAsia"/>
                <w:color w:val="000000" w:themeColor="text1"/>
                <w:szCs w:val="21"/>
              </w:rPr>
              <w:t>0.73%</w:t>
            </w:r>
          </w:p>
        </w:tc>
        <w:tc>
          <w:tcPr>
            <w:tcW w:w="1291" w:type="dxa"/>
            <w:vAlign w:val="center"/>
          </w:tcPr>
          <w:p w:rsidR="00C11C95" w:rsidRDefault="005139BC">
            <w:pPr>
              <w:jc w:val="right"/>
            </w:pPr>
            <w:r>
              <w:rPr>
                <w:rFonts w:eastAsiaTheme="minorEastAsia"/>
                <w:color w:val="000000" w:themeColor="text1"/>
                <w:szCs w:val="21"/>
              </w:rPr>
              <w:t>-7.84%</w:t>
            </w:r>
          </w:p>
        </w:tc>
        <w:tc>
          <w:tcPr>
            <w:tcW w:w="1291" w:type="dxa"/>
            <w:vAlign w:val="center"/>
          </w:tcPr>
          <w:p w:rsidR="00C11C95" w:rsidRDefault="005139BC">
            <w:pPr>
              <w:jc w:val="right"/>
            </w:pPr>
            <w:r>
              <w:rPr>
                <w:rFonts w:eastAsiaTheme="minorEastAsia"/>
                <w:color w:val="000000" w:themeColor="text1"/>
                <w:szCs w:val="21"/>
              </w:rPr>
              <w:t>0.54%</w:t>
            </w:r>
          </w:p>
        </w:tc>
      </w:tr>
      <w:tr w:rsidR="00C11C95">
        <w:tc>
          <w:tcPr>
            <w:tcW w:w="1290" w:type="dxa"/>
            <w:vAlign w:val="center"/>
          </w:tcPr>
          <w:p w:rsidR="00C11C95" w:rsidRDefault="005139BC">
            <w:pPr>
              <w:jc w:val="left"/>
            </w:pPr>
            <w:r>
              <w:rPr>
                <w:rFonts w:eastAsiaTheme="minorEastAsia"/>
                <w:color w:val="000000" w:themeColor="text1"/>
                <w:szCs w:val="21"/>
              </w:rPr>
              <w:t>过去一年</w:t>
            </w:r>
          </w:p>
        </w:tc>
        <w:tc>
          <w:tcPr>
            <w:tcW w:w="1291" w:type="dxa"/>
            <w:vAlign w:val="center"/>
          </w:tcPr>
          <w:p w:rsidR="00C11C95" w:rsidRDefault="005139BC">
            <w:pPr>
              <w:jc w:val="right"/>
            </w:pPr>
            <w:r>
              <w:rPr>
                <w:rFonts w:eastAsiaTheme="minorEastAsia"/>
                <w:color w:val="000000" w:themeColor="text1"/>
                <w:szCs w:val="21"/>
              </w:rPr>
              <w:t>-24.02%</w:t>
            </w:r>
          </w:p>
        </w:tc>
        <w:tc>
          <w:tcPr>
            <w:tcW w:w="1291" w:type="dxa"/>
            <w:vAlign w:val="center"/>
          </w:tcPr>
          <w:p w:rsidR="00C11C95" w:rsidRDefault="005139BC">
            <w:pPr>
              <w:jc w:val="right"/>
            </w:pPr>
            <w:r>
              <w:rPr>
                <w:rFonts w:eastAsiaTheme="minorEastAsia"/>
                <w:color w:val="000000" w:themeColor="text1"/>
                <w:szCs w:val="21"/>
              </w:rPr>
              <w:t>1.24%</w:t>
            </w:r>
          </w:p>
        </w:tc>
        <w:tc>
          <w:tcPr>
            <w:tcW w:w="1291" w:type="dxa"/>
            <w:vAlign w:val="center"/>
          </w:tcPr>
          <w:p w:rsidR="00C11C95" w:rsidRDefault="005139BC">
            <w:pPr>
              <w:jc w:val="right"/>
            </w:pPr>
            <w:r>
              <w:rPr>
                <w:rFonts w:eastAsiaTheme="minorEastAsia"/>
                <w:color w:val="000000" w:themeColor="text1"/>
                <w:szCs w:val="21"/>
              </w:rPr>
              <w:t>-9.52%</w:t>
            </w:r>
          </w:p>
        </w:tc>
        <w:tc>
          <w:tcPr>
            <w:tcW w:w="1291" w:type="dxa"/>
            <w:vAlign w:val="center"/>
          </w:tcPr>
          <w:p w:rsidR="00C11C95" w:rsidRDefault="005139BC">
            <w:pPr>
              <w:jc w:val="right"/>
            </w:pPr>
            <w:r>
              <w:rPr>
                <w:rFonts w:eastAsiaTheme="minorEastAsia"/>
                <w:color w:val="000000" w:themeColor="text1"/>
                <w:szCs w:val="21"/>
              </w:rPr>
              <w:t>0.71%</w:t>
            </w:r>
          </w:p>
        </w:tc>
        <w:tc>
          <w:tcPr>
            <w:tcW w:w="1291" w:type="dxa"/>
            <w:vAlign w:val="center"/>
          </w:tcPr>
          <w:p w:rsidR="00C11C95" w:rsidRDefault="005139BC">
            <w:pPr>
              <w:jc w:val="right"/>
            </w:pPr>
            <w:r>
              <w:rPr>
                <w:rFonts w:eastAsiaTheme="minorEastAsia"/>
                <w:color w:val="000000" w:themeColor="text1"/>
                <w:szCs w:val="21"/>
              </w:rPr>
              <w:t>-14.50%</w:t>
            </w:r>
          </w:p>
        </w:tc>
        <w:tc>
          <w:tcPr>
            <w:tcW w:w="1291" w:type="dxa"/>
            <w:vAlign w:val="center"/>
          </w:tcPr>
          <w:p w:rsidR="00C11C95" w:rsidRDefault="005139BC">
            <w:pPr>
              <w:jc w:val="right"/>
            </w:pPr>
            <w:r>
              <w:rPr>
                <w:rFonts w:eastAsiaTheme="minorEastAsia"/>
                <w:color w:val="000000" w:themeColor="text1"/>
                <w:szCs w:val="21"/>
              </w:rPr>
              <w:t>0.53%</w:t>
            </w:r>
          </w:p>
        </w:tc>
      </w:tr>
      <w:tr w:rsidR="00C11C95">
        <w:tc>
          <w:tcPr>
            <w:tcW w:w="1290" w:type="dxa"/>
            <w:vAlign w:val="center"/>
          </w:tcPr>
          <w:p w:rsidR="00C11C95" w:rsidRDefault="005139BC">
            <w:pPr>
              <w:jc w:val="left"/>
            </w:pPr>
            <w:r>
              <w:rPr>
                <w:rFonts w:eastAsiaTheme="minorEastAsia"/>
                <w:color w:val="000000" w:themeColor="text1"/>
                <w:szCs w:val="21"/>
              </w:rPr>
              <w:t>过去三年</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r>
      <w:tr w:rsidR="00C11C95">
        <w:tc>
          <w:tcPr>
            <w:tcW w:w="1290" w:type="dxa"/>
            <w:vAlign w:val="center"/>
          </w:tcPr>
          <w:p w:rsidR="00C11C95" w:rsidRDefault="005139BC">
            <w:pPr>
              <w:jc w:val="left"/>
            </w:pPr>
            <w:r>
              <w:rPr>
                <w:rFonts w:eastAsiaTheme="minorEastAsia"/>
                <w:color w:val="000000" w:themeColor="text1"/>
                <w:szCs w:val="21"/>
              </w:rPr>
              <w:t>过去五年</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c>
          <w:tcPr>
            <w:tcW w:w="1291" w:type="dxa"/>
            <w:vAlign w:val="center"/>
          </w:tcPr>
          <w:p w:rsidR="00C11C95" w:rsidRDefault="005139BC">
            <w:pPr>
              <w:jc w:val="right"/>
            </w:pPr>
            <w:r>
              <w:rPr>
                <w:rFonts w:eastAsiaTheme="minorEastAsia"/>
                <w:color w:val="000000" w:themeColor="text1"/>
                <w:szCs w:val="21"/>
              </w:rPr>
              <w:t>-</w:t>
            </w:r>
          </w:p>
        </w:tc>
      </w:tr>
      <w:tr w:rsidR="00C11C95">
        <w:tc>
          <w:tcPr>
            <w:tcW w:w="1290" w:type="dxa"/>
            <w:vAlign w:val="center"/>
          </w:tcPr>
          <w:p w:rsidR="00C11C95" w:rsidRDefault="005139BC">
            <w:pPr>
              <w:jc w:val="left"/>
            </w:pPr>
            <w:r>
              <w:rPr>
                <w:rFonts w:eastAsiaTheme="minorEastAsia"/>
                <w:color w:val="000000" w:themeColor="text1"/>
                <w:szCs w:val="21"/>
              </w:rPr>
              <w:t>自基金合同生效起至今</w:t>
            </w:r>
          </w:p>
        </w:tc>
        <w:tc>
          <w:tcPr>
            <w:tcW w:w="1291" w:type="dxa"/>
            <w:vAlign w:val="center"/>
          </w:tcPr>
          <w:p w:rsidR="00C11C95" w:rsidRDefault="005139BC">
            <w:pPr>
              <w:jc w:val="right"/>
            </w:pPr>
            <w:r>
              <w:rPr>
                <w:rFonts w:eastAsiaTheme="minorEastAsia"/>
                <w:color w:val="000000" w:themeColor="text1"/>
                <w:szCs w:val="21"/>
              </w:rPr>
              <w:t>-22.97%</w:t>
            </w:r>
          </w:p>
        </w:tc>
        <w:tc>
          <w:tcPr>
            <w:tcW w:w="1291" w:type="dxa"/>
            <w:vAlign w:val="center"/>
          </w:tcPr>
          <w:p w:rsidR="00C11C95" w:rsidRDefault="005139BC">
            <w:pPr>
              <w:jc w:val="right"/>
            </w:pPr>
            <w:r>
              <w:rPr>
                <w:rFonts w:eastAsiaTheme="minorEastAsia"/>
                <w:color w:val="000000" w:themeColor="text1"/>
                <w:szCs w:val="21"/>
              </w:rPr>
              <w:t>1.20%</w:t>
            </w:r>
          </w:p>
        </w:tc>
        <w:tc>
          <w:tcPr>
            <w:tcW w:w="1291" w:type="dxa"/>
            <w:vAlign w:val="center"/>
          </w:tcPr>
          <w:p w:rsidR="00C11C95" w:rsidRDefault="005139BC">
            <w:pPr>
              <w:jc w:val="right"/>
            </w:pPr>
            <w:r>
              <w:rPr>
                <w:rFonts w:eastAsiaTheme="minorEastAsia"/>
                <w:color w:val="000000" w:themeColor="text1"/>
                <w:szCs w:val="21"/>
              </w:rPr>
              <w:t>-7.17%</w:t>
            </w:r>
          </w:p>
        </w:tc>
        <w:tc>
          <w:tcPr>
            <w:tcW w:w="1291" w:type="dxa"/>
            <w:vAlign w:val="center"/>
          </w:tcPr>
          <w:p w:rsidR="00C11C95" w:rsidRDefault="005139BC">
            <w:pPr>
              <w:jc w:val="right"/>
            </w:pPr>
            <w:r>
              <w:rPr>
                <w:rFonts w:eastAsiaTheme="minorEastAsia"/>
                <w:color w:val="000000" w:themeColor="text1"/>
                <w:szCs w:val="21"/>
              </w:rPr>
              <w:t>0.77%</w:t>
            </w:r>
          </w:p>
        </w:tc>
        <w:tc>
          <w:tcPr>
            <w:tcW w:w="1291" w:type="dxa"/>
            <w:vAlign w:val="center"/>
          </w:tcPr>
          <w:p w:rsidR="00C11C95" w:rsidRDefault="005139BC">
            <w:pPr>
              <w:jc w:val="right"/>
            </w:pPr>
            <w:r>
              <w:rPr>
                <w:rFonts w:eastAsiaTheme="minorEastAsia"/>
                <w:color w:val="000000" w:themeColor="text1"/>
                <w:szCs w:val="21"/>
              </w:rPr>
              <w:t>-15.80%</w:t>
            </w:r>
          </w:p>
        </w:tc>
        <w:tc>
          <w:tcPr>
            <w:tcW w:w="1291" w:type="dxa"/>
            <w:vAlign w:val="center"/>
          </w:tcPr>
          <w:p w:rsidR="00C11C95" w:rsidRDefault="005139BC">
            <w:pPr>
              <w:jc w:val="right"/>
            </w:pPr>
            <w:r>
              <w:rPr>
                <w:rFonts w:eastAsiaTheme="minorEastAsia"/>
                <w:color w:val="000000" w:themeColor="text1"/>
                <w:szCs w:val="21"/>
              </w:rPr>
              <w:t>0.43%</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摩根阿尔法混合型证券投资基金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(2005</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10</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11</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．摩根阿尔法混合</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2005</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w:t>
      </w:r>
      <w:r>
        <w:rPr>
          <w:rFonts w:eastAsiaTheme="minorEastAsia"/>
          <w:color w:val="000000" w:themeColor="text1"/>
          <w:szCs w:val="21"/>
        </w:rPr>
        <w:t>11</w:t>
      </w:r>
      <w:r>
        <w:rPr>
          <w:rFonts w:eastAsiaTheme="minorEastAsia"/>
          <w:color w:val="000000" w:themeColor="text1"/>
          <w:szCs w:val="21"/>
        </w:rPr>
        <w:t>日，图示的时间段为合同生效日至本报告期末。</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w:t>
      </w:r>
      <w:r>
        <w:rPr>
          <w:rFonts w:eastAsiaTheme="minorEastAsia"/>
          <w:color w:val="000000" w:themeColor="text1"/>
          <w:szCs w:val="21"/>
        </w:rPr>
        <w:lastRenderedPageBreak/>
        <w:t>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．摩根阿尔法混合</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139BC">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2093BC6A" wp14:editId="5EAFEA86">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注：本基金自</w:t>
      </w:r>
      <w:r>
        <w:rPr>
          <w:rFonts w:eastAsiaTheme="minorEastAsia"/>
          <w:color w:val="000000" w:themeColor="text1"/>
          <w:szCs w:val="21"/>
        </w:rPr>
        <w:t xml:space="preserve"> 2022</w:t>
      </w:r>
      <w:r>
        <w:rPr>
          <w:rFonts w:eastAsiaTheme="minorEastAsia"/>
          <w:color w:val="000000" w:themeColor="text1"/>
          <w:szCs w:val="21"/>
        </w:rPr>
        <w:t>年</w:t>
      </w:r>
      <w:r>
        <w:rPr>
          <w:rFonts w:eastAsiaTheme="minorEastAsia"/>
          <w:color w:val="000000" w:themeColor="text1"/>
          <w:szCs w:val="21"/>
        </w:rPr>
        <w:t>5</w:t>
      </w:r>
      <w:r>
        <w:rPr>
          <w:rFonts w:eastAsiaTheme="minorEastAsia"/>
          <w:color w:val="000000" w:themeColor="text1"/>
          <w:szCs w:val="21"/>
        </w:rPr>
        <w:t>月</w:t>
      </w:r>
      <w:r>
        <w:rPr>
          <w:rFonts w:eastAsiaTheme="minorEastAsia"/>
          <w:color w:val="000000" w:themeColor="text1"/>
          <w:szCs w:val="21"/>
        </w:rPr>
        <w:t>6</w:t>
      </w:r>
      <w:r>
        <w:rPr>
          <w:rFonts w:eastAsiaTheme="minorEastAsia"/>
          <w:color w:val="000000" w:themeColor="text1"/>
          <w:szCs w:val="21"/>
        </w:rPr>
        <w:t>日起增加</w:t>
      </w:r>
      <w:r>
        <w:rPr>
          <w:rFonts w:eastAsiaTheme="minorEastAsia"/>
          <w:color w:val="000000" w:themeColor="text1"/>
          <w:szCs w:val="21"/>
        </w:rPr>
        <w:t>C</w:t>
      </w:r>
      <w:r>
        <w:rPr>
          <w:rFonts w:eastAsiaTheme="minorEastAsia"/>
          <w:color w:val="000000" w:themeColor="text1"/>
          <w:szCs w:val="21"/>
        </w:rPr>
        <w:t>类份额，相关数据按实际存续期计算。</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本基金建仓期为本基金合同生效日起</w:t>
      </w:r>
      <w:r>
        <w:rPr>
          <w:rFonts w:eastAsiaTheme="minorEastAsia"/>
          <w:color w:val="000000" w:themeColor="text1"/>
          <w:szCs w:val="21"/>
        </w:rPr>
        <w:t>6</w:t>
      </w:r>
      <w:r>
        <w:rPr>
          <w:rFonts w:eastAsiaTheme="minorEastAsia"/>
          <w:color w:val="000000" w:themeColor="text1"/>
          <w:szCs w:val="21"/>
        </w:rPr>
        <w:t>个月，建仓期结束时资产配置比例符合本基金基金合同规定。</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本基金自</w:t>
      </w:r>
      <w:r w:rsidRPr="00B27A29">
        <w:rPr>
          <w:rFonts w:eastAsiaTheme="minorEastAsia"/>
          <w:color w:val="000000" w:themeColor="text1"/>
          <w:szCs w:val="21"/>
        </w:rPr>
        <w:t>2013</w:t>
      </w:r>
      <w:r w:rsidRPr="00B27A29">
        <w:rPr>
          <w:rFonts w:eastAsiaTheme="minorEastAsia"/>
          <w:color w:val="000000" w:themeColor="text1"/>
          <w:szCs w:val="21"/>
        </w:rPr>
        <w:t>年</w:t>
      </w:r>
      <w:r w:rsidRPr="00B27A29">
        <w:rPr>
          <w:rFonts w:eastAsiaTheme="minorEastAsia"/>
          <w:color w:val="000000" w:themeColor="text1"/>
          <w:szCs w:val="21"/>
        </w:rPr>
        <w:t>12</w:t>
      </w:r>
      <w:r w:rsidRPr="00B27A29">
        <w:rPr>
          <w:rFonts w:eastAsiaTheme="minorEastAsia"/>
          <w:color w:val="000000" w:themeColor="text1"/>
          <w:szCs w:val="21"/>
        </w:rPr>
        <w:t>月</w:t>
      </w:r>
      <w:r w:rsidRPr="00B27A29">
        <w:rPr>
          <w:rFonts w:eastAsiaTheme="minorEastAsia"/>
          <w:color w:val="000000" w:themeColor="text1"/>
          <w:szCs w:val="21"/>
        </w:rPr>
        <w:t>7</w:t>
      </w:r>
      <w:r w:rsidRPr="00B27A29">
        <w:rPr>
          <w:rFonts w:eastAsiaTheme="minorEastAsia"/>
          <w:color w:val="000000" w:themeColor="text1"/>
          <w:szCs w:val="21"/>
        </w:rPr>
        <w:t>日起，将基金业绩比较基准由</w:t>
      </w:r>
      <w:r w:rsidRPr="00B27A29">
        <w:rPr>
          <w:rFonts w:eastAsiaTheme="minorEastAsia"/>
          <w:color w:val="000000" w:themeColor="text1"/>
          <w:szCs w:val="21"/>
        </w:rPr>
        <w:t>“</w:t>
      </w:r>
      <w:r w:rsidRPr="00B27A29">
        <w:rPr>
          <w:rFonts w:eastAsiaTheme="minorEastAsia"/>
          <w:color w:val="000000" w:themeColor="text1"/>
          <w:szCs w:val="21"/>
        </w:rPr>
        <w:t>富时中国</w:t>
      </w:r>
      <w:r w:rsidRPr="00B27A29">
        <w:rPr>
          <w:rFonts w:eastAsiaTheme="minorEastAsia"/>
          <w:color w:val="000000" w:themeColor="text1"/>
          <w:szCs w:val="21"/>
        </w:rPr>
        <w:t>A</w:t>
      </w:r>
      <w:r w:rsidRPr="00B27A29">
        <w:rPr>
          <w:rFonts w:eastAsiaTheme="minorEastAsia"/>
          <w:color w:val="000000" w:themeColor="text1"/>
          <w:szCs w:val="21"/>
        </w:rPr>
        <w:t>全指</w:t>
      </w:r>
      <w:r w:rsidRPr="00B27A29">
        <w:rPr>
          <w:rFonts w:eastAsiaTheme="minorEastAsia"/>
          <w:color w:val="000000" w:themeColor="text1"/>
          <w:szCs w:val="21"/>
        </w:rPr>
        <w:t>×80%+</w:t>
      </w:r>
      <w:r w:rsidRPr="00B27A29">
        <w:rPr>
          <w:rFonts w:eastAsiaTheme="minorEastAsia"/>
          <w:color w:val="000000" w:themeColor="text1"/>
          <w:szCs w:val="21"/>
        </w:rPr>
        <w:t>同业存款利率</w:t>
      </w:r>
      <w:r w:rsidRPr="00B27A29">
        <w:rPr>
          <w:rFonts w:eastAsiaTheme="minorEastAsia"/>
          <w:color w:val="000000" w:themeColor="text1"/>
          <w:szCs w:val="21"/>
        </w:rPr>
        <w:t>×20%”</w:t>
      </w:r>
      <w:r w:rsidRPr="00B27A29">
        <w:rPr>
          <w:rFonts w:eastAsiaTheme="minorEastAsia"/>
          <w:color w:val="000000" w:themeColor="text1"/>
          <w:szCs w:val="21"/>
        </w:rPr>
        <w:t>变更为</w:t>
      </w:r>
      <w:r w:rsidRPr="00B27A29">
        <w:rPr>
          <w:rFonts w:eastAsiaTheme="minorEastAsia"/>
          <w:color w:val="000000" w:themeColor="text1"/>
          <w:szCs w:val="21"/>
        </w:rPr>
        <w:t>"</w:t>
      </w:r>
      <w:r w:rsidRPr="00B27A29">
        <w:rPr>
          <w:rFonts w:eastAsiaTheme="minorEastAsia"/>
          <w:color w:val="000000" w:themeColor="text1"/>
          <w:szCs w:val="21"/>
        </w:rPr>
        <w:t>沪深</w:t>
      </w:r>
      <w:r w:rsidRPr="00B27A29">
        <w:rPr>
          <w:rFonts w:eastAsiaTheme="minorEastAsia"/>
          <w:color w:val="000000" w:themeColor="text1"/>
          <w:szCs w:val="21"/>
        </w:rPr>
        <w:t>300</w:t>
      </w:r>
      <w:r w:rsidRPr="00B27A29">
        <w:rPr>
          <w:rFonts w:eastAsiaTheme="minorEastAsia"/>
          <w:color w:val="000000" w:themeColor="text1"/>
          <w:szCs w:val="21"/>
        </w:rPr>
        <w:t>指数收益率</w:t>
      </w:r>
      <w:r w:rsidRPr="00B27A29">
        <w:rPr>
          <w:rFonts w:eastAsiaTheme="minorEastAsia"/>
          <w:color w:val="000000" w:themeColor="text1"/>
          <w:szCs w:val="21"/>
        </w:rPr>
        <w:t>×80%+</w:t>
      </w:r>
      <w:r w:rsidRPr="00B27A29">
        <w:rPr>
          <w:rFonts w:eastAsiaTheme="minorEastAsia"/>
          <w:color w:val="000000" w:themeColor="text1"/>
          <w:szCs w:val="21"/>
        </w:rPr>
        <w:t>中债总指数收益率</w:t>
      </w:r>
      <w:r w:rsidRPr="00B27A29">
        <w:rPr>
          <w:rFonts w:eastAsiaTheme="minorEastAsia"/>
          <w:color w:val="000000" w:themeColor="text1"/>
          <w:szCs w:val="21"/>
        </w:rPr>
        <w:t>×20%”</w:t>
      </w:r>
      <w:r w:rsidRPr="00B27A29">
        <w:rPr>
          <w:rFonts w:eastAsiaTheme="minorEastAsia"/>
          <w:color w:val="000000" w:themeColor="text1"/>
          <w:szCs w:val="21"/>
        </w:rPr>
        <w:t>。</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C11C95">
        <w:tc>
          <w:tcPr>
            <w:tcW w:w="952" w:type="dxa"/>
            <w:vAlign w:val="center"/>
          </w:tcPr>
          <w:p w:rsidR="00C11C95" w:rsidRDefault="005139BC">
            <w:pPr>
              <w:jc w:val="center"/>
            </w:pPr>
            <w:r>
              <w:rPr>
                <w:rFonts w:eastAsiaTheme="minorEastAsia"/>
                <w:color w:val="000000" w:themeColor="text1"/>
                <w:szCs w:val="21"/>
              </w:rPr>
              <w:t>李博</w:t>
            </w:r>
          </w:p>
        </w:tc>
        <w:tc>
          <w:tcPr>
            <w:tcW w:w="930" w:type="dxa"/>
            <w:vAlign w:val="center"/>
          </w:tcPr>
          <w:p w:rsidR="00C11C95" w:rsidRDefault="005139BC">
            <w:pPr>
              <w:jc w:val="center"/>
            </w:pPr>
            <w:r>
              <w:rPr>
                <w:rFonts w:eastAsiaTheme="minorEastAsia"/>
                <w:color w:val="000000" w:themeColor="text1"/>
                <w:szCs w:val="21"/>
              </w:rPr>
              <w:t>本基金基金经理</w:t>
            </w:r>
          </w:p>
        </w:tc>
        <w:tc>
          <w:tcPr>
            <w:tcW w:w="1210" w:type="dxa"/>
            <w:vAlign w:val="center"/>
          </w:tcPr>
          <w:p w:rsidR="00C11C95" w:rsidRDefault="005139BC">
            <w:pPr>
              <w:jc w:val="center"/>
            </w:pPr>
            <w:r>
              <w:rPr>
                <w:rFonts w:eastAsiaTheme="minorEastAsia"/>
                <w:color w:val="000000" w:themeColor="text1"/>
                <w:szCs w:val="21"/>
              </w:rPr>
              <w:t>2015-09-18</w:t>
            </w:r>
          </w:p>
        </w:tc>
        <w:tc>
          <w:tcPr>
            <w:tcW w:w="1309" w:type="dxa"/>
            <w:vAlign w:val="center"/>
          </w:tcPr>
          <w:p w:rsidR="00C11C95" w:rsidRDefault="005139BC">
            <w:pPr>
              <w:jc w:val="center"/>
            </w:pPr>
            <w:r>
              <w:rPr>
                <w:rFonts w:eastAsiaTheme="minorEastAsia"/>
                <w:color w:val="000000" w:themeColor="text1"/>
                <w:szCs w:val="21"/>
              </w:rPr>
              <w:t>-</w:t>
            </w:r>
          </w:p>
        </w:tc>
        <w:tc>
          <w:tcPr>
            <w:tcW w:w="1254" w:type="dxa"/>
            <w:vAlign w:val="center"/>
          </w:tcPr>
          <w:p w:rsidR="00C11C95" w:rsidRDefault="005139BC">
            <w:pPr>
              <w:jc w:val="center"/>
            </w:pPr>
            <w:r>
              <w:rPr>
                <w:rFonts w:eastAsiaTheme="minorEastAsia"/>
                <w:color w:val="000000" w:themeColor="text1"/>
                <w:szCs w:val="21"/>
              </w:rPr>
              <w:t>15</w:t>
            </w:r>
            <w:r>
              <w:rPr>
                <w:rFonts w:eastAsiaTheme="minorEastAsia"/>
                <w:color w:val="000000" w:themeColor="text1"/>
                <w:szCs w:val="21"/>
              </w:rPr>
              <w:t>年</w:t>
            </w:r>
          </w:p>
        </w:tc>
        <w:tc>
          <w:tcPr>
            <w:tcW w:w="3276" w:type="dxa"/>
            <w:vAlign w:val="center"/>
          </w:tcPr>
          <w:p w:rsidR="00C11C95" w:rsidRDefault="005139BC">
            <w:r>
              <w:rPr>
                <w:rFonts w:eastAsiaTheme="minorEastAsia"/>
                <w:color w:val="000000" w:themeColor="text1"/>
                <w:szCs w:val="21"/>
              </w:rPr>
              <w:t>李博先生曾任中银国际证券有限公司研究员。</w:t>
            </w:r>
            <w:r>
              <w:rPr>
                <w:rFonts w:eastAsiaTheme="minorEastAsia"/>
                <w:color w:val="000000" w:themeColor="text1"/>
                <w:szCs w:val="21"/>
              </w:rPr>
              <w:t>2010</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月起加入摩根基金管理（中国）有限公司（原</w:t>
            </w:r>
            <w:r>
              <w:rPr>
                <w:rFonts w:eastAsiaTheme="minorEastAsia"/>
                <w:color w:val="000000" w:themeColor="text1"/>
                <w:szCs w:val="21"/>
              </w:rPr>
              <w:lastRenderedPageBreak/>
              <w:t>上投摩根基金管理有限公司），历任行业专家、基金经理，现任国内权益投资部价值成长组组长兼资深基金经理。</w:t>
            </w:r>
          </w:p>
        </w:tc>
      </w:tr>
    </w:tbl>
    <w:p w:rsidR="00C11C95" w:rsidRDefault="005139BC">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lastRenderedPageBreak/>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证券从业的含义遵从行业协会《证券业从业人员资格管理办法》的相关规定。</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所有投资组合参与的交易所公开竞价同日反向交易成交较少的单边交易量超过该证券当日成交量的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一季度，市场结构差异较大，主要指数涨跌互现，沪深</w:t>
      </w:r>
      <w:r>
        <w:rPr>
          <w:rFonts w:eastAsiaTheme="minorEastAsia"/>
          <w:color w:val="000000" w:themeColor="text1"/>
          <w:szCs w:val="21"/>
        </w:rPr>
        <w:t>300</w:t>
      </w:r>
      <w:r>
        <w:rPr>
          <w:rFonts w:eastAsiaTheme="minorEastAsia"/>
          <w:color w:val="000000" w:themeColor="text1"/>
          <w:szCs w:val="21"/>
        </w:rPr>
        <w:t>上涨</w:t>
      </w:r>
      <w:r>
        <w:rPr>
          <w:rFonts w:eastAsiaTheme="minorEastAsia"/>
          <w:color w:val="000000" w:themeColor="text1"/>
          <w:szCs w:val="21"/>
        </w:rPr>
        <w:t>3.10%</w:t>
      </w:r>
      <w:r>
        <w:rPr>
          <w:rFonts w:eastAsiaTheme="minorEastAsia"/>
          <w:color w:val="000000" w:themeColor="text1"/>
          <w:szCs w:val="21"/>
        </w:rPr>
        <w:t>，创业板下跌</w:t>
      </w:r>
      <w:r>
        <w:rPr>
          <w:rFonts w:eastAsiaTheme="minorEastAsia"/>
          <w:color w:val="000000" w:themeColor="text1"/>
          <w:szCs w:val="21"/>
        </w:rPr>
        <w:t>3.87%</w:t>
      </w:r>
      <w:r>
        <w:rPr>
          <w:rFonts w:eastAsiaTheme="minorEastAsia"/>
          <w:color w:val="000000" w:themeColor="text1"/>
          <w:szCs w:val="21"/>
        </w:rPr>
        <w:t>。板块方面，石油石化、家电、银行和煤炭领涨，医药、电子和房地产领跌。今年前</w:t>
      </w:r>
      <w:r>
        <w:rPr>
          <w:rFonts w:eastAsiaTheme="minorEastAsia"/>
          <w:color w:val="000000" w:themeColor="text1"/>
          <w:szCs w:val="21"/>
        </w:rPr>
        <w:t>2</w:t>
      </w:r>
      <w:r>
        <w:rPr>
          <w:rFonts w:eastAsiaTheme="minorEastAsia"/>
          <w:color w:val="000000" w:themeColor="text1"/>
          <w:szCs w:val="21"/>
        </w:rPr>
        <w:t>个月，经济稳步增长，全国规模以上工业增加值同比增长</w:t>
      </w:r>
      <w:r>
        <w:rPr>
          <w:rFonts w:eastAsiaTheme="minorEastAsia"/>
          <w:color w:val="000000" w:themeColor="text1"/>
          <w:szCs w:val="21"/>
        </w:rPr>
        <w:t>7.0%</w:t>
      </w:r>
      <w:r>
        <w:rPr>
          <w:rFonts w:eastAsiaTheme="minorEastAsia"/>
          <w:color w:val="000000" w:themeColor="text1"/>
          <w:szCs w:val="21"/>
        </w:rPr>
        <w:t>，比去年</w:t>
      </w:r>
      <w:r>
        <w:rPr>
          <w:rFonts w:eastAsiaTheme="minorEastAsia"/>
          <w:color w:val="000000" w:themeColor="text1"/>
          <w:szCs w:val="21"/>
        </w:rPr>
        <w:t>12</w:t>
      </w:r>
      <w:r>
        <w:rPr>
          <w:rFonts w:eastAsiaTheme="minorEastAsia"/>
          <w:color w:val="000000" w:themeColor="text1"/>
          <w:szCs w:val="21"/>
        </w:rPr>
        <w:t>月份加快</w:t>
      </w:r>
      <w:r>
        <w:rPr>
          <w:rFonts w:eastAsiaTheme="minorEastAsia"/>
          <w:color w:val="000000" w:themeColor="text1"/>
          <w:szCs w:val="21"/>
        </w:rPr>
        <w:t>0.2</w:t>
      </w:r>
      <w:r>
        <w:rPr>
          <w:rFonts w:eastAsiaTheme="minorEastAsia"/>
          <w:color w:val="000000" w:themeColor="text1"/>
          <w:szCs w:val="21"/>
        </w:rPr>
        <w:t>个百分点，社会消费品零售总额同比增长</w:t>
      </w:r>
      <w:r>
        <w:rPr>
          <w:rFonts w:eastAsiaTheme="minorEastAsia"/>
          <w:color w:val="000000" w:themeColor="text1"/>
          <w:szCs w:val="21"/>
        </w:rPr>
        <w:t>5.5%</w:t>
      </w:r>
      <w:r>
        <w:rPr>
          <w:rFonts w:eastAsiaTheme="minorEastAsia"/>
          <w:color w:val="000000" w:themeColor="text1"/>
          <w:szCs w:val="21"/>
        </w:rPr>
        <w:t>，</w:t>
      </w:r>
      <w:r>
        <w:rPr>
          <w:rFonts w:eastAsiaTheme="minorEastAsia"/>
          <w:color w:val="000000" w:themeColor="text1"/>
          <w:szCs w:val="21"/>
        </w:rPr>
        <w:t>3</w:t>
      </w:r>
      <w:r>
        <w:rPr>
          <w:rFonts w:eastAsiaTheme="minorEastAsia"/>
          <w:color w:val="000000" w:themeColor="text1"/>
          <w:szCs w:val="21"/>
        </w:rPr>
        <w:t>月份制造业</w:t>
      </w:r>
      <w:r>
        <w:rPr>
          <w:rFonts w:eastAsiaTheme="minorEastAsia"/>
          <w:color w:val="000000" w:themeColor="text1"/>
          <w:szCs w:val="21"/>
        </w:rPr>
        <w:t>PMI</w:t>
      </w:r>
      <w:r>
        <w:rPr>
          <w:rFonts w:eastAsiaTheme="minorEastAsia"/>
          <w:color w:val="000000" w:themeColor="text1"/>
          <w:szCs w:val="21"/>
        </w:rPr>
        <w:t>回升到</w:t>
      </w:r>
      <w:r>
        <w:rPr>
          <w:rFonts w:eastAsiaTheme="minorEastAsia"/>
          <w:color w:val="000000" w:themeColor="text1"/>
          <w:szCs w:val="21"/>
        </w:rPr>
        <w:t>50.8%</w:t>
      </w:r>
      <w:r>
        <w:rPr>
          <w:rFonts w:eastAsiaTheme="minorEastAsia"/>
          <w:color w:val="000000" w:themeColor="text1"/>
          <w:szCs w:val="21"/>
        </w:rPr>
        <w:t>，环比上升</w:t>
      </w:r>
      <w:r>
        <w:rPr>
          <w:rFonts w:eastAsiaTheme="minorEastAsia"/>
          <w:color w:val="000000" w:themeColor="text1"/>
          <w:szCs w:val="21"/>
        </w:rPr>
        <w:t>1.7</w:t>
      </w:r>
      <w:r>
        <w:rPr>
          <w:rFonts w:eastAsiaTheme="minorEastAsia"/>
          <w:color w:val="000000" w:themeColor="text1"/>
          <w:szCs w:val="21"/>
        </w:rPr>
        <w:t>个百分点，高于临界点，制造业景气回升明显。本基金重点配置了估值和成长相匹配的个股，此外，本季度还减持了部分前期超额收益较多个股，增持了部分市场关注度不高的成长股。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进入二季度，我们判断市场机会将大于风险，</w:t>
      </w:r>
      <w:r w:rsidRPr="00B27A29">
        <w:rPr>
          <w:rFonts w:eastAsiaTheme="minorEastAsia"/>
          <w:color w:val="000000" w:themeColor="text1"/>
          <w:szCs w:val="21"/>
        </w:rPr>
        <w:t>A</w:t>
      </w:r>
      <w:r w:rsidRPr="00B27A29">
        <w:rPr>
          <w:rFonts w:eastAsiaTheme="minorEastAsia"/>
          <w:color w:val="000000" w:themeColor="text1"/>
          <w:szCs w:val="21"/>
        </w:rPr>
        <w:t>股有望呈现结构性的投资机会。市场经历了连续两年的调整后，整体估值处于历史较低水平，我们将继续以精选个股作为首要方向。首先，重点关注成长股，尤其是去年跌幅较大但业绩稳定增长的个股，这些个股伴随业绩兑现全年有望获得超额收益；其次，关注大消费领域，居民可支配收入仍处于稳步提升阶段，和居民消费相关的领域存在投资机会；最后，关注经济转型带来的投资机会。</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本报告期摩根阿尔法</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:0.03%</w:t>
      </w:r>
      <w:r>
        <w:rPr>
          <w:rFonts w:eastAsiaTheme="minorEastAsia"/>
          <w:color w:val="000000" w:themeColor="text1"/>
          <w:szCs w:val="21"/>
        </w:rPr>
        <w:t>，同期业绩比较基准收益率为</w:t>
      </w:r>
      <w:r>
        <w:rPr>
          <w:rFonts w:eastAsiaTheme="minorEastAsia"/>
          <w:color w:val="000000" w:themeColor="text1"/>
          <w:szCs w:val="21"/>
        </w:rPr>
        <w:t>:2.73%</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摩根阿尔法</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:-0.12%</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:2.73%</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663,390,169.42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86.61</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663,390,169.42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86.61</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102,341,147.12</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13.36</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243,820.49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765,975,137.03</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11,848,990.00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1.55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612,698,372.16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80.21</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8,912,289.00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1.17</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3,331,069.50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0.44</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19,490,080.40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2.55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3,097.60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0.00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7,106,270.76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0.93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663,390,169.42</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86.85</w:t>
            </w:r>
          </w:p>
        </w:tc>
      </w:tr>
    </w:tbl>
    <w:p w:rsidR="00B27A29" w:rsidRPr="00B27A29" w:rsidRDefault="00B27A29" w:rsidP="00B27A29">
      <w:pPr>
        <w:spacing w:line="360" w:lineRule="auto"/>
        <w:rPr>
          <w:rFonts w:eastAsiaTheme="minorEastAsia"/>
          <w:szCs w:val="21"/>
        </w:rPr>
      </w:pPr>
      <w:bookmarkStart w:id="1"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C11C95">
        <w:tc>
          <w:tcPr>
            <w:tcW w:w="817" w:type="dxa"/>
            <w:vAlign w:val="center"/>
          </w:tcPr>
          <w:p w:rsidR="00C11C95" w:rsidRDefault="005139BC">
            <w:pPr>
              <w:jc w:val="center"/>
            </w:pPr>
            <w:r>
              <w:rPr>
                <w:rFonts w:eastAsiaTheme="minorEastAsia"/>
                <w:kern w:val="0"/>
                <w:szCs w:val="21"/>
              </w:rPr>
              <w:t>1</w:t>
            </w:r>
          </w:p>
        </w:tc>
        <w:tc>
          <w:tcPr>
            <w:tcW w:w="1276" w:type="dxa"/>
            <w:vAlign w:val="center"/>
          </w:tcPr>
          <w:p w:rsidR="00C11C95" w:rsidRDefault="005139BC">
            <w:pPr>
              <w:jc w:val="center"/>
            </w:pPr>
            <w:r>
              <w:rPr>
                <w:rFonts w:eastAsiaTheme="minorEastAsia"/>
                <w:kern w:val="0"/>
                <w:szCs w:val="21"/>
              </w:rPr>
              <w:t>002475</w:t>
            </w:r>
          </w:p>
        </w:tc>
        <w:tc>
          <w:tcPr>
            <w:tcW w:w="1701" w:type="dxa"/>
            <w:vAlign w:val="center"/>
          </w:tcPr>
          <w:p w:rsidR="00C11C95" w:rsidRDefault="005139BC">
            <w:pPr>
              <w:jc w:val="center"/>
            </w:pPr>
            <w:r>
              <w:rPr>
                <w:rFonts w:eastAsiaTheme="minorEastAsia"/>
                <w:kern w:val="0"/>
                <w:szCs w:val="21"/>
              </w:rPr>
              <w:t>立讯精密</w:t>
            </w:r>
          </w:p>
        </w:tc>
        <w:tc>
          <w:tcPr>
            <w:tcW w:w="1276" w:type="dxa"/>
            <w:vAlign w:val="center"/>
          </w:tcPr>
          <w:p w:rsidR="00C11C95" w:rsidRDefault="005139BC">
            <w:pPr>
              <w:jc w:val="right"/>
            </w:pPr>
            <w:r>
              <w:rPr>
                <w:rFonts w:eastAsiaTheme="minorEastAsia"/>
                <w:kern w:val="0"/>
                <w:szCs w:val="21"/>
              </w:rPr>
              <w:t>2,467,954</w:t>
            </w:r>
          </w:p>
        </w:tc>
        <w:tc>
          <w:tcPr>
            <w:tcW w:w="1842" w:type="dxa"/>
            <w:vAlign w:val="center"/>
          </w:tcPr>
          <w:p w:rsidR="00C11C95" w:rsidRDefault="005139BC">
            <w:pPr>
              <w:jc w:val="right"/>
            </w:pPr>
            <w:r>
              <w:rPr>
                <w:rFonts w:eastAsiaTheme="minorEastAsia"/>
                <w:kern w:val="0"/>
                <w:szCs w:val="21"/>
              </w:rPr>
              <w:t>72,582,527.14</w:t>
            </w:r>
          </w:p>
        </w:tc>
        <w:tc>
          <w:tcPr>
            <w:tcW w:w="1616" w:type="dxa"/>
            <w:vAlign w:val="center"/>
          </w:tcPr>
          <w:p w:rsidR="00C11C95" w:rsidRDefault="005139BC">
            <w:pPr>
              <w:jc w:val="right"/>
            </w:pPr>
            <w:r>
              <w:rPr>
                <w:rFonts w:eastAsiaTheme="minorEastAsia"/>
                <w:kern w:val="0"/>
                <w:szCs w:val="21"/>
              </w:rPr>
              <w:t>9.50</w:t>
            </w:r>
          </w:p>
        </w:tc>
      </w:tr>
      <w:tr w:rsidR="00C11C95">
        <w:tc>
          <w:tcPr>
            <w:tcW w:w="817" w:type="dxa"/>
            <w:vAlign w:val="center"/>
          </w:tcPr>
          <w:p w:rsidR="00C11C95" w:rsidRDefault="005139BC">
            <w:pPr>
              <w:jc w:val="center"/>
            </w:pPr>
            <w:r>
              <w:rPr>
                <w:rFonts w:eastAsiaTheme="minorEastAsia"/>
                <w:kern w:val="0"/>
                <w:szCs w:val="21"/>
              </w:rPr>
              <w:t>2</w:t>
            </w:r>
          </w:p>
        </w:tc>
        <w:tc>
          <w:tcPr>
            <w:tcW w:w="1276" w:type="dxa"/>
            <w:vAlign w:val="center"/>
          </w:tcPr>
          <w:p w:rsidR="00C11C95" w:rsidRDefault="005139BC">
            <w:pPr>
              <w:jc w:val="center"/>
            </w:pPr>
            <w:r>
              <w:rPr>
                <w:rFonts w:eastAsiaTheme="minorEastAsia"/>
                <w:kern w:val="0"/>
                <w:szCs w:val="21"/>
              </w:rPr>
              <w:t>002572</w:t>
            </w:r>
          </w:p>
        </w:tc>
        <w:tc>
          <w:tcPr>
            <w:tcW w:w="1701" w:type="dxa"/>
            <w:vAlign w:val="center"/>
          </w:tcPr>
          <w:p w:rsidR="00C11C95" w:rsidRDefault="005139BC">
            <w:pPr>
              <w:jc w:val="center"/>
            </w:pPr>
            <w:r>
              <w:rPr>
                <w:rFonts w:eastAsiaTheme="minorEastAsia"/>
                <w:kern w:val="0"/>
                <w:szCs w:val="21"/>
              </w:rPr>
              <w:t>索菲亚</w:t>
            </w:r>
          </w:p>
        </w:tc>
        <w:tc>
          <w:tcPr>
            <w:tcW w:w="1276" w:type="dxa"/>
            <w:vAlign w:val="center"/>
          </w:tcPr>
          <w:p w:rsidR="00C11C95" w:rsidRDefault="005139BC">
            <w:pPr>
              <w:jc w:val="right"/>
            </w:pPr>
            <w:r>
              <w:rPr>
                <w:rFonts w:eastAsiaTheme="minorEastAsia"/>
                <w:kern w:val="0"/>
                <w:szCs w:val="21"/>
              </w:rPr>
              <w:t>4,188,350</w:t>
            </w:r>
          </w:p>
        </w:tc>
        <w:tc>
          <w:tcPr>
            <w:tcW w:w="1842" w:type="dxa"/>
            <w:vAlign w:val="center"/>
          </w:tcPr>
          <w:p w:rsidR="00C11C95" w:rsidRDefault="005139BC">
            <w:pPr>
              <w:jc w:val="right"/>
            </w:pPr>
            <w:r>
              <w:rPr>
                <w:rFonts w:eastAsiaTheme="minorEastAsia"/>
                <w:kern w:val="0"/>
                <w:szCs w:val="21"/>
              </w:rPr>
              <w:t>64,542,473.50</w:t>
            </w:r>
          </w:p>
        </w:tc>
        <w:tc>
          <w:tcPr>
            <w:tcW w:w="1616" w:type="dxa"/>
            <w:vAlign w:val="center"/>
          </w:tcPr>
          <w:p w:rsidR="00C11C95" w:rsidRDefault="005139BC">
            <w:pPr>
              <w:jc w:val="right"/>
            </w:pPr>
            <w:r>
              <w:rPr>
                <w:rFonts w:eastAsiaTheme="minorEastAsia"/>
                <w:kern w:val="0"/>
                <w:szCs w:val="21"/>
              </w:rPr>
              <w:t>8.45</w:t>
            </w:r>
          </w:p>
        </w:tc>
      </w:tr>
      <w:tr w:rsidR="00C11C95">
        <w:tc>
          <w:tcPr>
            <w:tcW w:w="817" w:type="dxa"/>
            <w:vAlign w:val="center"/>
          </w:tcPr>
          <w:p w:rsidR="00C11C95" w:rsidRDefault="005139BC">
            <w:pPr>
              <w:jc w:val="center"/>
            </w:pPr>
            <w:r>
              <w:rPr>
                <w:rFonts w:eastAsiaTheme="minorEastAsia"/>
                <w:kern w:val="0"/>
                <w:szCs w:val="21"/>
              </w:rPr>
              <w:t>3</w:t>
            </w:r>
          </w:p>
        </w:tc>
        <w:tc>
          <w:tcPr>
            <w:tcW w:w="1276" w:type="dxa"/>
            <w:vAlign w:val="center"/>
          </w:tcPr>
          <w:p w:rsidR="00C11C95" w:rsidRDefault="005139BC">
            <w:pPr>
              <w:jc w:val="center"/>
            </w:pPr>
            <w:r>
              <w:rPr>
                <w:rFonts w:eastAsiaTheme="minorEastAsia"/>
                <w:kern w:val="0"/>
                <w:szCs w:val="21"/>
              </w:rPr>
              <w:t>300750</w:t>
            </w:r>
          </w:p>
        </w:tc>
        <w:tc>
          <w:tcPr>
            <w:tcW w:w="1701" w:type="dxa"/>
            <w:vAlign w:val="center"/>
          </w:tcPr>
          <w:p w:rsidR="00C11C95" w:rsidRDefault="005139BC">
            <w:pPr>
              <w:jc w:val="center"/>
            </w:pPr>
            <w:r>
              <w:rPr>
                <w:rFonts w:eastAsiaTheme="minorEastAsia"/>
                <w:kern w:val="0"/>
                <w:szCs w:val="21"/>
              </w:rPr>
              <w:t>宁德时代</w:t>
            </w:r>
          </w:p>
        </w:tc>
        <w:tc>
          <w:tcPr>
            <w:tcW w:w="1276" w:type="dxa"/>
            <w:vAlign w:val="center"/>
          </w:tcPr>
          <w:p w:rsidR="00C11C95" w:rsidRDefault="005139BC">
            <w:pPr>
              <w:jc w:val="right"/>
            </w:pPr>
            <w:r>
              <w:rPr>
                <w:rFonts w:eastAsiaTheme="minorEastAsia"/>
                <w:kern w:val="0"/>
                <w:szCs w:val="21"/>
              </w:rPr>
              <w:t>244,426</w:t>
            </w:r>
          </w:p>
        </w:tc>
        <w:tc>
          <w:tcPr>
            <w:tcW w:w="1842" w:type="dxa"/>
            <w:vAlign w:val="center"/>
          </w:tcPr>
          <w:p w:rsidR="00C11C95" w:rsidRDefault="005139BC">
            <w:pPr>
              <w:jc w:val="right"/>
            </w:pPr>
            <w:r>
              <w:rPr>
                <w:rFonts w:eastAsiaTheme="minorEastAsia"/>
                <w:kern w:val="0"/>
                <w:szCs w:val="21"/>
              </w:rPr>
              <w:t>46,480,048.16</w:t>
            </w:r>
          </w:p>
        </w:tc>
        <w:tc>
          <w:tcPr>
            <w:tcW w:w="1616" w:type="dxa"/>
            <w:vAlign w:val="center"/>
          </w:tcPr>
          <w:p w:rsidR="00C11C95" w:rsidRDefault="005139BC">
            <w:pPr>
              <w:jc w:val="right"/>
            </w:pPr>
            <w:r>
              <w:rPr>
                <w:rFonts w:eastAsiaTheme="minorEastAsia"/>
                <w:kern w:val="0"/>
                <w:szCs w:val="21"/>
              </w:rPr>
              <w:t>6.09</w:t>
            </w:r>
          </w:p>
        </w:tc>
      </w:tr>
      <w:tr w:rsidR="00C11C95">
        <w:tc>
          <w:tcPr>
            <w:tcW w:w="817" w:type="dxa"/>
            <w:vAlign w:val="center"/>
          </w:tcPr>
          <w:p w:rsidR="00C11C95" w:rsidRDefault="005139BC">
            <w:pPr>
              <w:jc w:val="center"/>
            </w:pPr>
            <w:r>
              <w:rPr>
                <w:rFonts w:eastAsiaTheme="minorEastAsia"/>
                <w:kern w:val="0"/>
                <w:szCs w:val="21"/>
              </w:rPr>
              <w:t>4</w:t>
            </w:r>
          </w:p>
        </w:tc>
        <w:tc>
          <w:tcPr>
            <w:tcW w:w="1276" w:type="dxa"/>
            <w:vAlign w:val="center"/>
          </w:tcPr>
          <w:p w:rsidR="00C11C95" w:rsidRDefault="005139BC">
            <w:pPr>
              <w:jc w:val="center"/>
            </w:pPr>
            <w:r>
              <w:rPr>
                <w:rFonts w:eastAsiaTheme="minorEastAsia"/>
                <w:kern w:val="0"/>
                <w:szCs w:val="21"/>
              </w:rPr>
              <w:t>002236</w:t>
            </w:r>
          </w:p>
        </w:tc>
        <w:tc>
          <w:tcPr>
            <w:tcW w:w="1701" w:type="dxa"/>
            <w:vAlign w:val="center"/>
          </w:tcPr>
          <w:p w:rsidR="00C11C95" w:rsidRDefault="005139BC">
            <w:pPr>
              <w:jc w:val="center"/>
            </w:pPr>
            <w:r>
              <w:rPr>
                <w:rFonts w:eastAsiaTheme="minorEastAsia"/>
                <w:kern w:val="0"/>
                <w:szCs w:val="21"/>
              </w:rPr>
              <w:t>大华股份</w:t>
            </w:r>
          </w:p>
        </w:tc>
        <w:tc>
          <w:tcPr>
            <w:tcW w:w="1276" w:type="dxa"/>
            <w:vAlign w:val="center"/>
          </w:tcPr>
          <w:p w:rsidR="00C11C95" w:rsidRDefault="005139BC">
            <w:pPr>
              <w:jc w:val="right"/>
            </w:pPr>
            <w:r>
              <w:rPr>
                <w:rFonts w:eastAsiaTheme="minorEastAsia"/>
                <w:kern w:val="0"/>
                <w:szCs w:val="21"/>
              </w:rPr>
              <w:t>1,958,833</w:t>
            </w:r>
          </w:p>
        </w:tc>
        <w:tc>
          <w:tcPr>
            <w:tcW w:w="1842" w:type="dxa"/>
            <w:vAlign w:val="center"/>
          </w:tcPr>
          <w:p w:rsidR="00C11C95" w:rsidRDefault="005139BC">
            <w:pPr>
              <w:jc w:val="right"/>
            </w:pPr>
            <w:r>
              <w:rPr>
                <w:rFonts w:eastAsiaTheme="minorEastAsia"/>
                <w:kern w:val="0"/>
                <w:szCs w:val="21"/>
              </w:rPr>
              <w:t>37,021,943.70</w:t>
            </w:r>
          </w:p>
        </w:tc>
        <w:tc>
          <w:tcPr>
            <w:tcW w:w="1616" w:type="dxa"/>
            <w:vAlign w:val="center"/>
          </w:tcPr>
          <w:p w:rsidR="00C11C95" w:rsidRDefault="005139BC">
            <w:pPr>
              <w:jc w:val="right"/>
            </w:pPr>
            <w:r>
              <w:rPr>
                <w:rFonts w:eastAsiaTheme="minorEastAsia"/>
                <w:kern w:val="0"/>
                <w:szCs w:val="21"/>
              </w:rPr>
              <w:t>4.85</w:t>
            </w:r>
          </w:p>
        </w:tc>
      </w:tr>
      <w:tr w:rsidR="00C11C95">
        <w:tc>
          <w:tcPr>
            <w:tcW w:w="817" w:type="dxa"/>
            <w:vAlign w:val="center"/>
          </w:tcPr>
          <w:p w:rsidR="00C11C95" w:rsidRDefault="005139BC">
            <w:pPr>
              <w:jc w:val="center"/>
            </w:pPr>
            <w:r>
              <w:rPr>
                <w:rFonts w:eastAsiaTheme="minorEastAsia"/>
                <w:kern w:val="0"/>
                <w:szCs w:val="21"/>
              </w:rPr>
              <w:t>5</w:t>
            </w:r>
          </w:p>
        </w:tc>
        <w:tc>
          <w:tcPr>
            <w:tcW w:w="1276" w:type="dxa"/>
            <w:vAlign w:val="center"/>
          </w:tcPr>
          <w:p w:rsidR="00C11C95" w:rsidRDefault="005139BC">
            <w:pPr>
              <w:jc w:val="center"/>
            </w:pPr>
            <w:r>
              <w:rPr>
                <w:rFonts w:eastAsiaTheme="minorEastAsia"/>
                <w:kern w:val="0"/>
                <w:szCs w:val="21"/>
              </w:rPr>
              <w:t>600519</w:t>
            </w:r>
          </w:p>
        </w:tc>
        <w:tc>
          <w:tcPr>
            <w:tcW w:w="1701" w:type="dxa"/>
            <w:vAlign w:val="center"/>
          </w:tcPr>
          <w:p w:rsidR="00C11C95" w:rsidRDefault="005139BC">
            <w:pPr>
              <w:jc w:val="center"/>
            </w:pPr>
            <w:r>
              <w:rPr>
                <w:rFonts w:eastAsiaTheme="minorEastAsia"/>
                <w:kern w:val="0"/>
                <w:szCs w:val="21"/>
              </w:rPr>
              <w:t>贵州茅台</w:t>
            </w:r>
          </w:p>
        </w:tc>
        <w:tc>
          <w:tcPr>
            <w:tcW w:w="1276" w:type="dxa"/>
            <w:vAlign w:val="center"/>
          </w:tcPr>
          <w:p w:rsidR="00C11C95" w:rsidRDefault="005139BC">
            <w:pPr>
              <w:jc w:val="right"/>
            </w:pPr>
            <w:r>
              <w:rPr>
                <w:rFonts w:eastAsiaTheme="minorEastAsia"/>
                <w:kern w:val="0"/>
                <w:szCs w:val="21"/>
              </w:rPr>
              <w:t>13,700</w:t>
            </w:r>
          </w:p>
        </w:tc>
        <w:tc>
          <w:tcPr>
            <w:tcW w:w="1842" w:type="dxa"/>
            <w:vAlign w:val="center"/>
          </w:tcPr>
          <w:p w:rsidR="00C11C95" w:rsidRDefault="005139BC">
            <w:pPr>
              <w:jc w:val="right"/>
            </w:pPr>
            <w:r>
              <w:rPr>
                <w:rFonts w:eastAsiaTheme="minorEastAsia"/>
                <w:kern w:val="0"/>
                <w:szCs w:val="21"/>
              </w:rPr>
              <w:t>23,329,730.00</w:t>
            </w:r>
          </w:p>
        </w:tc>
        <w:tc>
          <w:tcPr>
            <w:tcW w:w="1616" w:type="dxa"/>
            <w:vAlign w:val="center"/>
          </w:tcPr>
          <w:p w:rsidR="00C11C95" w:rsidRDefault="005139BC">
            <w:pPr>
              <w:jc w:val="right"/>
            </w:pPr>
            <w:r>
              <w:rPr>
                <w:rFonts w:eastAsiaTheme="minorEastAsia"/>
                <w:kern w:val="0"/>
                <w:szCs w:val="21"/>
              </w:rPr>
              <w:t>3.05</w:t>
            </w:r>
          </w:p>
        </w:tc>
      </w:tr>
      <w:tr w:rsidR="00C11C95">
        <w:tc>
          <w:tcPr>
            <w:tcW w:w="817" w:type="dxa"/>
            <w:vAlign w:val="center"/>
          </w:tcPr>
          <w:p w:rsidR="00C11C95" w:rsidRDefault="005139BC">
            <w:pPr>
              <w:jc w:val="center"/>
            </w:pPr>
            <w:r>
              <w:rPr>
                <w:rFonts w:eastAsiaTheme="minorEastAsia"/>
                <w:kern w:val="0"/>
                <w:szCs w:val="21"/>
              </w:rPr>
              <w:t>6</w:t>
            </w:r>
          </w:p>
        </w:tc>
        <w:tc>
          <w:tcPr>
            <w:tcW w:w="1276" w:type="dxa"/>
            <w:vAlign w:val="center"/>
          </w:tcPr>
          <w:p w:rsidR="00C11C95" w:rsidRDefault="005139BC">
            <w:pPr>
              <w:jc w:val="center"/>
            </w:pPr>
            <w:r>
              <w:rPr>
                <w:rFonts w:eastAsiaTheme="minorEastAsia"/>
                <w:kern w:val="0"/>
                <w:szCs w:val="21"/>
              </w:rPr>
              <w:t>002594</w:t>
            </w:r>
          </w:p>
        </w:tc>
        <w:tc>
          <w:tcPr>
            <w:tcW w:w="1701" w:type="dxa"/>
            <w:vAlign w:val="center"/>
          </w:tcPr>
          <w:p w:rsidR="00C11C95" w:rsidRDefault="005139BC">
            <w:pPr>
              <w:jc w:val="center"/>
            </w:pPr>
            <w:r>
              <w:rPr>
                <w:rFonts w:eastAsiaTheme="minorEastAsia"/>
                <w:kern w:val="0"/>
                <w:szCs w:val="21"/>
              </w:rPr>
              <w:t>比亚迪</w:t>
            </w:r>
          </w:p>
        </w:tc>
        <w:tc>
          <w:tcPr>
            <w:tcW w:w="1276" w:type="dxa"/>
            <w:vAlign w:val="center"/>
          </w:tcPr>
          <w:p w:rsidR="00C11C95" w:rsidRDefault="005139BC">
            <w:pPr>
              <w:jc w:val="right"/>
            </w:pPr>
            <w:r>
              <w:rPr>
                <w:rFonts w:eastAsiaTheme="minorEastAsia"/>
                <w:kern w:val="0"/>
                <w:szCs w:val="21"/>
              </w:rPr>
              <w:t>106,200</w:t>
            </w:r>
          </w:p>
        </w:tc>
        <w:tc>
          <w:tcPr>
            <w:tcW w:w="1842" w:type="dxa"/>
            <w:vAlign w:val="center"/>
          </w:tcPr>
          <w:p w:rsidR="00C11C95" w:rsidRDefault="005139BC">
            <w:pPr>
              <w:jc w:val="right"/>
            </w:pPr>
            <w:r>
              <w:rPr>
                <w:rFonts w:eastAsiaTheme="minorEastAsia"/>
                <w:kern w:val="0"/>
                <w:szCs w:val="21"/>
              </w:rPr>
              <w:t>21,564,972.00</w:t>
            </w:r>
          </w:p>
        </w:tc>
        <w:tc>
          <w:tcPr>
            <w:tcW w:w="1616" w:type="dxa"/>
            <w:vAlign w:val="center"/>
          </w:tcPr>
          <w:p w:rsidR="00C11C95" w:rsidRDefault="005139BC">
            <w:pPr>
              <w:jc w:val="right"/>
            </w:pPr>
            <w:r>
              <w:rPr>
                <w:rFonts w:eastAsiaTheme="minorEastAsia"/>
                <w:kern w:val="0"/>
                <w:szCs w:val="21"/>
              </w:rPr>
              <w:t>2.82</w:t>
            </w:r>
          </w:p>
        </w:tc>
      </w:tr>
      <w:tr w:rsidR="00C11C95">
        <w:tc>
          <w:tcPr>
            <w:tcW w:w="817" w:type="dxa"/>
            <w:vAlign w:val="center"/>
          </w:tcPr>
          <w:p w:rsidR="00C11C95" w:rsidRDefault="005139BC">
            <w:pPr>
              <w:jc w:val="center"/>
            </w:pPr>
            <w:r>
              <w:rPr>
                <w:rFonts w:eastAsiaTheme="minorEastAsia"/>
                <w:kern w:val="0"/>
                <w:szCs w:val="21"/>
              </w:rPr>
              <w:t>7</w:t>
            </w:r>
          </w:p>
        </w:tc>
        <w:tc>
          <w:tcPr>
            <w:tcW w:w="1276" w:type="dxa"/>
            <w:vAlign w:val="center"/>
          </w:tcPr>
          <w:p w:rsidR="00C11C95" w:rsidRDefault="005139BC">
            <w:pPr>
              <w:jc w:val="center"/>
            </w:pPr>
            <w:r>
              <w:rPr>
                <w:rFonts w:eastAsiaTheme="minorEastAsia"/>
                <w:kern w:val="0"/>
                <w:szCs w:val="21"/>
              </w:rPr>
              <w:t>002384</w:t>
            </w:r>
          </w:p>
        </w:tc>
        <w:tc>
          <w:tcPr>
            <w:tcW w:w="1701" w:type="dxa"/>
            <w:vAlign w:val="center"/>
          </w:tcPr>
          <w:p w:rsidR="00C11C95" w:rsidRDefault="005139BC">
            <w:pPr>
              <w:jc w:val="center"/>
            </w:pPr>
            <w:r>
              <w:rPr>
                <w:rFonts w:eastAsiaTheme="minorEastAsia"/>
                <w:kern w:val="0"/>
                <w:szCs w:val="21"/>
              </w:rPr>
              <w:t>东山精密</w:t>
            </w:r>
          </w:p>
        </w:tc>
        <w:tc>
          <w:tcPr>
            <w:tcW w:w="1276" w:type="dxa"/>
            <w:vAlign w:val="center"/>
          </w:tcPr>
          <w:p w:rsidR="00C11C95" w:rsidRDefault="005139BC">
            <w:pPr>
              <w:jc w:val="right"/>
            </w:pPr>
            <w:r>
              <w:rPr>
                <w:rFonts w:eastAsiaTheme="minorEastAsia"/>
                <w:kern w:val="0"/>
                <w:szCs w:val="21"/>
              </w:rPr>
              <w:t>1,439,000</w:t>
            </w:r>
          </w:p>
        </w:tc>
        <w:tc>
          <w:tcPr>
            <w:tcW w:w="1842" w:type="dxa"/>
            <w:vAlign w:val="center"/>
          </w:tcPr>
          <w:p w:rsidR="00C11C95" w:rsidRDefault="005139BC">
            <w:pPr>
              <w:jc w:val="right"/>
            </w:pPr>
            <w:r>
              <w:rPr>
                <w:rFonts w:eastAsiaTheme="minorEastAsia"/>
                <w:kern w:val="0"/>
                <w:szCs w:val="21"/>
              </w:rPr>
              <w:t>20,995,010.00</w:t>
            </w:r>
          </w:p>
        </w:tc>
        <w:tc>
          <w:tcPr>
            <w:tcW w:w="1616" w:type="dxa"/>
            <w:vAlign w:val="center"/>
          </w:tcPr>
          <w:p w:rsidR="00C11C95" w:rsidRDefault="005139BC">
            <w:pPr>
              <w:jc w:val="right"/>
            </w:pPr>
            <w:r>
              <w:rPr>
                <w:rFonts w:eastAsiaTheme="minorEastAsia"/>
                <w:kern w:val="0"/>
                <w:szCs w:val="21"/>
              </w:rPr>
              <w:t>2.75</w:t>
            </w:r>
          </w:p>
        </w:tc>
      </w:tr>
      <w:tr w:rsidR="00C11C95">
        <w:tc>
          <w:tcPr>
            <w:tcW w:w="817" w:type="dxa"/>
            <w:vAlign w:val="center"/>
          </w:tcPr>
          <w:p w:rsidR="00C11C95" w:rsidRDefault="005139BC">
            <w:pPr>
              <w:jc w:val="center"/>
            </w:pPr>
            <w:r>
              <w:rPr>
                <w:rFonts w:eastAsiaTheme="minorEastAsia"/>
                <w:kern w:val="0"/>
                <w:szCs w:val="21"/>
              </w:rPr>
              <w:t>8</w:t>
            </w:r>
          </w:p>
        </w:tc>
        <w:tc>
          <w:tcPr>
            <w:tcW w:w="1276" w:type="dxa"/>
            <w:vAlign w:val="center"/>
          </w:tcPr>
          <w:p w:rsidR="00C11C95" w:rsidRDefault="005139BC">
            <w:pPr>
              <w:jc w:val="center"/>
            </w:pPr>
            <w:r>
              <w:rPr>
                <w:rFonts w:eastAsiaTheme="minorEastAsia"/>
                <w:kern w:val="0"/>
                <w:szCs w:val="21"/>
              </w:rPr>
              <w:t>300274</w:t>
            </w:r>
          </w:p>
        </w:tc>
        <w:tc>
          <w:tcPr>
            <w:tcW w:w="1701" w:type="dxa"/>
            <w:vAlign w:val="center"/>
          </w:tcPr>
          <w:p w:rsidR="00C11C95" w:rsidRDefault="005139BC">
            <w:pPr>
              <w:jc w:val="center"/>
            </w:pPr>
            <w:r>
              <w:rPr>
                <w:rFonts w:eastAsiaTheme="minorEastAsia"/>
                <w:kern w:val="0"/>
                <w:szCs w:val="21"/>
              </w:rPr>
              <w:t>阳光电源</w:t>
            </w:r>
          </w:p>
        </w:tc>
        <w:tc>
          <w:tcPr>
            <w:tcW w:w="1276" w:type="dxa"/>
            <w:vAlign w:val="center"/>
          </w:tcPr>
          <w:p w:rsidR="00C11C95" w:rsidRDefault="005139BC">
            <w:pPr>
              <w:jc w:val="right"/>
            </w:pPr>
            <w:r>
              <w:rPr>
                <w:rFonts w:eastAsiaTheme="minorEastAsia"/>
                <w:kern w:val="0"/>
                <w:szCs w:val="21"/>
              </w:rPr>
              <w:t>199,013</w:t>
            </w:r>
          </w:p>
        </w:tc>
        <w:tc>
          <w:tcPr>
            <w:tcW w:w="1842" w:type="dxa"/>
            <w:vAlign w:val="center"/>
          </w:tcPr>
          <w:p w:rsidR="00C11C95" w:rsidRDefault="005139BC">
            <w:pPr>
              <w:jc w:val="right"/>
            </w:pPr>
            <w:r>
              <w:rPr>
                <w:rFonts w:eastAsiaTheme="minorEastAsia"/>
                <w:kern w:val="0"/>
                <w:szCs w:val="21"/>
              </w:rPr>
              <w:t>20,657,549.40</w:t>
            </w:r>
          </w:p>
        </w:tc>
        <w:tc>
          <w:tcPr>
            <w:tcW w:w="1616" w:type="dxa"/>
            <w:vAlign w:val="center"/>
          </w:tcPr>
          <w:p w:rsidR="00C11C95" w:rsidRDefault="005139BC">
            <w:pPr>
              <w:jc w:val="right"/>
            </w:pPr>
            <w:r>
              <w:rPr>
                <w:rFonts w:eastAsiaTheme="minorEastAsia"/>
                <w:kern w:val="0"/>
                <w:szCs w:val="21"/>
              </w:rPr>
              <w:t>2.70</w:t>
            </w:r>
          </w:p>
        </w:tc>
      </w:tr>
      <w:tr w:rsidR="00C11C95">
        <w:tc>
          <w:tcPr>
            <w:tcW w:w="817" w:type="dxa"/>
            <w:vAlign w:val="center"/>
          </w:tcPr>
          <w:p w:rsidR="00C11C95" w:rsidRDefault="005139BC">
            <w:pPr>
              <w:jc w:val="center"/>
            </w:pPr>
            <w:r>
              <w:rPr>
                <w:rFonts w:eastAsiaTheme="minorEastAsia"/>
                <w:kern w:val="0"/>
                <w:szCs w:val="21"/>
              </w:rPr>
              <w:t>9</w:t>
            </w:r>
          </w:p>
        </w:tc>
        <w:tc>
          <w:tcPr>
            <w:tcW w:w="1276" w:type="dxa"/>
            <w:vAlign w:val="center"/>
          </w:tcPr>
          <w:p w:rsidR="00C11C95" w:rsidRDefault="005139BC">
            <w:pPr>
              <w:jc w:val="center"/>
            </w:pPr>
            <w:r>
              <w:rPr>
                <w:rFonts w:eastAsiaTheme="minorEastAsia"/>
                <w:kern w:val="0"/>
                <w:szCs w:val="21"/>
              </w:rPr>
              <w:t>600036</w:t>
            </w:r>
          </w:p>
        </w:tc>
        <w:tc>
          <w:tcPr>
            <w:tcW w:w="1701" w:type="dxa"/>
            <w:vAlign w:val="center"/>
          </w:tcPr>
          <w:p w:rsidR="00C11C95" w:rsidRDefault="005139BC">
            <w:pPr>
              <w:jc w:val="center"/>
            </w:pPr>
            <w:r>
              <w:rPr>
                <w:rFonts w:eastAsiaTheme="minorEastAsia"/>
                <w:kern w:val="0"/>
                <w:szCs w:val="21"/>
              </w:rPr>
              <w:t>招商银行</w:t>
            </w:r>
          </w:p>
        </w:tc>
        <w:tc>
          <w:tcPr>
            <w:tcW w:w="1276" w:type="dxa"/>
            <w:vAlign w:val="center"/>
          </w:tcPr>
          <w:p w:rsidR="00C11C95" w:rsidRDefault="005139BC">
            <w:pPr>
              <w:jc w:val="right"/>
            </w:pPr>
            <w:r>
              <w:rPr>
                <w:rFonts w:eastAsiaTheme="minorEastAsia"/>
                <w:kern w:val="0"/>
                <w:szCs w:val="21"/>
              </w:rPr>
              <w:t>605,282</w:t>
            </w:r>
          </w:p>
        </w:tc>
        <w:tc>
          <w:tcPr>
            <w:tcW w:w="1842" w:type="dxa"/>
            <w:vAlign w:val="center"/>
          </w:tcPr>
          <w:p w:rsidR="00C11C95" w:rsidRDefault="005139BC">
            <w:pPr>
              <w:jc w:val="right"/>
            </w:pPr>
            <w:r>
              <w:rPr>
                <w:rFonts w:eastAsiaTheme="minorEastAsia"/>
                <w:kern w:val="0"/>
                <w:szCs w:val="21"/>
              </w:rPr>
              <w:t>19,490,080.40</w:t>
            </w:r>
          </w:p>
        </w:tc>
        <w:tc>
          <w:tcPr>
            <w:tcW w:w="1616" w:type="dxa"/>
            <w:vAlign w:val="center"/>
          </w:tcPr>
          <w:p w:rsidR="00C11C95" w:rsidRDefault="005139BC">
            <w:pPr>
              <w:jc w:val="right"/>
            </w:pPr>
            <w:r>
              <w:rPr>
                <w:rFonts w:eastAsiaTheme="minorEastAsia"/>
                <w:kern w:val="0"/>
                <w:szCs w:val="21"/>
              </w:rPr>
              <w:t>2.55</w:t>
            </w:r>
          </w:p>
        </w:tc>
      </w:tr>
      <w:tr w:rsidR="00C11C95">
        <w:tc>
          <w:tcPr>
            <w:tcW w:w="817" w:type="dxa"/>
            <w:vAlign w:val="center"/>
          </w:tcPr>
          <w:p w:rsidR="00C11C95" w:rsidRDefault="005139BC">
            <w:pPr>
              <w:jc w:val="center"/>
            </w:pPr>
            <w:r>
              <w:rPr>
                <w:rFonts w:eastAsiaTheme="minorEastAsia"/>
                <w:kern w:val="0"/>
                <w:szCs w:val="21"/>
              </w:rPr>
              <w:t>10</w:t>
            </w:r>
          </w:p>
        </w:tc>
        <w:tc>
          <w:tcPr>
            <w:tcW w:w="1276" w:type="dxa"/>
            <w:vAlign w:val="center"/>
          </w:tcPr>
          <w:p w:rsidR="00C11C95" w:rsidRDefault="005139BC">
            <w:pPr>
              <w:jc w:val="center"/>
            </w:pPr>
            <w:r>
              <w:rPr>
                <w:rFonts w:eastAsiaTheme="minorEastAsia"/>
                <w:kern w:val="0"/>
                <w:szCs w:val="21"/>
              </w:rPr>
              <w:t>688599</w:t>
            </w:r>
          </w:p>
        </w:tc>
        <w:tc>
          <w:tcPr>
            <w:tcW w:w="1701" w:type="dxa"/>
            <w:vAlign w:val="center"/>
          </w:tcPr>
          <w:p w:rsidR="00C11C95" w:rsidRDefault="005139BC">
            <w:pPr>
              <w:jc w:val="center"/>
            </w:pPr>
            <w:r>
              <w:rPr>
                <w:rFonts w:eastAsiaTheme="minorEastAsia"/>
                <w:kern w:val="0"/>
                <w:szCs w:val="21"/>
              </w:rPr>
              <w:t>天合光能</w:t>
            </w:r>
          </w:p>
        </w:tc>
        <w:tc>
          <w:tcPr>
            <w:tcW w:w="1276" w:type="dxa"/>
            <w:vAlign w:val="center"/>
          </w:tcPr>
          <w:p w:rsidR="00C11C95" w:rsidRDefault="005139BC">
            <w:pPr>
              <w:jc w:val="right"/>
            </w:pPr>
            <w:r>
              <w:rPr>
                <w:rFonts w:eastAsiaTheme="minorEastAsia"/>
                <w:kern w:val="0"/>
                <w:szCs w:val="21"/>
              </w:rPr>
              <w:t>799,106</w:t>
            </w:r>
          </w:p>
        </w:tc>
        <w:tc>
          <w:tcPr>
            <w:tcW w:w="1842" w:type="dxa"/>
            <w:vAlign w:val="center"/>
          </w:tcPr>
          <w:p w:rsidR="00C11C95" w:rsidRDefault="005139BC">
            <w:pPr>
              <w:jc w:val="right"/>
            </w:pPr>
            <w:r>
              <w:rPr>
                <w:rFonts w:eastAsiaTheme="minorEastAsia"/>
                <w:kern w:val="0"/>
                <w:szCs w:val="21"/>
              </w:rPr>
              <w:t>19,018,722.80</w:t>
            </w:r>
          </w:p>
        </w:tc>
        <w:tc>
          <w:tcPr>
            <w:tcW w:w="1616" w:type="dxa"/>
            <w:vAlign w:val="center"/>
          </w:tcPr>
          <w:p w:rsidR="00C11C95" w:rsidRDefault="005139BC">
            <w:pPr>
              <w:jc w:val="right"/>
            </w:pPr>
            <w:r>
              <w:rPr>
                <w:rFonts w:eastAsiaTheme="minorEastAsia"/>
                <w:kern w:val="0"/>
                <w:szCs w:val="21"/>
              </w:rPr>
              <w:t>2.49</w:t>
            </w:r>
          </w:p>
        </w:tc>
      </w:tr>
    </w:tbl>
    <w:bookmarkEnd w:id="1"/>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lastRenderedPageBreak/>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本基金投资的前十名证券的发行主体中，招商银行股份有限公司在报告编制日前一年内曾受到国家金融监督管理总局深圳监管局、国家外汇管理局深圳市分局的处罚。本基金对上述主体所发行证券的投资决策程序符合相关法律法规、基金合同及公司投资制度的要求。</w:t>
      </w:r>
    </w:p>
    <w:p w:rsidR="00C11C95" w:rsidRDefault="005139BC">
      <w:pPr>
        <w:widowControl/>
        <w:spacing w:line="360" w:lineRule="auto"/>
        <w:rPr>
          <w:rFonts w:eastAsiaTheme="minorEastAsia"/>
          <w:color w:val="000000" w:themeColor="text1"/>
          <w:szCs w:val="21"/>
        </w:rPr>
      </w:pPr>
      <w:r>
        <w:rPr>
          <w:rFonts w:eastAsiaTheme="minorEastAsia"/>
          <w:color w:val="000000" w:themeColor="text1"/>
          <w:szCs w:val="21"/>
        </w:rPr>
        <w:t>除上述主体外，本基金投资的其余前十名证券的发行主体本期未出现被监管部门立案调查，或在报告编制日前一年内受到公开谴责、处罚的情形。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100,356.93</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143,463.56</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243,820.49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lastRenderedPageBreak/>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摩根阿尔法混合</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217,031,799.66</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136,584.80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2,774,402.00</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51,836.33</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2,989,843.44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52,291.16</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216,816,358.22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136,129.97</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8.1</w:t>
      </w:r>
      <w:r w:rsidRPr="00B27A29">
        <w:rPr>
          <w:rFonts w:eastAsiaTheme="minorEastAsia"/>
          <w:b/>
          <w:bCs/>
          <w:color w:val="000000" w:themeColor="text1"/>
          <w:kern w:val="0"/>
          <w:szCs w:val="21"/>
        </w:rPr>
        <w:t>备查文件目录</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1. </w:t>
      </w:r>
      <w:r>
        <w:rPr>
          <w:rFonts w:eastAsiaTheme="minorEastAsia"/>
          <w:color w:val="000000" w:themeColor="text1"/>
          <w:szCs w:val="21"/>
        </w:rPr>
        <w:t>中国证监会批准本基金募集的文件</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2. </w:t>
      </w:r>
      <w:r>
        <w:rPr>
          <w:rFonts w:eastAsiaTheme="minorEastAsia"/>
          <w:color w:val="000000" w:themeColor="text1"/>
          <w:szCs w:val="21"/>
        </w:rPr>
        <w:t>摩根阿尔法混合型证券投资基金基金合同</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3. </w:t>
      </w:r>
      <w:r>
        <w:rPr>
          <w:rFonts w:eastAsiaTheme="minorEastAsia"/>
          <w:color w:val="000000" w:themeColor="text1"/>
          <w:szCs w:val="21"/>
        </w:rPr>
        <w:t>摩根阿尔法混合型证券投资基金托管协议</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4. </w:t>
      </w:r>
      <w:r>
        <w:rPr>
          <w:rFonts w:eastAsiaTheme="minorEastAsia"/>
          <w:color w:val="000000" w:themeColor="text1"/>
          <w:szCs w:val="21"/>
        </w:rPr>
        <w:t>法律意见书</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5. </w:t>
      </w:r>
      <w:r>
        <w:rPr>
          <w:rFonts w:eastAsiaTheme="minorEastAsia"/>
          <w:color w:val="000000" w:themeColor="text1"/>
          <w:szCs w:val="21"/>
        </w:rPr>
        <w:t>基金管理人业务资格批件、营业执照</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6. </w:t>
      </w:r>
      <w:r>
        <w:rPr>
          <w:rFonts w:eastAsiaTheme="minorEastAsia"/>
          <w:color w:val="000000" w:themeColor="text1"/>
          <w:szCs w:val="21"/>
        </w:rPr>
        <w:t>基金托管人业务资格批件、营业执照</w:t>
      </w:r>
    </w:p>
    <w:p w:rsidR="00C11C95" w:rsidRDefault="005139BC">
      <w:pPr>
        <w:spacing w:line="360" w:lineRule="auto"/>
        <w:ind w:firstLineChars="200" w:firstLine="420"/>
        <w:rPr>
          <w:rFonts w:eastAsiaTheme="minorEastAsia"/>
          <w:color w:val="000000" w:themeColor="text1"/>
          <w:szCs w:val="21"/>
        </w:rPr>
      </w:pPr>
      <w:r>
        <w:rPr>
          <w:rFonts w:eastAsiaTheme="minorEastAsia"/>
          <w:color w:val="000000" w:themeColor="text1"/>
          <w:szCs w:val="21"/>
        </w:rPr>
        <w:t xml:space="preserve">7. </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lastRenderedPageBreak/>
        <w:t xml:space="preserve">8. </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基金管理人或基金托管人处。</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8.3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7116FA">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7116FA">
      <w:rPr>
        <w:noProof/>
        <w:kern w:val="0"/>
        <w:szCs w:val="21"/>
      </w:rPr>
      <w:t>13</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7116FA">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摩根阿尔法混合型证券投资基金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9BC"/>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16FA"/>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1C95"/>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11FCBDB-4834-448E-BED8-C39EE619E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29</TotalTime>
  <Pages>13</Pages>
  <Words>1115</Words>
  <Characters>6361</Characters>
  <Application>Microsoft Office Word</Application>
  <DocSecurity>0</DocSecurity>
  <Lines>53</Lines>
  <Paragraphs>14</Paragraphs>
  <ScaleCrop>false</ScaleCrop>
  <Company>TRT. Ltd. Co.</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Kelly.Yang@FA</cp:lastModifiedBy>
  <cp:revision>221</cp:revision>
  <cp:lastPrinted>2007-07-19T00:46:00Z</cp:lastPrinted>
  <dcterms:created xsi:type="dcterms:W3CDTF">2013-06-21T06:56:00Z</dcterms:created>
  <dcterms:modified xsi:type="dcterms:W3CDTF">2024-04-19T02:24:00Z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