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上投摩根阿尔法混合型证券投资基金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上投摩根阿尔法混合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377010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377010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2005</w:t>
            </w:r>
            <w:r w:rsidRPr="00FF6B9A">
              <w:rPr>
                <w:rFonts w:eastAsiaTheme="minorEastAsia"/>
                <w:color w:val="000000" w:themeColor="text1"/>
                <w:kern w:val="0"/>
              </w:rPr>
              <w:t>年</w:t>
            </w:r>
            <w:r w:rsidRPr="00FF6B9A">
              <w:rPr>
                <w:rFonts w:eastAsiaTheme="minorEastAsia"/>
                <w:color w:val="000000" w:themeColor="text1"/>
                <w:kern w:val="0"/>
              </w:rPr>
              <w:t>10</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254,439,438.79</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本基金采用哑铃式投资技术</w:t>
            </w:r>
            <w:r w:rsidRPr="00FF6B9A">
              <w:rPr>
                <w:rFonts w:eastAsiaTheme="minorEastAsia"/>
                <w:color w:val="000000" w:themeColor="text1"/>
                <w:kern w:val="0"/>
              </w:rPr>
              <w:t>(Barbell Approach)</w:t>
            </w:r>
            <w:r w:rsidRPr="00FF6B9A">
              <w:rPr>
                <w:rFonts w:eastAsiaTheme="minorEastAsia"/>
                <w:color w:val="000000" w:themeColor="text1"/>
                <w:kern w:val="0"/>
              </w:rPr>
              <w:t>，同步以</w:t>
            </w:r>
            <w:r w:rsidRPr="00FF6B9A">
              <w:rPr>
                <w:rFonts w:eastAsiaTheme="minorEastAsia"/>
                <w:color w:val="000000" w:themeColor="text1"/>
                <w:kern w:val="0"/>
              </w:rPr>
              <w:t>“</w:t>
            </w:r>
            <w:r w:rsidRPr="00FF6B9A">
              <w:rPr>
                <w:rFonts w:eastAsiaTheme="minorEastAsia"/>
                <w:color w:val="000000" w:themeColor="text1"/>
                <w:kern w:val="0"/>
              </w:rPr>
              <w:t>成长</w:t>
            </w:r>
            <w:r w:rsidRPr="00FF6B9A">
              <w:rPr>
                <w:rFonts w:eastAsiaTheme="minorEastAsia"/>
                <w:color w:val="000000" w:themeColor="text1"/>
                <w:kern w:val="0"/>
              </w:rPr>
              <w:t>”</w:t>
            </w:r>
            <w:r w:rsidRPr="00FF6B9A">
              <w:rPr>
                <w:rFonts w:eastAsiaTheme="minorEastAsia"/>
                <w:color w:val="000000" w:themeColor="text1"/>
                <w:kern w:val="0"/>
              </w:rPr>
              <w:t>与</w:t>
            </w:r>
            <w:r w:rsidRPr="00FF6B9A">
              <w:rPr>
                <w:rFonts w:eastAsiaTheme="minorEastAsia"/>
                <w:color w:val="000000" w:themeColor="text1"/>
                <w:kern w:val="0"/>
              </w:rPr>
              <w:t>“</w:t>
            </w:r>
            <w:r w:rsidRPr="00FF6B9A">
              <w:rPr>
                <w:rFonts w:eastAsiaTheme="minorEastAsia"/>
                <w:color w:val="000000" w:themeColor="text1"/>
                <w:kern w:val="0"/>
              </w:rPr>
              <w:t>价值</w:t>
            </w:r>
            <w:r w:rsidRPr="00FF6B9A">
              <w:rPr>
                <w:rFonts w:eastAsiaTheme="minorEastAsia"/>
                <w:color w:val="000000" w:themeColor="text1"/>
                <w:kern w:val="0"/>
              </w:rPr>
              <w:t>”</w:t>
            </w:r>
            <w:r w:rsidRPr="00FF6B9A">
              <w:rPr>
                <w:rFonts w:eastAsiaTheme="minorEastAsia"/>
                <w:color w:val="000000" w:themeColor="text1"/>
                <w:kern w:val="0"/>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投资策略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本基金充分借鉴摩根资产管理集团全球行之有效的投资理念和技术，依据中国资本市场的具体特征，引入集团在海外市场成功运作的</w:t>
            </w:r>
            <w:r w:rsidRPr="00FF6B9A">
              <w:rPr>
                <w:rFonts w:eastAsiaTheme="minorEastAsia"/>
                <w:color w:val="000000" w:themeColor="text1"/>
                <w:kern w:val="0"/>
              </w:rPr>
              <w:t>“Dynamic Fund”</w:t>
            </w:r>
            <w:r w:rsidRPr="00FF6B9A">
              <w:rPr>
                <w:rFonts w:eastAsiaTheme="minorEastAsia"/>
                <w:color w:val="000000" w:themeColor="text1"/>
                <w:kern w:val="0"/>
              </w:rPr>
              <w:t>基金产品概念。具体而言，本基金将以量化指标分析为基础，通过严格的证券选择，积极构建并持续优化</w:t>
            </w:r>
            <w:r w:rsidRPr="00FF6B9A">
              <w:rPr>
                <w:rFonts w:eastAsiaTheme="minorEastAsia"/>
                <w:color w:val="000000" w:themeColor="text1"/>
                <w:kern w:val="0"/>
              </w:rPr>
              <w:t>“</w:t>
            </w:r>
            <w:r w:rsidRPr="00FF6B9A">
              <w:rPr>
                <w:rFonts w:eastAsiaTheme="minorEastAsia"/>
                <w:color w:val="000000" w:themeColor="text1"/>
                <w:kern w:val="0"/>
              </w:rPr>
              <w:t>哑铃式</w:t>
            </w:r>
            <w:r w:rsidRPr="00FF6B9A">
              <w:rPr>
                <w:rFonts w:eastAsiaTheme="minorEastAsia"/>
                <w:color w:val="000000" w:themeColor="text1"/>
                <w:kern w:val="0"/>
              </w:rPr>
              <w:t>”</w:t>
            </w:r>
            <w:r w:rsidRPr="00FF6B9A">
              <w:rPr>
                <w:rFonts w:eastAsiaTheme="minorEastAsia"/>
                <w:color w:val="000000" w:themeColor="text1"/>
                <w:kern w:val="0"/>
              </w:rPr>
              <w:t>资产组合，结合严密的风险监控，不断谋求超越业绩比较基准的稳定回报。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沪深</w:t>
            </w:r>
            <w:r w:rsidRPr="00FF6B9A">
              <w:rPr>
                <w:rFonts w:eastAsiaTheme="minorEastAsia"/>
                <w:color w:val="000000" w:themeColor="text1"/>
                <w:kern w:val="0"/>
              </w:rPr>
              <w:t>300</w:t>
            </w:r>
            <w:r w:rsidRPr="00FF6B9A">
              <w:rPr>
                <w:rFonts w:eastAsiaTheme="minorEastAsia"/>
                <w:color w:val="000000" w:themeColor="text1"/>
                <w:kern w:val="0"/>
              </w:rPr>
              <w:t>指数收益率</w:t>
            </w:r>
            <w:r w:rsidRPr="00FF6B9A">
              <w:rPr>
                <w:rFonts w:eastAsiaTheme="minorEastAsia"/>
                <w:color w:val="000000" w:themeColor="text1"/>
                <w:kern w:val="0"/>
              </w:rPr>
              <w:t>×80%+</w:t>
            </w:r>
            <w:r w:rsidRPr="00FF6B9A">
              <w:rPr>
                <w:rFonts w:eastAsiaTheme="minorEastAsia"/>
                <w:color w:val="000000" w:themeColor="text1"/>
                <w:kern w:val="0"/>
              </w:rPr>
              <w:t>中债总指数收益率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E412B0" w:rsidRDefault="00520F3E">
            <w:pPr>
              <w:adjustRightInd w:val="0"/>
              <w:spacing w:before="29" w:line="360" w:lineRule="auto"/>
              <w:ind w:left="17"/>
              <w:rPr>
                <w:rFonts w:eastAsiaTheme="minorEastAsia"/>
                <w:color w:val="000000" w:themeColor="text1"/>
              </w:rPr>
            </w:pPr>
            <w:r>
              <w:rPr>
                <w:rFonts w:eastAsiaTheme="minorEastAsia"/>
                <w:color w:val="000000" w:themeColor="text1"/>
                <w:kern w:val="0"/>
              </w:rPr>
              <w:t>本基金是混合型证券投资基金，预期收益及预期风险水平低于股票型基金，高于债券型基金和货币市场基金，属于较高预期收益和预期风险水平的投资品种。</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20F3E" w:rsidRPr="00FF6B9A" w:rsidTr="00520F3E">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520F3E" w:rsidRPr="00FF6B9A" w:rsidTr="00520F3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96,641,939.58</w:t>
            </w:r>
          </w:p>
        </w:tc>
      </w:tr>
      <w:tr w:rsidR="00520F3E" w:rsidRPr="00FF6B9A" w:rsidTr="00520F3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13,991,989.91</w:t>
            </w:r>
          </w:p>
        </w:tc>
      </w:tr>
      <w:tr w:rsidR="00520F3E" w:rsidRPr="00FF6B9A" w:rsidTr="00520F3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0.0533</w:t>
            </w:r>
          </w:p>
        </w:tc>
      </w:tr>
      <w:tr w:rsidR="00520F3E" w:rsidRPr="00FF6B9A" w:rsidTr="00520F3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1,443,629,113.52</w:t>
            </w:r>
          </w:p>
        </w:tc>
      </w:tr>
      <w:tr w:rsidR="00520F3E" w:rsidRPr="00FF6B9A" w:rsidTr="00520F3E">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5.6738</w:t>
            </w:r>
          </w:p>
        </w:tc>
      </w:tr>
    </w:tbl>
    <w:p w:rsidR="00E412B0" w:rsidRDefault="00520F3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E412B0">
        <w:tc>
          <w:tcPr>
            <w:tcW w:w="1395" w:type="dxa"/>
            <w:vAlign w:val="center"/>
          </w:tcPr>
          <w:p w:rsidR="00E412B0" w:rsidRDefault="00520F3E">
            <w:pPr>
              <w:jc w:val="left"/>
            </w:pPr>
            <w:r>
              <w:rPr>
                <w:rFonts w:eastAsiaTheme="minorEastAsia"/>
                <w:color w:val="000000" w:themeColor="text1"/>
                <w:kern w:val="0"/>
              </w:rPr>
              <w:t>过去三个月</w:t>
            </w:r>
          </w:p>
        </w:tc>
        <w:tc>
          <w:tcPr>
            <w:tcW w:w="1092" w:type="dxa"/>
            <w:vAlign w:val="center"/>
          </w:tcPr>
          <w:p w:rsidR="00E412B0" w:rsidRDefault="00520F3E">
            <w:pPr>
              <w:jc w:val="center"/>
            </w:pPr>
            <w:r>
              <w:rPr>
                <w:rFonts w:eastAsiaTheme="minorEastAsia"/>
                <w:color w:val="000000" w:themeColor="text1"/>
                <w:kern w:val="0"/>
              </w:rPr>
              <w:t>1.00%</w:t>
            </w:r>
          </w:p>
        </w:tc>
        <w:tc>
          <w:tcPr>
            <w:tcW w:w="1161" w:type="dxa"/>
            <w:vAlign w:val="center"/>
          </w:tcPr>
          <w:p w:rsidR="00E412B0" w:rsidRDefault="00520F3E">
            <w:pPr>
              <w:jc w:val="center"/>
            </w:pPr>
            <w:r>
              <w:rPr>
                <w:rFonts w:eastAsiaTheme="minorEastAsia"/>
                <w:color w:val="000000" w:themeColor="text1"/>
                <w:kern w:val="0"/>
              </w:rPr>
              <w:t>0.91%</w:t>
            </w:r>
          </w:p>
        </w:tc>
        <w:tc>
          <w:tcPr>
            <w:tcW w:w="1181" w:type="dxa"/>
            <w:vAlign w:val="center"/>
          </w:tcPr>
          <w:p w:rsidR="00E412B0" w:rsidRDefault="00520F3E">
            <w:pPr>
              <w:jc w:val="center"/>
            </w:pPr>
            <w:r>
              <w:rPr>
                <w:rFonts w:eastAsiaTheme="minorEastAsia"/>
                <w:color w:val="000000" w:themeColor="text1"/>
                <w:kern w:val="0"/>
              </w:rPr>
              <w:t>2.88%</w:t>
            </w:r>
          </w:p>
        </w:tc>
        <w:tc>
          <w:tcPr>
            <w:tcW w:w="1188" w:type="dxa"/>
            <w:vAlign w:val="center"/>
          </w:tcPr>
          <w:p w:rsidR="00E412B0" w:rsidRDefault="00520F3E">
            <w:pPr>
              <w:jc w:val="center"/>
            </w:pPr>
            <w:r>
              <w:rPr>
                <w:rFonts w:eastAsiaTheme="minorEastAsia"/>
                <w:color w:val="000000" w:themeColor="text1"/>
                <w:kern w:val="0"/>
              </w:rPr>
              <w:t>0.78%</w:t>
            </w:r>
          </w:p>
        </w:tc>
        <w:tc>
          <w:tcPr>
            <w:tcW w:w="1199" w:type="dxa"/>
            <w:vAlign w:val="center"/>
          </w:tcPr>
          <w:p w:rsidR="00E412B0" w:rsidRDefault="00520F3E">
            <w:pPr>
              <w:jc w:val="center"/>
            </w:pPr>
            <w:r>
              <w:rPr>
                <w:rFonts w:eastAsiaTheme="minorEastAsia"/>
                <w:color w:val="000000" w:themeColor="text1"/>
                <w:kern w:val="0"/>
              </w:rPr>
              <w:t>-1.88%</w:t>
            </w:r>
          </w:p>
        </w:tc>
        <w:tc>
          <w:tcPr>
            <w:tcW w:w="1204" w:type="dxa"/>
            <w:vAlign w:val="center"/>
          </w:tcPr>
          <w:p w:rsidR="00E412B0" w:rsidRDefault="00520F3E">
            <w:pPr>
              <w:jc w:val="center"/>
            </w:pPr>
            <w:r>
              <w:rPr>
                <w:rFonts w:eastAsiaTheme="minorEastAsia"/>
                <w:color w:val="000000" w:themeColor="text1"/>
                <w:kern w:val="0"/>
              </w:rPr>
              <w:t>0.13%</w:t>
            </w:r>
          </w:p>
        </w:tc>
      </w:tr>
      <w:tr w:rsidR="00E412B0">
        <w:tc>
          <w:tcPr>
            <w:tcW w:w="1395" w:type="dxa"/>
            <w:vAlign w:val="center"/>
          </w:tcPr>
          <w:p w:rsidR="00E412B0" w:rsidRDefault="00520F3E">
            <w:pPr>
              <w:jc w:val="left"/>
            </w:pPr>
            <w:r>
              <w:rPr>
                <w:rFonts w:eastAsiaTheme="minorEastAsia"/>
                <w:color w:val="000000" w:themeColor="text1"/>
                <w:kern w:val="0"/>
              </w:rPr>
              <w:t>过去六个月</w:t>
            </w:r>
          </w:p>
        </w:tc>
        <w:tc>
          <w:tcPr>
            <w:tcW w:w="1092" w:type="dxa"/>
            <w:vAlign w:val="center"/>
          </w:tcPr>
          <w:p w:rsidR="00E412B0" w:rsidRDefault="00520F3E">
            <w:pPr>
              <w:jc w:val="center"/>
            </w:pPr>
            <w:r>
              <w:rPr>
                <w:rFonts w:eastAsiaTheme="minorEastAsia"/>
                <w:color w:val="000000" w:themeColor="text1"/>
                <w:kern w:val="0"/>
              </w:rPr>
              <w:t>12.17%</w:t>
            </w:r>
          </w:p>
        </w:tc>
        <w:tc>
          <w:tcPr>
            <w:tcW w:w="1161" w:type="dxa"/>
            <w:vAlign w:val="center"/>
          </w:tcPr>
          <w:p w:rsidR="00E412B0" w:rsidRDefault="00520F3E">
            <w:pPr>
              <w:jc w:val="center"/>
            </w:pPr>
            <w:r>
              <w:rPr>
                <w:rFonts w:eastAsiaTheme="minorEastAsia"/>
                <w:color w:val="000000" w:themeColor="text1"/>
                <w:kern w:val="0"/>
              </w:rPr>
              <w:t>1.12%</w:t>
            </w:r>
          </w:p>
        </w:tc>
        <w:tc>
          <w:tcPr>
            <w:tcW w:w="1181" w:type="dxa"/>
            <w:vAlign w:val="center"/>
          </w:tcPr>
          <w:p w:rsidR="00E412B0" w:rsidRDefault="00520F3E">
            <w:pPr>
              <w:jc w:val="center"/>
            </w:pPr>
            <w:r>
              <w:rPr>
                <w:rFonts w:eastAsiaTheme="minorEastAsia"/>
                <w:color w:val="000000" w:themeColor="text1"/>
                <w:kern w:val="0"/>
              </w:rPr>
              <w:t>0.24%</w:t>
            </w:r>
          </w:p>
        </w:tc>
        <w:tc>
          <w:tcPr>
            <w:tcW w:w="1188" w:type="dxa"/>
            <w:vAlign w:val="center"/>
          </w:tcPr>
          <w:p w:rsidR="00E412B0" w:rsidRDefault="00520F3E">
            <w:pPr>
              <w:jc w:val="center"/>
            </w:pPr>
            <w:r>
              <w:rPr>
                <w:rFonts w:eastAsiaTheme="minorEastAsia"/>
                <w:color w:val="000000" w:themeColor="text1"/>
                <w:kern w:val="0"/>
              </w:rPr>
              <w:t>1.05%</w:t>
            </w:r>
          </w:p>
        </w:tc>
        <w:tc>
          <w:tcPr>
            <w:tcW w:w="1199" w:type="dxa"/>
            <w:vAlign w:val="center"/>
          </w:tcPr>
          <w:p w:rsidR="00E412B0" w:rsidRDefault="00520F3E">
            <w:pPr>
              <w:jc w:val="center"/>
            </w:pPr>
            <w:r>
              <w:rPr>
                <w:rFonts w:eastAsiaTheme="minorEastAsia"/>
                <w:color w:val="000000" w:themeColor="text1"/>
                <w:kern w:val="0"/>
              </w:rPr>
              <w:t>11.93%</w:t>
            </w:r>
          </w:p>
        </w:tc>
        <w:tc>
          <w:tcPr>
            <w:tcW w:w="1204" w:type="dxa"/>
            <w:vAlign w:val="center"/>
          </w:tcPr>
          <w:p w:rsidR="00E412B0" w:rsidRDefault="00520F3E">
            <w:pPr>
              <w:jc w:val="center"/>
            </w:pPr>
            <w:r>
              <w:rPr>
                <w:rFonts w:eastAsiaTheme="minorEastAsia"/>
                <w:color w:val="000000" w:themeColor="text1"/>
                <w:kern w:val="0"/>
              </w:rPr>
              <w:t>0.07%</w:t>
            </w:r>
          </w:p>
        </w:tc>
      </w:tr>
      <w:tr w:rsidR="00E412B0">
        <w:tc>
          <w:tcPr>
            <w:tcW w:w="1395" w:type="dxa"/>
            <w:vAlign w:val="center"/>
          </w:tcPr>
          <w:p w:rsidR="00E412B0" w:rsidRDefault="00520F3E">
            <w:pPr>
              <w:jc w:val="left"/>
            </w:pPr>
            <w:r>
              <w:rPr>
                <w:rFonts w:eastAsiaTheme="minorEastAsia"/>
                <w:color w:val="000000" w:themeColor="text1"/>
                <w:kern w:val="0"/>
              </w:rPr>
              <w:t>过去一年</w:t>
            </w:r>
          </w:p>
        </w:tc>
        <w:tc>
          <w:tcPr>
            <w:tcW w:w="1092" w:type="dxa"/>
            <w:vAlign w:val="center"/>
          </w:tcPr>
          <w:p w:rsidR="00E412B0" w:rsidRDefault="00520F3E">
            <w:pPr>
              <w:jc w:val="center"/>
            </w:pPr>
            <w:r>
              <w:rPr>
                <w:rFonts w:eastAsiaTheme="minorEastAsia"/>
                <w:color w:val="000000" w:themeColor="text1"/>
                <w:kern w:val="0"/>
              </w:rPr>
              <w:t>42.81%</w:t>
            </w:r>
          </w:p>
        </w:tc>
        <w:tc>
          <w:tcPr>
            <w:tcW w:w="1161" w:type="dxa"/>
            <w:vAlign w:val="center"/>
          </w:tcPr>
          <w:p w:rsidR="00E412B0" w:rsidRDefault="00520F3E">
            <w:pPr>
              <w:jc w:val="center"/>
            </w:pPr>
            <w:r>
              <w:rPr>
                <w:rFonts w:eastAsiaTheme="minorEastAsia"/>
                <w:color w:val="000000" w:themeColor="text1"/>
                <w:kern w:val="0"/>
              </w:rPr>
              <w:t>1.25%</w:t>
            </w:r>
          </w:p>
        </w:tc>
        <w:tc>
          <w:tcPr>
            <w:tcW w:w="1181" w:type="dxa"/>
            <w:vAlign w:val="center"/>
          </w:tcPr>
          <w:p w:rsidR="00E412B0" w:rsidRDefault="00520F3E">
            <w:pPr>
              <w:jc w:val="center"/>
            </w:pPr>
            <w:r>
              <w:rPr>
                <w:rFonts w:eastAsiaTheme="minorEastAsia"/>
                <w:color w:val="000000" w:themeColor="text1"/>
                <w:kern w:val="0"/>
              </w:rPr>
              <w:t>20.22%</w:t>
            </w:r>
          </w:p>
        </w:tc>
        <w:tc>
          <w:tcPr>
            <w:tcW w:w="1188" w:type="dxa"/>
            <w:vAlign w:val="center"/>
          </w:tcPr>
          <w:p w:rsidR="00E412B0" w:rsidRDefault="00520F3E">
            <w:pPr>
              <w:jc w:val="center"/>
            </w:pPr>
            <w:r>
              <w:rPr>
                <w:rFonts w:eastAsiaTheme="minorEastAsia"/>
                <w:color w:val="000000" w:themeColor="text1"/>
                <w:kern w:val="0"/>
              </w:rPr>
              <w:t>1.06%</w:t>
            </w:r>
          </w:p>
        </w:tc>
        <w:tc>
          <w:tcPr>
            <w:tcW w:w="1199" w:type="dxa"/>
            <w:vAlign w:val="center"/>
          </w:tcPr>
          <w:p w:rsidR="00E412B0" w:rsidRDefault="00520F3E">
            <w:pPr>
              <w:jc w:val="center"/>
            </w:pPr>
            <w:r>
              <w:rPr>
                <w:rFonts w:eastAsiaTheme="minorEastAsia"/>
                <w:color w:val="000000" w:themeColor="text1"/>
                <w:kern w:val="0"/>
              </w:rPr>
              <w:t>22.59%</w:t>
            </w:r>
          </w:p>
        </w:tc>
        <w:tc>
          <w:tcPr>
            <w:tcW w:w="1204" w:type="dxa"/>
            <w:vAlign w:val="center"/>
          </w:tcPr>
          <w:p w:rsidR="00E412B0" w:rsidRDefault="00520F3E">
            <w:pPr>
              <w:jc w:val="center"/>
            </w:pPr>
            <w:r>
              <w:rPr>
                <w:rFonts w:eastAsiaTheme="minorEastAsia"/>
                <w:color w:val="000000" w:themeColor="text1"/>
                <w:kern w:val="0"/>
              </w:rPr>
              <w:t>0.19%</w:t>
            </w:r>
          </w:p>
        </w:tc>
      </w:tr>
      <w:tr w:rsidR="00E412B0">
        <w:tc>
          <w:tcPr>
            <w:tcW w:w="1395" w:type="dxa"/>
            <w:vAlign w:val="center"/>
          </w:tcPr>
          <w:p w:rsidR="00E412B0" w:rsidRDefault="00520F3E">
            <w:pPr>
              <w:jc w:val="left"/>
            </w:pPr>
            <w:r>
              <w:rPr>
                <w:rFonts w:eastAsiaTheme="minorEastAsia"/>
                <w:color w:val="000000" w:themeColor="text1"/>
                <w:kern w:val="0"/>
              </w:rPr>
              <w:t>过去三年</w:t>
            </w:r>
          </w:p>
        </w:tc>
        <w:tc>
          <w:tcPr>
            <w:tcW w:w="1092" w:type="dxa"/>
            <w:vAlign w:val="center"/>
          </w:tcPr>
          <w:p w:rsidR="00E412B0" w:rsidRDefault="00520F3E">
            <w:pPr>
              <w:jc w:val="center"/>
            </w:pPr>
            <w:r>
              <w:rPr>
                <w:rFonts w:eastAsiaTheme="minorEastAsia"/>
                <w:color w:val="000000" w:themeColor="text1"/>
                <w:kern w:val="0"/>
              </w:rPr>
              <w:t>77.93%</w:t>
            </w:r>
          </w:p>
        </w:tc>
        <w:tc>
          <w:tcPr>
            <w:tcW w:w="1161" w:type="dxa"/>
            <w:vAlign w:val="center"/>
          </w:tcPr>
          <w:p w:rsidR="00E412B0" w:rsidRDefault="00520F3E">
            <w:pPr>
              <w:jc w:val="center"/>
            </w:pPr>
            <w:r>
              <w:rPr>
                <w:rFonts w:eastAsiaTheme="minorEastAsia"/>
                <w:color w:val="000000" w:themeColor="text1"/>
                <w:kern w:val="0"/>
              </w:rPr>
              <w:t>1.43%</w:t>
            </w:r>
          </w:p>
        </w:tc>
        <w:tc>
          <w:tcPr>
            <w:tcW w:w="1181" w:type="dxa"/>
            <w:vAlign w:val="center"/>
          </w:tcPr>
          <w:p w:rsidR="00E412B0" w:rsidRDefault="00520F3E">
            <w:pPr>
              <w:jc w:val="center"/>
            </w:pPr>
            <w:r>
              <w:rPr>
                <w:rFonts w:eastAsiaTheme="minorEastAsia"/>
                <w:color w:val="000000" w:themeColor="text1"/>
                <w:kern w:val="0"/>
              </w:rPr>
              <w:t>39.89%</w:t>
            </w:r>
          </w:p>
        </w:tc>
        <w:tc>
          <w:tcPr>
            <w:tcW w:w="1188" w:type="dxa"/>
            <w:vAlign w:val="center"/>
          </w:tcPr>
          <w:p w:rsidR="00E412B0" w:rsidRDefault="00520F3E">
            <w:pPr>
              <w:jc w:val="center"/>
            </w:pPr>
            <w:r>
              <w:rPr>
                <w:rFonts w:eastAsiaTheme="minorEastAsia"/>
                <w:color w:val="000000" w:themeColor="text1"/>
                <w:kern w:val="0"/>
              </w:rPr>
              <w:t>1.09%</w:t>
            </w:r>
          </w:p>
        </w:tc>
        <w:tc>
          <w:tcPr>
            <w:tcW w:w="1199" w:type="dxa"/>
            <w:vAlign w:val="center"/>
          </w:tcPr>
          <w:p w:rsidR="00E412B0" w:rsidRDefault="00520F3E">
            <w:pPr>
              <w:jc w:val="center"/>
            </w:pPr>
            <w:r>
              <w:rPr>
                <w:rFonts w:eastAsiaTheme="minorEastAsia"/>
                <w:color w:val="000000" w:themeColor="text1"/>
                <w:kern w:val="0"/>
              </w:rPr>
              <w:t>38.04%</w:t>
            </w:r>
          </w:p>
        </w:tc>
        <w:tc>
          <w:tcPr>
            <w:tcW w:w="1204" w:type="dxa"/>
            <w:vAlign w:val="center"/>
          </w:tcPr>
          <w:p w:rsidR="00E412B0" w:rsidRDefault="00520F3E">
            <w:pPr>
              <w:jc w:val="center"/>
            </w:pPr>
            <w:r>
              <w:rPr>
                <w:rFonts w:eastAsiaTheme="minorEastAsia"/>
                <w:color w:val="000000" w:themeColor="text1"/>
                <w:kern w:val="0"/>
              </w:rPr>
              <w:t>0.34%</w:t>
            </w:r>
          </w:p>
        </w:tc>
      </w:tr>
      <w:tr w:rsidR="00E412B0">
        <w:tc>
          <w:tcPr>
            <w:tcW w:w="1395" w:type="dxa"/>
            <w:vAlign w:val="center"/>
          </w:tcPr>
          <w:p w:rsidR="00E412B0" w:rsidRDefault="00520F3E">
            <w:pPr>
              <w:jc w:val="left"/>
            </w:pPr>
            <w:r>
              <w:rPr>
                <w:rFonts w:eastAsiaTheme="minorEastAsia"/>
                <w:color w:val="000000" w:themeColor="text1"/>
                <w:kern w:val="0"/>
              </w:rPr>
              <w:t>过去五年</w:t>
            </w:r>
          </w:p>
        </w:tc>
        <w:tc>
          <w:tcPr>
            <w:tcW w:w="1092" w:type="dxa"/>
            <w:vAlign w:val="center"/>
          </w:tcPr>
          <w:p w:rsidR="00E412B0" w:rsidRDefault="00520F3E">
            <w:pPr>
              <w:jc w:val="center"/>
            </w:pPr>
            <w:r>
              <w:rPr>
                <w:rFonts w:eastAsiaTheme="minorEastAsia"/>
                <w:color w:val="000000" w:themeColor="text1"/>
                <w:kern w:val="0"/>
              </w:rPr>
              <w:t>84.74%</w:t>
            </w:r>
          </w:p>
        </w:tc>
        <w:tc>
          <w:tcPr>
            <w:tcW w:w="1161" w:type="dxa"/>
            <w:vAlign w:val="center"/>
          </w:tcPr>
          <w:p w:rsidR="00E412B0" w:rsidRDefault="00520F3E">
            <w:pPr>
              <w:jc w:val="center"/>
            </w:pPr>
            <w:r>
              <w:rPr>
                <w:rFonts w:eastAsiaTheme="minorEastAsia"/>
                <w:color w:val="000000" w:themeColor="text1"/>
                <w:kern w:val="0"/>
              </w:rPr>
              <w:t>1.29%</w:t>
            </w:r>
          </w:p>
        </w:tc>
        <w:tc>
          <w:tcPr>
            <w:tcW w:w="1181" w:type="dxa"/>
            <w:vAlign w:val="center"/>
          </w:tcPr>
          <w:p w:rsidR="00E412B0" w:rsidRDefault="00520F3E">
            <w:pPr>
              <w:jc w:val="center"/>
            </w:pPr>
            <w:r>
              <w:rPr>
                <w:rFonts w:eastAsiaTheme="minorEastAsia"/>
                <w:color w:val="000000" w:themeColor="text1"/>
                <w:kern w:val="0"/>
              </w:rPr>
              <w:t>52.80%</w:t>
            </w:r>
          </w:p>
        </w:tc>
        <w:tc>
          <w:tcPr>
            <w:tcW w:w="1188" w:type="dxa"/>
            <w:vAlign w:val="center"/>
          </w:tcPr>
          <w:p w:rsidR="00E412B0" w:rsidRDefault="00520F3E">
            <w:pPr>
              <w:jc w:val="center"/>
            </w:pPr>
            <w:r>
              <w:rPr>
                <w:rFonts w:eastAsiaTheme="minorEastAsia"/>
                <w:color w:val="000000" w:themeColor="text1"/>
                <w:kern w:val="0"/>
              </w:rPr>
              <w:t>0.94%</w:t>
            </w:r>
          </w:p>
        </w:tc>
        <w:tc>
          <w:tcPr>
            <w:tcW w:w="1199" w:type="dxa"/>
            <w:vAlign w:val="center"/>
          </w:tcPr>
          <w:p w:rsidR="00E412B0" w:rsidRDefault="00520F3E">
            <w:pPr>
              <w:jc w:val="center"/>
            </w:pPr>
            <w:r>
              <w:rPr>
                <w:rFonts w:eastAsiaTheme="minorEastAsia"/>
                <w:color w:val="000000" w:themeColor="text1"/>
                <w:kern w:val="0"/>
              </w:rPr>
              <w:t>31.94%</w:t>
            </w:r>
          </w:p>
        </w:tc>
        <w:tc>
          <w:tcPr>
            <w:tcW w:w="1204" w:type="dxa"/>
            <w:vAlign w:val="center"/>
          </w:tcPr>
          <w:p w:rsidR="00E412B0" w:rsidRDefault="00520F3E">
            <w:pPr>
              <w:jc w:val="center"/>
            </w:pPr>
            <w:r>
              <w:rPr>
                <w:rFonts w:eastAsiaTheme="minorEastAsia"/>
                <w:color w:val="000000" w:themeColor="text1"/>
                <w:kern w:val="0"/>
              </w:rPr>
              <w:t>0.35%</w:t>
            </w:r>
          </w:p>
        </w:tc>
      </w:tr>
      <w:tr w:rsidR="00E412B0">
        <w:tc>
          <w:tcPr>
            <w:tcW w:w="1395" w:type="dxa"/>
            <w:vAlign w:val="center"/>
          </w:tcPr>
          <w:p w:rsidR="00E412B0" w:rsidRDefault="00520F3E">
            <w:pPr>
              <w:jc w:val="left"/>
            </w:pPr>
            <w:r>
              <w:rPr>
                <w:rFonts w:eastAsiaTheme="minorEastAsia"/>
                <w:color w:val="000000" w:themeColor="text1"/>
                <w:kern w:val="0"/>
              </w:rPr>
              <w:t>自基金合同生效起至今</w:t>
            </w:r>
          </w:p>
        </w:tc>
        <w:tc>
          <w:tcPr>
            <w:tcW w:w="1092" w:type="dxa"/>
            <w:vAlign w:val="center"/>
          </w:tcPr>
          <w:p w:rsidR="00E412B0" w:rsidRDefault="00520F3E">
            <w:pPr>
              <w:jc w:val="center"/>
            </w:pPr>
            <w:r>
              <w:rPr>
                <w:rFonts w:eastAsiaTheme="minorEastAsia"/>
                <w:color w:val="000000" w:themeColor="text1"/>
                <w:kern w:val="0"/>
              </w:rPr>
              <w:t>846.04%</w:t>
            </w:r>
          </w:p>
        </w:tc>
        <w:tc>
          <w:tcPr>
            <w:tcW w:w="1161" w:type="dxa"/>
            <w:vAlign w:val="center"/>
          </w:tcPr>
          <w:p w:rsidR="00E412B0" w:rsidRDefault="00520F3E">
            <w:pPr>
              <w:jc w:val="center"/>
            </w:pPr>
            <w:r>
              <w:rPr>
                <w:rFonts w:eastAsiaTheme="minorEastAsia"/>
                <w:color w:val="000000" w:themeColor="text1"/>
                <w:kern w:val="0"/>
              </w:rPr>
              <w:t>1.60%</w:t>
            </w:r>
          </w:p>
        </w:tc>
        <w:tc>
          <w:tcPr>
            <w:tcW w:w="1181" w:type="dxa"/>
            <w:vAlign w:val="center"/>
          </w:tcPr>
          <w:p w:rsidR="00E412B0" w:rsidRDefault="00520F3E">
            <w:pPr>
              <w:jc w:val="center"/>
            </w:pPr>
            <w:r>
              <w:rPr>
                <w:rFonts w:eastAsiaTheme="minorEastAsia"/>
                <w:color w:val="000000" w:themeColor="text1"/>
                <w:kern w:val="0"/>
              </w:rPr>
              <w:t>408.95%</w:t>
            </w:r>
          </w:p>
        </w:tc>
        <w:tc>
          <w:tcPr>
            <w:tcW w:w="1188" w:type="dxa"/>
            <w:vAlign w:val="center"/>
          </w:tcPr>
          <w:p w:rsidR="00E412B0" w:rsidRDefault="00520F3E">
            <w:pPr>
              <w:jc w:val="center"/>
            </w:pPr>
            <w:r>
              <w:rPr>
                <w:rFonts w:eastAsiaTheme="minorEastAsia"/>
                <w:color w:val="000000" w:themeColor="text1"/>
                <w:kern w:val="0"/>
              </w:rPr>
              <w:t>1.36%</w:t>
            </w:r>
          </w:p>
        </w:tc>
        <w:tc>
          <w:tcPr>
            <w:tcW w:w="1199" w:type="dxa"/>
            <w:vAlign w:val="center"/>
          </w:tcPr>
          <w:p w:rsidR="00E412B0" w:rsidRDefault="00520F3E">
            <w:pPr>
              <w:jc w:val="center"/>
            </w:pPr>
            <w:r>
              <w:rPr>
                <w:rFonts w:eastAsiaTheme="minorEastAsia"/>
                <w:color w:val="000000" w:themeColor="text1"/>
                <w:kern w:val="0"/>
              </w:rPr>
              <w:t>437.09%</w:t>
            </w:r>
          </w:p>
        </w:tc>
        <w:tc>
          <w:tcPr>
            <w:tcW w:w="1204" w:type="dxa"/>
            <w:vAlign w:val="center"/>
          </w:tcPr>
          <w:p w:rsidR="00E412B0" w:rsidRDefault="00520F3E">
            <w:pPr>
              <w:jc w:val="center"/>
            </w:pPr>
            <w:r>
              <w:rPr>
                <w:rFonts w:eastAsiaTheme="minorEastAsia"/>
                <w:color w:val="000000" w:themeColor="text1"/>
                <w:kern w:val="0"/>
              </w:rPr>
              <w:t>0.24%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上投摩根阿尔法混合型证券投资基金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(2005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10</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E412B0" w:rsidRDefault="00520F3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2005</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rsidR="00E412B0" w:rsidRDefault="00520F3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本基金建仓期为本基金合同生效日起</w:t>
      </w:r>
      <w:r>
        <w:rPr>
          <w:rFonts w:eastAsiaTheme="minorEastAsia"/>
          <w:color w:val="000000" w:themeColor="text1"/>
        </w:rPr>
        <w:t>6</w:t>
      </w:r>
      <w:r>
        <w:rPr>
          <w:rFonts w:eastAsiaTheme="minorEastAsia"/>
          <w:color w:val="000000" w:themeColor="text1"/>
        </w:rPr>
        <w:t>个月，建仓期结束时资产配置比例符合本基金基金合同规定。</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本基金自</w:t>
      </w:r>
      <w:r w:rsidRPr="00FF6B9A">
        <w:rPr>
          <w:rFonts w:eastAsiaTheme="minorEastAsia"/>
          <w:color w:val="000000" w:themeColor="text1"/>
        </w:rPr>
        <w:t>2013</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7</w:t>
      </w:r>
      <w:r w:rsidRPr="00FF6B9A">
        <w:rPr>
          <w:rFonts w:eastAsiaTheme="minorEastAsia"/>
          <w:color w:val="000000" w:themeColor="text1"/>
        </w:rPr>
        <w:t>日起，将基金业绩比较基准由</w:t>
      </w:r>
      <w:r w:rsidRPr="00FF6B9A">
        <w:rPr>
          <w:rFonts w:eastAsiaTheme="minorEastAsia"/>
          <w:color w:val="000000" w:themeColor="text1"/>
        </w:rPr>
        <w:t>“</w:t>
      </w:r>
      <w:r w:rsidRPr="00FF6B9A">
        <w:rPr>
          <w:rFonts w:eastAsiaTheme="minorEastAsia"/>
          <w:color w:val="000000" w:themeColor="text1"/>
        </w:rPr>
        <w:t>富时中国</w:t>
      </w:r>
      <w:r w:rsidRPr="00FF6B9A">
        <w:rPr>
          <w:rFonts w:eastAsiaTheme="minorEastAsia"/>
          <w:color w:val="000000" w:themeColor="text1"/>
        </w:rPr>
        <w:t>A</w:t>
      </w:r>
      <w:r w:rsidRPr="00FF6B9A">
        <w:rPr>
          <w:rFonts w:eastAsiaTheme="minorEastAsia"/>
          <w:color w:val="000000" w:themeColor="text1"/>
        </w:rPr>
        <w:t>全指</w:t>
      </w:r>
      <w:r w:rsidRPr="00FF6B9A">
        <w:rPr>
          <w:rFonts w:eastAsiaTheme="minorEastAsia"/>
          <w:color w:val="000000" w:themeColor="text1"/>
        </w:rPr>
        <w:t>×80%+</w:t>
      </w:r>
      <w:r w:rsidRPr="00FF6B9A">
        <w:rPr>
          <w:rFonts w:eastAsiaTheme="minorEastAsia"/>
          <w:color w:val="000000" w:themeColor="text1"/>
        </w:rPr>
        <w:t>同业存款利率</w:t>
      </w:r>
      <w:r w:rsidRPr="00FF6B9A">
        <w:rPr>
          <w:rFonts w:eastAsiaTheme="minorEastAsia"/>
          <w:color w:val="000000" w:themeColor="text1"/>
        </w:rPr>
        <w:t>×20%”</w:t>
      </w:r>
      <w:r w:rsidRPr="00FF6B9A">
        <w:rPr>
          <w:rFonts w:eastAsiaTheme="minorEastAsia"/>
          <w:color w:val="000000" w:themeColor="text1"/>
        </w:rPr>
        <w:t>变更为</w:t>
      </w:r>
      <w:r w:rsidRPr="00FF6B9A">
        <w:rPr>
          <w:rFonts w:eastAsiaTheme="minorEastAsia"/>
          <w:color w:val="000000" w:themeColor="text1"/>
        </w:rPr>
        <w:t>""</w:t>
      </w:r>
      <w:r w:rsidRPr="00FF6B9A">
        <w:rPr>
          <w:rFonts w:eastAsiaTheme="minorEastAsia"/>
          <w:color w:val="000000" w:themeColor="text1"/>
        </w:rPr>
        <w:t>沪深</w:t>
      </w:r>
      <w:r w:rsidRPr="00FF6B9A">
        <w:rPr>
          <w:rFonts w:eastAsiaTheme="minorEastAsia"/>
          <w:color w:val="000000" w:themeColor="text1"/>
        </w:rPr>
        <w:t>300</w:t>
      </w:r>
      <w:r w:rsidRPr="00FF6B9A">
        <w:rPr>
          <w:rFonts w:eastAsiaTheme="minorEastAsia"/>
          <w:color w:val="000000" w:themeColor="text1"/>
        </w:rPr>
        <w:t>指数收益率</w:t>
      </w:r>
      <w:r w:rsidRPr="00FF6B9A">
        <w:rPr>
          <w:rFonts w:eastAsiaTheme="minorEastAsia"/>
          <w:color w:val="000000" w:themeColor="text1"/>
        </w:rPr>
        <w:t>×80%+</w:t>
      </w:r>
      <w:r w:rsidRPr="00FF6B9A">
        <w:rPr>
          <w:rFonts w:eastAsiaTheme="minorEastAsia"/>
          <w:color w:val="000000" w:themeColor="text1"/>
        </w:rPr>
        <w:t>中债总指数收益率</w:t>
      </w:r>
      <w:r w:rsidRPr="00FF6B9A">
        <w:rPr>
          <w:rFonts w:eastAsiaTheme="minorEastAsia"/>
          <w:color w:val="000000" w:themeColor="text1"/>
        </w:rPr>
        <w:t>×20%”</w:t>
      </w:r>
      <w:r w:rsidRPr="00FF6B9A">
        <w:rPr>
          <w:rFonts w:eastAsiaTheme="minorEastAsia"/>
          <w:color w:val="000000" w:themeColor="text1"/>
        </w:rPr>
        <w:t>。</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E412B0">
        <w:tc>
          <w:tcPr>
            <w:tcW w:w="851" w:type="dxa"/>
            <w:vAlign w:val="center"/>
          </w:tcPr>
          <w:p w:rsidR="00E412B0" w:rsidRDefault="00520F3E">
            <w:pPr>
              <w:jc w:val="center"/>
            </w:pPr>
            <w:r>
              <w:rPr>
                <w:rFonts w:eastAsiaTheme="minorEastAsia"/>
                <w:color w:val="000000" w:themeColor="text1"/>
              </w:rPr>
              <w:t>李博</w:t>
            </w:r>
          </w:p>
        </w:tc>
        <w:tc>
          <w:tcPr>
            <w:tcW w:w="850" w:type="dxa"/>
            <w:vAlign w:val="center"/>
          </w:tcPr>
          <w:p w:rsidR="00E412B0" w:rsidRDefault="00520F3E">
            <w:pPr>
              <w:jc w:val="center"/>
            </w:pPr>
            <w:r>
              <w:rPr>
                <w:rFonts w:eastAsiaTheme="minorEastAsia"/>
                <w:color w:val="000000" w:themeColor="text1"/>
              </w:rPr>
              <w:t>本基金基金经理</w:t>
            </w:r>
          </w:p>
        </w:tc>
        <w:tc>
          <w:tcPr>
            <w:tcW w:w="1560" w:type="dxa"/>
            <w:vAlign w:val="center"/>
          </w:tcPr>
          <w:p w:rsidR="00E412B0" w:rsidRDefault="00520F3E">
            <w:pPr>
              <w:jc w:val="center"/>
            </w:pPr>
            <w:r>
              <w:rPr>
                <w:rFonts w:eastAsiaTheme="minorEastAsia"/>
                <w:color w:val="000000" w:themeColor="text1"/>
              </w:rPr>
              <w:t>2015-09-18</w:t>
            </w:r>
          </w:p>
        </w:tc>
        <w:tc>
          <w:tcPr>
            <w:tcW w:w="1559" w:type="dxa"/>
            <w:vAlign w:val="center"/>
          </w:tcPr>
          <w:p w:rsidR="00E412B0" w:rsidRDefault="00520F3E">
            <w:pPr>
              <w:jc w:val="center"/>
            </w:pPr>
            <w:r>
              <w:rPr>
                <w:rFonts w:eastAsiaTheme="minorEastAsia"/>
                <w:color w:val="000000" w:themeColor="text1"/>
              </w:rPr>
              <w:t>-</w:t>
            </w:r>
          </w:p>
        </w:tc>
        <w:tc>
          <w:tcPr>
            <w:tcW w:w="1417" w:type="dxa"/>
            <w:vAlign w:val="center"/>
          </w:tcPr>
          <w:p w:rsidR="00E412B0" w:rsidRDefault="00520F3E">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E412B0" w:rsidRDefault="00520F3E">
            <w:r>
              <w:rPr>
                <w:rFonts w:eastAsiaTheme="minorEastAsia"/>
                <w:color w:val="000000" w:themeColor="text1"/>
              </w:rPr>
              <w:t>李博先生，上海交通大学硕士，自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月在中银国际证券有限公司担任研究员，负责研究方面的工作。自</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月起加入上投摩根基金管理有限公司，先后担任行业专家、基金经理、资深基金经理、国内权益投资部价值成长组组长兼资深基金</w:t>
            </w:r>
            <w:r>
              <w:rPr>
                <w:rFonts w:eastAsiaTheme="minorEastAsia"/>
                <w:color w:val="000000" w:themeColor="text1"/>
              </w:rPr>
              <w:lastRenderedPageBreak/>
              <w:t>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月起担任上投摩根核心成长股票型证券投资基金基金经理，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月同时担任上投摩根科技前沿灵活配置混合型证券投资基金基金经理，自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月起同时担任上投摩根阿尔法混合型证券投资基金基金经理，自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月起同时担任上投</w:t>
            </w:r>
            <w:r>
              <w:rPr>
                <w:rFonts w:eastAsiaTheme="minorEastAsia"/>
                <w:color w:val="000000" w:themeColor="text1"/>
              </w:rPr>
              <w:t>摩根双息平衡混合型证券投资基金基金经理，自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月起同时担任上投摩根核心精选股票型证券投资基金基金经理。</w:t>
            </w:r>
          </w:p>
        </w:tc>
      </w:tr>
    </w:tbl>
    <w:p w:rsidR="00E412B0" w:rsidRDefault="00520F3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阿尔法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w:t>
      </w:r>
      <w:r>
        <w:rPr>
          <w:rFonts w:eastAsiaTheme="minorEastAsia"/>
          <w:color w:val="000000" w:themeColor="text1"/>
        </w:rPr>
        <w:lastRenderedPageBreak/>
        <w:t>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二季度，市场震荡向上，但结构性分化较明显，沪深</w:t>
      </w:r>
      <w:r>
        <w:rPr>
          <w:rFonts w:eastAsiaTheme="minorEastAsia"/>
          <w:color w:val="000000" w:themeColor="text1"/>
        </w:rPr>
        <w:t>300</w:t>
      </w:r>
      <w:r>
        <w:rPr>
          <w:rFonts w:eastAsiaTheme="minorEastAsia"/>
          <w:color w:val="000000" w:themeColor="text1"/>
        </w:rPr>
        <w:t>上涨</w:t>
      </w:r>
      <w:r>
        <w:rPr>
          <w:rFonts w:eastAsiaTheme="minorEastAsia"/>
          <w:color w:val="000000" w:themeColor="text1"/>
        </w:rPr>
        <w:t>3.5%</w:t>
      </w:r>
      <w:r>
        <w:rPr>
          <w:rFonts w:eastAsiaTheme="minorEastAsia"/>
          <w:color w:val="000000" w:themeColor="text1"/>
        </w:rPr>
        <w:t>，创业板大涨</w:t>
      </w:r>
      <w:r>
        <w:rPr>
          <w:rFonts w:eastAsiaTheme="minorEastAsia"/>
          <w:color w:val="000000" w:themeColor="text1"/>
        </w:rPr>
        <w:t>26.1%</w:t>
      </w:r>
      <w:r>
        <w:rPr>
          <w:rFonts w:eastAsiaTheme="minorEastAsia"/>
          <w:color w:val="000000" w:themeColor="text1"/>
        </w:rPr>
        <w:t>。板块方面，电力设备和电子元器件领涨，农林牧渔、房地产和家电领跌。上半年以来国内经济向好，一季度国内生产总值</w:t>
      </w:r>
      <w:r>
        <w:rPr>
          <w:rFonts w:eastAsiaTheme="minorEastAsia"/>
          <w:color w:val="000000" w:themeColor="text1"/>
        </w:rPr>
        <w:t>24.93</w:t>
      </w:r>
      <w:r>
        <w:rPr>
          <w:rFonts w:eastAsiaTheme="minorEastAsia"/>
          <w:color w:val="000000" w:themeColor="text1"/>
        </w:rPr>
        <w:t>万亿，按可比价格计算，同比增长</w:t>
      </w:r>
      <w:r>
        <w:rPr>
          <w:rFonts w:eastAsiaTheme="minorEastAsia"/>
          <w:color w:val="000000" w:themeColor="text1"/>
        </w:rPr>
        <w:t>18.3%</w:t>
      </w:r>
      <w:r>
        <w:rPr>
          <w:rFonts w:eastAsiaTheme="minorEastAsia"/>
          <w:color w:val="000000" w:themeColor="text1"/>
        </w:rPr>
        <w:t>。伴随着经济回暖，企业盈利增速延续了去年下半年以来的向好趋势。本基金重点配置了估值和成长相匹配的个股，此外，本季度还减持了部分前期超额收益较多的个股，增持了部分市场关注度不高的成长股。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进入下半年，我们判断市场机会将大于风险，</w:t>
      </w:r>
      <w:r w:rsidRPr="00FF6B9A">
        <w:rPr>
          <w:rFonts w:eastAsiaTheme="minorEastAsia"/>
          <w:color w:val="000000" w:themeColor="text1"/>
        </w:rPr>
        <w:t>A</w:t>
      </w:r>
      <w:r w:rsidRPr="00FF6B9A">
        <w:rPr>
          <w:rFonts w:eastAsiaTheme="minorEastAsia"/>
          <w:color w:val="000000" w:themeColor="text1"/>
        </w:rPr>
        <w:t>股有望呈现结构性的投资机会。过去</w:t>
      </w:r>
      <w:r w:rsidRPr="00FF6B9A">
        <w:rPr>
          <w:rFonts w:eastAsiaTheme="minorEastAsia"/>
          <w:color w:val="000000" w:themeColor="text1"/>
        </w:rPr>
        <w:t>2</w:t>
      </w:r>
      <w:r w:rsidRPr="00FF6B9A">
        <w:rPr>
          <w:rFonts w:eastAsiaTheme="minorEastAsia"/>
          <w:color w:val="000000" w:themeColor="text1"/>
        </w:rPr>
        <w:t>年股价的上涨更多来源于估值的上升，站在目前的时点，我们认为未来公司估值继续提升的可能性大幅降低，我们将更看重公司业绩的增长。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本报告期上投摩根阿尔法混合份额净值增长率为</w:t>
      </w:r>
      <w:r w:rsidRPr="00FF6B9A">
        <w:rPr>
          <w:rFonts w:eastAsiaTheme="minorEastAsia"/>
          <w:color w:val="000000" w:themeColor="text1"/>
        </w:rPr>
        <w:t>:1.00%</w:t>
      </w:r>
      <w:r w:rsidRPr="00FF6B9A">
        <w:rPr>
          <w:rFonts w:eastAsiaTheme="minorEastAsia"/>
          <w:color w:val="000000" w:themeColor="text1"/>
        </w:rPr>
        <w:t>，同期业绩比较基准收益率为</w:t>
      </w:r>
      <w:r w:rsidRPr="00FF6B9A">
        <w:rPr>
          <w:rFonts w:eastAsiaTheme="minorEastAsia"/>
          <w:color w:val="000000" w:themeColor="text1"/>
        </w:rPr>
        <w:t>:2.88%</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lastRenderedPageBreak/>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1,098,181,252.43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75.02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1,098,181,252.43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75.02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357,540,020.45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24.43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8,044,654.13</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0.55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1,463,765,927.01</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917,570,221.05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63.56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13,020.39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12,484,814.41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11,721,779.22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21,018,254.27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80,943,197.34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5.61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17,808,510.00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17,513,198.10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5,407.65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798,850.00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18,304,000.00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1,098,181,252.43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76.07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E412B0">
        <w:tc>
          <w:tcPr>
            <w:tcW w:w="817" w:type="dxa"/>
            <w:vAlign w:val="center"/>
          </w:tcPr>
          <w:p w:rsidR="00E412B0" w:rsidRDefault="00520F3E">
            <w:pPr>
              <w:jc w:val="center"/>
            </w:pPr>
            <w:r>
              <w:rPr>
                <w:rFonts w:eastAsiaTheme="minorEastAsia"/>
                <w:kern w:val="0"/>
                <w:sz w:val="24"/>
                <w:szCs w:val="24"/>
              </w:rPr>
              <w:t>1</w:t>
            </w:r>
          </w:p>
        </w:tc>
        <w:tc>
          <w:tcPr>
            <w:tcW w:w="1276" w:type="dxa"/>
            <w:vAlign w:val="center"/>
          </w:tcPr>
          <w:p w:rsidR="00E412B0" w:rsidRDefault="00520F3E">
            <w:pPr>
              <w:jc w:val="center"/>
            </w:pPr>
            <w:r>
              <w:rPr>
                <w:rFonts w:eastAsiaTheme="minorEastAsia"/>
                <w:kern w:val="0"/>
                <w:sz w:val="24"/>
                <w:szCs w:val="24"/>
              </w:rPr>
              <w:t>002043</w:t>
            </w:r>
          </w:p>
        </w:tc>
        <w:tc>
          <w:tcPr>
            <w:tcW w:w="1701" w:type="dxa"/>
            <w:vAlign w:val="center"/>
          </w:tcPr>
          <w:p w:rsidR="00E412B0" w:rsidRDefault="00520F3E">
            <w:pPr>
              <w:jc w:val="center"/>
            </w:pPr>
            <w:r>
              <w:rPr>
                <w:rFonts w:eastAsiaTheme="minorEastAsia"/>
                <w:kern w:val="0"/>
                <w:sz w:val="24"/>
                <w:szCs w:val="24"/>
              </w:rPr>
              <w:t>兔宝宝</w:t>
            </w:r>
          </w:p>
        </w:tc>
        <w:tc>
          <w:tcPr>
            <w:tcW w:w="1276" w:type="dxa"/>
            <w:vAlign w:val="center"/>
          </w:tcPr>
          <w:p w:rsidR="00E412B0" w:rsidRDefault="00520F3E">
            <w:pPr>
              <w:jc w:val="right"/>
            </w:pPr>
            <w:r>
              <w:rPr>
                <w:rFonts w:eastAsiaTheme="minorEastAsia"/>
                <w:kern w:val="0"/>
                <w:sz w:val="24"/>
                <w:szCs w:val="24"/>
              </w:rPr>
              <w:t>13,158,450</w:t>
            </w:r>
          </w:p>
        </w:tc>
        <w:tc>
          <w:tcPr>
            <w:tcW w:w="1842" w:type="dxa"/>
            <w:vAlign w:val="center"/>
          </w:tcPr>
          <w:p w:rsidR="00E412B0" w:rsidRDefault="00520F3E">
            <w:pPr>
              <w:jc w:val="right"/>
            </w:pPr>
            <w:r>
              <w:rPr>
                <w:rFonts w:eastAsiaTheme="minorEastAsia"/>
                <w:kern w:val="0"/>
                <w:sz w:val="24"/>
                <w:szCs w:val="24"/>
              </w:rPr>
              <w:t>129,742,317.00</w:t>
            </w:r>
          </w:p>
        </w:tc>
        <w:tc>
          <w:tcPr>
            <w:tcW w:w="1616" w:type="dxa"/>
            <w:vAlign w:val="center"/>
          </w:tcPr>
          <w:p w:rsidR="00E412B0" w:rsidRDefault="00520F3E">
            <w:pPr>
              <w:jc w:val="right"/>
            </w:pPr>
            <w:r>
              <w:rPr>
                <w:rFonts w:eastAsiaTheme="minorEastAsia"/>
                <w:kern w:val="0"/>
                <w:sz w:val="24"/>
                <w:szCs w:val="24"/>
              </w:rPr>
              <w:t>8.99</w:t>
            </w:r>
          </w:p>
        </w:tc>
      </w:tr>
      <w:tr w:rsidR="00E412B0">
        <w:tc>
          <w:tcPr>
            <w:tcW w:w="817" w:type="dxa"/>
            <w:vAlign w:val="center"/>
          </w:tcPr>
          <w:p w:rsidR="00E412B0" w:rsidRDefault="00520F3E">
            <w:pPr>
              <w:jc w:val="center"/>
            </w:pPr>
            <w:r>
              <w:rPr>
                <w:rFonts w:eastAsiaTheme="minorEastAsia"/>
                <w:kern w:val="0"/>
                <w:sz w:val="24"/>
                <w:szCs w:val="24"/>
              </w:rPr>
              <w:t>2</w:t>
            </w:r>
          </w:p>
        </w:tc>
        <w:tc>
          <w:tcPr>
            <w:tcW w:w="1276" w:type="dxa"/>
            <w:vAlign w:val="center"/>
          </w:tcPr>
          <w:p w:rsidR="00E412B0" w:rsidRDefault="00520F3E">
            <w:pPr>
              <w:jc w:val="center"/>
            </w:pPr>
            <w:r>
              <w:rPr>
                <w:rFonts w:eastAsiaTheme="minorEastAsia"/>
                <w:kern w:val="0"/>
                <w:sz w:val="24"/>
                <w:szCs w:val="24"/>
              </w:rPr>
              <w:t>002236</w:t>
            </w:r>
          </w:p>
        </w:tc>
        <w:tc>
          <w:tcPr>
            <w:tcW w:w="1701" w:type="dxa"/>
            <w:vAlign w:val="center"/>
          </w:tcPr>
          <w:p w:rsidR="00E412B0" w:rsidRDefault="00520F3E">
            <w:pPr>
              <w:jc w:val="center"/>
            </w:pPr>
            <w:r>
              <w:rPr>
                <w:rFonts w:eastAsiaTheme="minorEastAsia"/>
                <w:kern w:val="0"/>
                <w:sz w:val="24"/>
                <w:szCs w:val="24"/>
              </w:rPr>
              <w:t>大华股份</w:t>
            </w:r>
          </w:p>
        </w:tc>
        <w:tc>
          <w:tcPr>
            <w:tcW w:w="1276" w:type="dxa"/>
            <w:vAlign w:val="center"/>
          </w:tcPr>
          <w:p w:rsidR="00E412B0" w:rsidRDefault="00520F3E">
            <w:pPr>
              <w:jc w:val="right"/>
            </w:pPr>
            <w:r>
              <w:rPr>
                <w:rFonts w:eastAsiaTheme="minorEastAsia"/>
                <w:kern w:val="0"/>
                <w:sz w:val="24"/>
                <w:szCs w:val="24"/>
              </w:rPr>
              <w:t>5,646,457</w:t>
            </w:r>
          </w:p>
        </w:tc>
        <w:tc>
          <w:tcPr>
            <w:tcW w:w="1842" w:type="dxa"/>
            <w:vAlign w:val="center"/>
          </w:tcPr>
          <w:p w:rsidR="00E412B0" w:rsidRDefault="00520F3E">
            <w:pPr>
              <w:jc w:val="right"/>
            </w:pPr>
            <w:r>
              <w:rPr>
                <w:rFonts w:eastAsiaTheme="minorEastAsia"/>
                <w:kern w:val="0"/>
                <w:sz w:val="24"/>
                <w:szCs w:val="24"/>
              </w:rPr>
              <w:t>119,140,242.70</w:t>
            </w:r>
          </w:p>
        </w:tc>
        <w:tc>
          <w:tcPr>
            <w:tcW w:w="1616" w:type="dxa"/>
            <w:vAlign w:val="center"/>
          </w:tcPr>
          <w:p w:rsidR="00E412B0" w:rsidRDefault="00520F3E">
            <w:pPr>
              <w:jc w:val="right"/>
            </w:pPr>
            <w:r>
              <w:rPr>
                <w:rFonts w:eastAsiaTheme="minorEastAsia"/>
                <w:kern w:val="0"/>
                <w:sz w:val="24"/>
                <w:szCs w:val="24"/>
              </w:rPr>
              <w:t>8.25</w:t>
            </w:r>
          </w:p>
        </w:tc>
      </w:tr>
      <w:tr w:rsidR="00E412B0">
        <w:tc>
          <w:tcPr>
            <w:tcW w:w="817" w:type="dxa"/>
            <w:vAlign w:val="center"/>
          </w:tcPr>
          <w:p w:rsidR="00E412B0" w:rsidRDefault="00520F3E">
            <w:pPr>
              <w:jc w:val="center"/>
            </w:pPr>
            <w:r>
              <w:rPr>
                <w:rFonts w:eastAsiaTheme="minorEastAsia"/>
                <w:kern w:val="0"/>
                <w:sz w:val="24"/>
                <w:szCs w:val="24"/>
              </w:rPr>
              <w:t>3</w:t>
            </w:r>
          </w:p>
        </w:tc>
        <w:tc>
          <w:tcPr>
            <w:tcW w:w="1276" w:type="dxa"/>
            <w:vAlign w:val="center"/>
          </w:tcPr>
          <w:p w:rsidR="00E412B0" w:rsidRDefault="00520F3E">
            <w:pPr>
              <w:jc w:val="center"/>
            </w:pPr>
            <w:r>
              <w:rPr>
                <w:rFonts w:eastAsiaTheme="minorEastAsia"/>
                <w:kern w:val="0"/>
                <w:sz w:val="24"/>
                <w:szCs w:val="24"/>
              </w:rPr>
              <w:t>603008</w:t>
            </w:r>
          </w:p>
        </w:tc>
        <w:tc>
          <w:tcPr>
            <w:tcW w:w="1701" w:type="dxa"/>
            <w:vAlign w:val="center"/>
          </w:tcPr>
          <w:p w:rsidR="00E412B0" w:rsidRDefault="00520F3E">
            <w:pPr>
              <w:jc w:val="center"/>
            </w:pPr>
            <w:r>
              <w:rPr>
                <w:rFonts w:eastAsiaTheme="minorEastAsia"/>
                <w:kern w:val="0"/>
                <w:sz w:val="24"/>
                <w:szCs w:val="24"/>
              </w:rPr>
              <w:t>喜临门</w:t>
            </w:r>
          </w:p>
        </w:tc>
        <w:tc>
          <w:tcPr>
            <w:tcW w:w="1276" w:type="dxa"/>
            <w:vAlign w:val="center"/>
          </w:tcPr>
          <w:p w:rsidR="00E412B0" w:rsidRDefault="00520F3E">
            <w:pPr>
              <w:jc w:val="right"/>
            </w:pPr>
            <w:r>
              <w:rPr>
                <w:rFonts w:eastAsiaTheme="minorEastAsia"/>
                <w:kern w:val="0"/>
                <w:sz w:val="24"/>
                <w:szCs w:val="24"/>
              </w:rPr>
              <w:t>3,407,347</w:t>
            </w:r>
          </w:p>
        </w:tc>
        <w:tc>
          <w:tcPr>
            <w:tcW w:w="1842" w:type="dxa"/>
            <w:vAlign w:val="center"/>
          </w:tcPr>
          <w:p w:rsidR="00E412B0" w:rsidRDefault="00520F3E">
            <w:pPr>
              <w:jc w:val="right"/>
            </w:pPr>
            <w:r>
              <w:rPr>
                <w:rFonts w:eastAsiaTheme="minorEastAsia"/>
                <w:kern w:val="0"/>
                <w:sz w:val="24"/>
                <w:szCs w:val="24"/>
              </w:rPr>
              <w:t>112,476,524.47</w:t>
            </w:r>
          </w:p>
        </w:tc>
        <w:tc>
          <w:tcPr>
            <w:tcW w:w="1616" w:type="dxa"/>
            <w:vAlign w:val="center"/>
          </w:tcPr>
          <w:p w:rsidR="00E412B0" w:rsidRDefault="00520F3E">
            <w:pPr>
              <w:jc w:val="right"/>
            </w:pPr>
            <w:r>
              <w:rPr>
                <w:rFonts w:eastAsiaTheme="minorEastAsia"/>
                <w:kern w:val="0"/>
                <w:sz w:val="24"/>
                <w:szCs w:val="24"/>
              </w:rPr>
              <w:t>7.79</w:t>
            </w:r>
          </w:p>
        </w:tc>
      </w:tr>
      <w:tr w:rsidR="00E412B0">
        <w:tc>
          <w:tcPr>
            <w:tcW w:w="817" w:type="dxa"/>
            <w:vAlign w:val="center"/>
          </w:tcPr>
          <w:p w:rsidR="00E412B0" w:rsidRDefault="00520F3E">
            <w:pPr>
              <w:jc w:val="center"/>
            </w:pPr>
            <w:r>
              <w:rPr>
                <w:rFonts w:eastAsiaTheme="minorEastAsia"/>
                <w:kern w:val="0"/>
                <w:sz w:val="24"/>
                <w:szCs w:val="24"/>
              </w:rPr>
              <w:t>4</w:t>
            </w:r>
          </w:p>
        </w:tc>
        <w:tc>
          <w:tcPr>
            <w:tcW w:w="1276" w:type="dxa"/>
            <w:vAlign w:val="center"/>
          </w:tcPr>
          <w:p w:rsidR="00E412B0" w:rsidRDefault="00520F3E">
            <w:pPr>
              <w:jc w:val="center"/>
            </w:pPr>
            <w:r>
              <w:rPr>
                <w:rFonts w:eastAsiaTheme="minorEastAsia"/>
                <w:kern w:val="0"/>
                <w:sz w:val="24"/>
                <w:szCs w:val="24"/>
              </w:rPr>
              <w:t>002572</w:t>
            </w:r>
          </w:p>
        </w:tc>
        <w:tc>
          <w:tcPr>
            <w:tcW w:w="1701" w:type="dxa"/>
            <w:vAlign w:val="center"/>
          </w:tcPr>
          <w:p w:rsidR="00E412B0" w:rsidRDefault="00520F3E">
            <w:pPr>
              <w:jc w:val="center"/>
            </w:pPr>
            <w:r>
              <w:rPr>
                <w:rFonts w:eastAsiaTheme="minorEastAsia"/>
                <w:kern w:val="0"/>
                <w:sz w:val="24"/>
                <w:szCs w:val="24"/>
              </w:rPr>
              <w:t>索菲亚</w:t>
            </w:r>
          </w:p>
        </w:tc>
        <w:tc>
          <w:tcPr>
            <w:tcW w:w="1276" w:type="dxa"/>
            <w:vAlign w:val="center"/>
          </w:tcPr>
          <w:p w:rsidR="00E412B0" w:rsidRDefault="00520F3E">
            <w:pPr>
              <w:jc w:val="right"/>
            </w:pPr>
            <w:r>
              <w:rPr>
                <w:rFonts w:eastAsiaTheme="minorEastAsia"/>
                <w:kern w:val="0"/>
                <w:sz w:val="24"/>
                <w:szCs w:val="24"/>
              </w:rPr>
              <w:t>3,934,108</w:t>
            </w:r>
          </w:p>
        </w:tc>
        <w:tc>
          <w:tcPr>
            <w:tcW w:w="1842" w:type="dxa"/>
            <w:vAlign w:val="center"/>
          </w:tcPr>
          <w:p w:rsidR="00E412B0" w:rsidRDefault="00520F3E">
            <w:pPr>
              <w:jc w:val="right"/>
            </w:pPr>
            <w:r>
              <w:rPr>
                <w:rFonts w:eastAsiaTheme="minorEastAsia"/>
                <w:kern w:val="0"/>
                <w:sz w:val="24"/>
                <w:szCs w:val="24"/>
              </w:rPr>
              <w:t>95,205,413.60</w:t>
            </w:r>
          </w:p>
        </w:tc>
        <w:tc>
          <w:tcPr>
            <w:tcW w:w="1616" w:type="dxa"/>
            <w:vAlign w:val="center"/>
          </w:tcPr>
          <w:p w:rsidR="00E412B0" w:rsidRDefault="00520F3E">
            <w:pPr>
              <w:jc w:val="right"/>
            </w:pPr>
            <w:r>
              <w:rPr>
                <w:rFonts w:eastAsiaTheme="minorEastAsia"/>
                <w:kern w:val="0"/>
                <w:sz w:val="24"/>
                <w:szCs w:val="24"/>
              </w:rPr>
              <w:t>6.59</w:t>
            </w:r>
          </w:p>
        </w:tc>
      </w:tr>
      <w:tr w:rsidR="00E412B0">
        <w:tc>
          <w:tcPr>
            <w:tcW w:w="817" w:type="dxa"/>
            <w:vAlign w:val="center"/>
          </w:tcPr>
          <w:p w:rsidR="00E412B0" w:rsidRDefault="00520F3E">
            <w:pPr>
              <w:jc w:val="center"/>
            </w:pPr>
            <w:r>
              <w:rPr>
                <w:rFonts w:eastAsiaTheme="minorEastAsia"/>
                <w:kern w:val="0"/>
                <w:sz w:val="24"/>
                <w:szCs w:val="24"/>
              </w:rPr>
              <w:t>5</w:t>
            </w:r>
          </w:p>
        </w:tc>
        <w:tc>
          <w:tcPr>
            <w:tcW w:w="1276" w:type="dxa"/>
            <w:vAlign w:val="center"/>
          </w:tcPr>
          <w:p w:rsidR="00E412B0" w:rsidRDefault="00520F3E">
            <w:pPr>
              <w:jc w:val="center"/>
            </w:pPr>
            <w:r>
              <w:rPr>
                <w:rFonts w:eastAsiaTheme="minorEastAsia"/>
                <w:kern w:val="0"/>
                <w:sz w:val="24"/>
                <w:szCs w:val="24"/>
              </w:rPr>
              <w:t>002614</w:t>
            </w:r>
          </w:p>
        </w:tc>
        <w:tc>
          <w:tcPr>
            <w:tcW w:w="1701" w:type="dxa"/>
            <w:vAlign w:val="center"/>
          </w:tcPr>
          <w:p w:rsidR="00E412B0" w:rsidRDefault="00520F3E">
            <w:pPr>
              <w:jc w:val="center"/>
            </w:pPr>
            <w:r>
              <w:rPr>
                <w:rFonts w:eastAsiaTheme="minorEastAsia"/>
                <w:kern w:val="0"/>
                <w:sz w:val="24"/>
                <w:szCs w:val="24"/>
              </w:rPr>
              <w:t>奥佳华</w:t>
            </w:r>
          </w:p>
        </w:tc>
        <w:tc>
          <w:tcPr>
            <w:tcW w:w="1276" w:type="dxa"/>
            <w:vAlign w:val="center"/>
          </w:tcPr>
          <w:p w:rsidR="00E412B0" w:rsidRDefault="00520F3E">
            <w:pPr>
              <w:jc w:val="right"/>
            </w:pPr>
            <w:r>
              <w:rPr>
                <w:rFonts w:eastAsiaTheme="minorEastAsia"/>
                <w:kern w:val="0"/>
                <w:sz w:val="24"/>
                <w:szCs w:val="24"/>
              </w:rPr>
              <w:t>3,717,351</w:t>
            </w:r>
          </w:p>
        </w:tc>
        <w:tc>
          <w:tcPr>
            <w:tcW w:w="1842" w:type="dxa"/>
            <w:vAlign w:val="center"/>
          </w:tcPr>
          <w:p w:rsidR="00E412B0" w:rsidRDefault="00520F3E">
            <w:pPr>
              <w:jc w:val="right"/>
            </w:pPr>
            <w:r>
              <w:rPr>
                <w:rFonts w:eastAsiaTheme="minorEastAsia"/>
                <w:kern w:val="0"/>
                <w:sz w:val="24"/>
                <w:szCs w:val="24"/>
              </w:rPr>
              <w:t>84,123,653.13</w:t>
            </w:r>
          </w:p>
        </w:tc>
        <w:tc>
          <w:tcPr>
            <w:tcW w:w="1616" w:type="dxa"/>
            <w:vAlign w:val="center"/>
          </w:tcPr>
          <w:p w:rsidR="00E412B0" w:rsidRDefault="00520F3E">
            <w:pPr>
              <w:jc w:val="right"/>
            </w:pPr>
            <w:r>
              <w:rPr>
                <w:rFonts w:eastAsiaTheme="minorEastAsia"/>
                <w:kern w:val="0"/>
                <w:sz w:val="24"/>
                <w:szCs w:val="24"/>
              </w:rPr>
              <w:t>5.83</w:t>
            </w:r>
          </w:p>
        </w:tc>
      </w:tr>
      <w:tr w:rsidR="00E412B0">
        <w:tc>
          <w:tcPr>
            <w:tcW w:w="817" w:type="dxa"/>
            <w:vAlign w:val="center"/>
          </w:tcPr>
          <w:p w:rsidR="00E412B0" w:rsidRDefault="00520F3E">
            <w:pPr>
              <w:jc w:val="center"/>
            </w:pPr>
            <w:r>
              <w:rPr>
                <w:rFonts w:eastAsiaTheme="minorEastAsia"/>
                <w:kern w:val="0"/>
                <w:sz w:val="24"/>
                <w:szCs w:val="24"/>
              </w:rPr>
              <w:t>6</w:t>
            </w:r>
          </w:p>
        </w:tc>
        <w:tc>
          <w:tcPr>
            <w:tcW w:w="1276" w:type="dxa"/>
            <w:vAlign w:val="center"/>
          </w:tcPr>
          <w:p w:rsidR="00E412B0" w:rsidRDefault="00520F3E">
            <w:pPr>
              <w:jc w:val="center"/>
            </w:pPr>
            <w:r>
              <w:rPr>
                <w:rFonts w:eastAsiaTheme="minorEastAsia"/>
                <w:kern w:val="0"/>
                <w:sz w:val="24"/>
                <w:szCs w:val="24"/>
              </w:rPr>
              <w:t>300433</w:t>
            </w:r>
          </w:p>
        </w:tc>
        <w:tc>
          <w:tcPr>
            <w:tcW w:w="1701" w:type="dxa"/>
            <w:vAlign w:val="center"/>
          </w:tcPr>
          <w:p w:rsidR="00E412B0" w:rsidRDefault="00520F3E">
            <w:pPr>
              <w:jc w:val="center"/>
            </w:pPr>
            <w:r>
              <w:rPr>
                <w:rFonts w:eastAsiaTheme="minorEastAsia"/>
                <w:kern w:val="0"/>
                <w:sz w:val="24"/>
                <w:szCs w:val="24"/>
              </w:rPr>
              <w:t>蓝思科技</w:t>
            </w:r>
          </w:p>
        </w:tc>
        <w:tc>
          <w:tcPr>
            <w:tcW w:w="1276" w:type="dxa"/>
            <w:vAlign w:val="center"/>
          </w:tcPr>
          <w:p w:rsidR="00E412B0" w:rsidRDefault="00520F3E">
            <w:pPr>
              <w:jc w:val="right"/>
            </w:pPr>
            <w:r>
              <w:rPr>
                <w:rFonts w:eastAsiaTheme="minorEastAsia"/>
                <w:kern w:val="0"/>
                <w:sz w:val="24"/>
                <w:szCs w:val="24"/>
              </w:rPr>
              <w:t>1,744,172</w:t>
            </w:r>
          </w:p>
        </w:tc>
        <w:tc>
          <w:tcPr>
            <w:tcW w:w="1842" w:type="dxa"/>
            <w:vAlign w:val="center"/>
          </w:tcPr>
          <w:p w:rsidR="00E412B0" w:rsidRDefault="00520F3E">
            <w:pPr>
              <w:jc w:val="right"/>
            </w:pPr>
            <w:r>
              <w:rPr>
                <w:rFonts w:eastAsiaTheme="minorEastAsia"/>
                <w:kern w:val="0"/>
                <w:sz w:val="24"/>
                <w:szCs w:val="24"/>
              </w:rPr>
              <w:t>51,296,098.52</w:t>
            </w:r>
          </w:p>
        </w:tc>
        <w:tc>
          <w:tcPr>
            <w:tcW w:w="1616" w:type="dxa"/>
            <w:vAlign w:val="center"/>
          </w:tcPr>
          <w:p w:rsidR="00E412B0" w:rsidRDefault="00520F3E">
            <w:pPr>
              <w:jc w:val="right"/>
            </w:pPr>
            <w:r>
              <w:rPr>
                <w:rFonts w:eastAsiaTheme="minorEastAsia"/>
                <w:kern w:val="0"/>
                <w:sz w:val="24"/>
                <w:szCs w:val="24"/>
              </w:rPr>
              <w:t>3.55</w:t>
            </w:r>
          </w:p>
        </w:tc>
      </w:tr>
      <w:tr w:rsidR="00E412B0">
        <w:tc>
          <w:tcPr>
            <w:tcW w:w="817" w:type="dxa"/>
            <w:vAlign w:val="center"/>
          </w:tcPr>
          <w:p w:rsidR="00E412B0" w:rsidRDefault="00520F3E">
            <w:pPr>
              <w:jc w:val="center"/>
            </w:pPr>
            <w:r>
              <w:rPr>
                <w:rFonts w:eastAsiaTheme="minorEastAsia"/>
                <w:kern w:val="0"/>
                <w:sz w:val="24"/>
                <w:szCs w:val="24"/>
              </w:rPr>
              <w:t>7</w:t>
            </w:r>
          </w:p>
        </w:tc>
        <w:tc>
          <w:tcPr>
            <w:tcW w:w="1276" w:type="dxa"/>
            <w:vAlign w:val="center"/>
          </w:tcPr>
          <w:p w:rsidR="00E412B0" w:rsidRDefault="00520F3E">
            <w:pPr>
              <w:jc w:val="center"/>
            </w:pPr>
            <w:r>
              <w:rPr>
                <w:rFonts w:eastAsiaTheme="minorEastAsia"/>
                <w:kern w:val="0"/>
                <w:sz w:val="24"/>
                <w:szCs w:val="24"/>
              </w:rPr>
              <w:t>002745</w:t>
            </w:r>
          </w:p>
        </w:tc>
        <w:tc>
          <w:tcPr>
            <w:tcW w:w="1701" w:type="dxa"/>
            <w:vAlign w:val="center"/>
          </w:tcPr>
          <w:p w:rsidR="00E412B0" w:rsidRDefault="00520F3E">
            <w:pPr>
              <w:jc w:val="center"/>
            </w:pPr>
            <w:r>
              <w:rPr>
                <w:rFonts w:eastAsiaTheme="minorEastAsia"/>
                <w:kern w:val="0"/>
                <w:sz w:val="24"/>
                <w:szCs w:val="24"/>
              </w:rPr>
              <w:t>木林森</w:t>
            </w:r>
          </w:p>
        </w:tc>
        <w:tc>
          <w:tcPr>
            <w:tcW w:w="1276" w:type="dxa"/>
            <w:vAlign w:val="center"/>
          </w:tcPr>
          <w:p w:rsidR="00E412B0" w:rsidRDefault="00520F3E">
            <w:pPr>
              <w:jc w:val="right"/>
            </w:pPr>
            <w:r>
              <w:rPr>
                <w:rFonts w:eastAsiaTheme="minorEastAsia"/>
                <w:kern w:val="0"/>
                <w:sz w:val="24"/>
                <w:szCs w:val="24"/>
              </w:rPr>
              <w:t>2,784,900</w:t>
            </w:r>
          </w:p>
        </w:tc>
        <w:tc>
          <w:tcPr>
            <w:tcW w:w="1842" w:type="dxa"/>
            <w:vAlign w:val="center"/>
          </w:tcPr>
          <w:p w:rsidR="00E412B0" w:rsidRDefault="00520F3E">
            <w:pPr>
              <w:jc w:val="right"/>
            </w:pPr>
            <w:r>
              <w:rPr>
                <w:rFonts w:eastAsiaTheme="minorEastAsia"/>
                <w:kern w:val="0"/>
                <w:sz w:val="24"/>
                <w:szCs w:val="24"/>
              </w:rPr>
              <w:t>37,317,660.00</w:t>
            </w:r>
          </w:p>
        </w:tc>
        <w:tc>
          <w:tcPr>
            <w:tcW w:w="1616" w:type="dxa"/>
            <w:vAlign w:val="center"/>
          </w:tcPr>
          <w:p w:rsidR="00E412B0" w:rsidRDefault="00520F3E">
            <w:pPr>
              <w:jc w:val="right"/>
            </w:pPr>
            <w:r>
              <w:rPr>
                <w:rFonts w:eastAsiaTheme="minorEastAsia"/>
                <w:kern w:val="0"/>
                <w:sz w:val="24"/>
                <w:szCs w:val="24"/>
              </w:rPr>
              <w:t>2.58</w:t>
            </w:r>
          </w:p>
        </w:tc>
      </w:tr>
      <w:tr w:rsidR="00E412B0">
        <w:tc>
          <w:tcPr>
            <w:tcW w:w="817" w:type="dxa"/>
            <w:vAlign w:val="center"/>
          </w:tcPr>
          <w:p w:rsidR="00E412B0" w:rsidRDefault="00520F3E">
            <w:pPr>
              <w:jc w:val="center"/>
            </w:pPr>
            <w:r>
              <w:rPr>
                <w:rFonts w:eastAsiaTheme="minorEastAsia"/>
                <w:kern w:val="0"/>
                <w:sz w:val="24"/>
                <w:szCs w:val="24"/>
              </w:rPr>
              <w:t>8</w:t>
            </w:r>
          </w:p>
        </w:tc>
        <w:tc>
          <w:tcPr>
            <w:tcW w:w="1276" w:type="dxa"/>
            <w:vAlign w:val="center"/>
          </w:tcPr>
          <w:p w:rsidR="00E412B0" w:rsidRDefault="00520F3E">
            <w:pPr>
              <w:jc w:val="center"/>
            </w:pPr>
            <w:r>
              <w:rPr>
                <w:rFonts w:eastAsiaTheme="minorEastAsia"/>
                <w:kern w:val="0"/>
                <w:sz w:val="24"/>
                <w:szCs w:val="24"/>
              </w:rPr>
              <w:t>002918</w:t>
            </w:r>
          </w:p>
        </w:tc>
        <w:tc>
          <w:tcPr>
            <w:tcW w:w="1701" w:type="dxa"/>
            <w:vAlign w:val="center"/>
          </w:tcPr>
          <w:p w:rsidR="00E412B0" w:rsidRDefault="00520F3E">
            <w:pPr>
              <w:jc w:val="center"/>
            </w:pPr>
            <w:r>
              <w:rPr>
                <w:rFonts w:eastAsiaTheme="minorEastAsia"/>
                <w:kern w:val="0"/>
                <w:sz w:val="24"/>
                <w:szCs w:val="24"/>
              </w:rPr>
              <w:t>蒙娜丽莎</w:t>
            </w:r>
          </w:p>
        </w:tc>
        <w:tc>
          <w:tcPr>
            <w:tcW w:w="1276" w:type="dxa"/>
            <w:vAlign w:val="center"/>
          </w:tcPr>
          <w:p w:rsidR="00E412B0" w:rsidRDefault="00520F3E">
            <w:pPr>
              <w:jc w:val="right"/>
            </w:pPr>
            <w:r>
              <w:rPr>
                <w:rFonts w:eastAsiaTheme="minorEastAsia"/>
                <w:kern w:val="0"/>
                <w:sz w:val="24"/>
                <w:szCs w:val="24"/>
              </w:rPr>
              <w:t>1,009,071</w:t>
            </w:r>
          </w:p>
        </w:tc>
        <w:tc>
          <w:tcPr>
            <w:tcW w:w="1842" w:type="dxa"/>
            <w:vAlign w:val="center"/>
          </w:tcPr>
          <w:p w:rsidR="00E412B0" w:rsidRDefault="00520F3E">
            <w:pPr>
              <w:jc w:val="right"/>
            </w:pPr>
            <w:r>
              <w:rPr>
                <w:rFonts w:eastAsiaTheme="minorEastAsia"/>
                <w:kern w:val="0"/>
                <w:sz w:val="24"/>
                <w:szCs w:val="24"/>
              </w:rPr>
              <w:t>31,674,738.69</w:t>
            </w:r>
          </w:p>
        </w:tc>
        <w:tc>
          <w:tcPr>
            <w:tcW w:w="1616" w:type="dxa"/>
            <w:vAlign w:val="center"/>
          </w:tcPr>
          <w:p w:rsidR="00E412B0" w:rsidRDefault="00520F3E">
            <w:pPr>
              <w:jc w:val="right"/>
            </w:pPr>
            <w:r>
              <w:rPr>
                <w:rFonts w:eastAsiaTheme="minorEastAsia"/>
                <w:kern w:val="0"/>
                <w:sz w:val="24"/>
                <w:szCs w:val="24"/>
              </w:rPr>
              <w:t>2.19</w:t>
            </w:r>
          </w:p>
        </w:tc>
      </w:tr>
      <w:tr w:rsidR="00E412B0">
        <w:tc>
          <w:tcPr>
            <w:tcW w:w="817" w:type="dxa"/>
            <w:vAlign w:val="center"/>
          </w:tcPr>
          <w:p w:rsidR="00E412B0" w:rsidRDefault="00520F3E">
            <w:pPr>
              <w:jc w:val="center"/>
            </w:pPr>
            <w:r>
              <w:rPr>
                <w:rFonts w:eastAsiaTheme="minorEastAsia"/>
                <w:kern w:val="0"/>
                <w:sz w:val="24"/>
                <w:szCs w:val="24"/>
              </w:rPr>
              <w:t>9</w:t>
            </w:r>
          </w:p>
        </w:tc>
        <w:tc>
          <w:tcPr>
            <w:tcW w:w="1276" w:type="dxa"/>
            <w:vAlign w:val="center"/>
          </w:tcPr>
          <w:p w:rsidR="00E412B0" w:rsidRDefault="00520F3E">
            <w:pPr>
              <w:jc w:val="center"/>
            </w:pPr>
            <w:r>
              <w:rPr>
                <w:rFonts w:eastAsiaTheme="minorEastAsia"/>
                <w:kern w:val="0"/>
                <w:sz w:val="24"/>
                <w:szCs w:val="24"/>
              </w:rPr>
              <w:t>002798</w:t>
            </w:r>
          </w:p>
        </w:tc>
        <w:tc>
          <w:tcPr>
            <w:tcW w:w="1701" w:type="dxa"/>
            <w:vAlign w:val="center"/>
          </w:tcPr>
          <w:p w:rsidR="00E412B0" w:rsidRDefault="00520F3E">
            <w:pPr>
              <w:jc w:val="center"/>
            </w:pPr>
            <w:r>
              <w:rPr>
                <w:rFonts w:eastAsiaTheme="minorEastAsia"/>
                <w:kern w:val="0"/>
                <w:sz w:val="24"/>
                <w:szCs w:val="24"/>
              </w:rPr>
              <w:t>帝欧家居</w:t>
            </w:r>
          </w:p>
        </w:tc>
        <w:tc>
          <w:tcPr>
            <w:tcW w:w="1276" w:type="dxa"/>
            <w:vAlign w:val="center"/>
          </w:tcPr>
          <w:p w:rsidR="00E412B0" w:rsidRDefault="00520F3E">
            <w:pPr>
              <w:jc w:val="right"/>
            </w:pPr>
            <w:r>
              <w:rPr>
                <w:rFonts w:eastAsiaTheme="minorEastAsia"/>
                <w:kern w:val="0"/>
                <w:sz w:val="24"/>
                <w:szCs w:val="24"/>
              </w:rPr>
              <w:t>1,711,063</w:t>
            </w:r>
          </w:p>
        </w:tc>
        <w:tc>
          <w:tcPr>
            <w:tcW w:w="1842" w:type="dxa"/>
            <w:vAlign w:val="center"/>
          </w:tcPr>
          <w:p w:rsidR="00E412B0" w:rsidRDefault="00520F3E">
            <w:pPr>
              <w:jc w:val="right"/>
            </w:pPr>
            <w:r>
              <w:rPr>
                <w:rFonts w:eastAsiaTheme="minorEastAsia"/>
                <w:kern w:val="0"/>
                <w:sz w:val="24"/>
                <w:szCs w:val="24"/>
              </w:rPr>
              <w:t>26,658,361.54</w:t>
            </w:r>
          </w:p>
        </w:tc>
        <w:tc>
          <w:tcPr>
            <w:tcW w:w="1616" w:type="dxa"/>
            <w:vAlign w:val="center"/>
          </w:tcPr>
          <w:p w:rsidR="00E412B0" w:rsidRDefault="00520F3E">
            <w:pPr>
              <w:jc w:val="right"/>
            </w:pPr>
            <w:r>
              <w:rPr>
                <w:rFonts w:eastAsiaTheme="minorEastAsia"/>
                <w:kern w:val="0"/>
                <w:sz w:val="24"/>
                <w:szCs w:val="24"/>
              </w:rPr>
              <w:t>1.85</w:t>
            </w:r>
          </w:p>
        </w:tc>
      </w:tr>
      <w:tr w:rsidR="00E412B0">
        <w:tc>
          <w:tcPr>
            <w:tcW w:w="817" w:type="dxa"/>
            <w:vAlign w:val="center"/>
          </w:tcPr>
          <w:p w:rsidR="00E412B0" w:rsidRDefault="00520F3E">
            <w:pPr>
              <w:jc w:val="center"/>
            </w:pPr>
            <w:r>
              <w:rPr>
                <w:rFonts w:eastAsiaTheme="minorEastAsia"/>
                <w:kern w:val="0"/>
                <w:sz w:val="24"/>
                <w:szCs w:val="24"/>
              </w:rPr>
              <w:t>10</w:t>
            </w:r>
          </w:p>
        </w:tc>
        <w:tc>
          <w:tcPr>
            <w:tcW w:w="1276" w:type="dxa"/>
            <w:vAlign w:val="center"/>
          </w:tcPr>
          <w:p w:rsidR="00E412B0" w:rsidRDefault="00520F3E">
            <w:pPr>
              <w:jc w:val="center"/>
            </w:pPr>
            <w:r>
              <w:rPr>
                <w:rFonts w:eastAsiaTheme="minorEastAsia"/>
                <w:kern w:val="0"/>
                <w:sz w:val="24"/>
                <w:szCs w:val="24"/>
              </w:rPr>
              <w:t>603606</w:t>
            </w:r>
          </w:p>
        </w:tc>
        <w:tc>
          <w:tcPr>
            <w:tcW w:w="1701" w:type="dxa"/>
            <w:vAlign w:val="center"/>
          </w:tcPr>
          <w:p w:rsidR="00E412B0" w:rsidRDefault="00520F3E">
            <w:pPr>
              <w:jc w:val="center"/>
            </w:pPr>
            <w:r>
              <w:rPr>
                <w:rFonts w:eastAsiaTheme="minorEastAsia"/>
                <w:kern w:val="0"/>
                <w:sz w:val="24"/>
                <w:szCs w:val="24"/>
              </w:rPr>
              <w:t>东方电缆</w:t>
            </w:r>
          </w:p>
        </w:tc>
        <w:tc>
          <w:tcPr>
            <w:tcW w:w="1276" w:type="dxa"/>
            <w:vAlign w:val="center"/>
          </w:tcPr>
          <w:p w:rsidR="00E412B0" w:rsidRDefault="00520F3E">
            <w:pPr>
              <w:jc w:val="right"/>
            </w:pPr>
            <w:r>
              <w:rPr>
                <w:rFonts w:eastAsiaTheme="minorEastAsia"/>
                <w:kern w:val="0"/>
                <w:sz w:val="24"/>
                <w:szCs w:val="24"/>
              </w:rPr>
              <w:t>1,201,700</w:t>
            </w:r>
          </w:p>
        </w:tc>
        <w:tc>
          <w:tcPr>
            <w:tcW w:w="1842" w:type="dxa"/>
            <w:vAlign w:val="center"/>
          </w:tcPr>
          <w:p w:rsidR="00E412B0" w:rsidRDefault="00520F3E">
            <w:pPr>
              <w:jc w:val="right"/>
            </w:pPr>
            <w:r>
              <w:rPr>
                <w:rFonts w:eastAsiaTheme="minorEastAsia"/>
                <w:kern w:val="0"/>
                <w:sz w:val="24"/>
                <w:szCs w:val="24"/>
              </w:rPr>
              <w:t>24,202,238.00</w:t>
            </w:r>
          </w:p>
        </w:tc>
        <w:tc>
          <w:tcPr>
            <w:tcW w:w="1616" w:type="dxa"/>
            <w:vAlign w:val="center"/>
          </w:tcPr>
          <w:p w:rsidR="00E412B0" w:rsidRDefault="00520F3E">
            <w:pPr>
              <w:jc w:val="right"/>
            </w:pPr>
            <w:r>
              <w:rPr>
                <w:rFonts w:eastAsiaTheme="minorEastAsia"/>
                <w:kern w:val="0"/>
                <w:sz w:val="24"/>
                <w:szCs w:val="24"/>
              </w:rPr>
              <w:t>1.68</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538,465.52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7,089,172.75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34,069.93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382,945.93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8,044,654.13</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因四舍五入的原因，投资组合报告中分项之和与合计数可能存在尾差。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265,600,398.50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8,685,011.43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19,845,971.14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254,439,438.79</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中国证监会批准上投摩根阿尔法混合型证券投资基金设立的文件；</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《上投摩根阿尔法混合型证券投资基金基金合同》；</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《上投摩根阿尔法混合型证券投资基金托管协议》；</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《上投摩根开放式基金业务规则》；</w:t>
      </w:r>
    </w:p>
    <w:p w:rsidR="00E412B0" w:rsidRDefault="00520F3E">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lastRenderedPageBreak/>
        <w:t>二〇二一年七月二十一日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520F3E" w:rsidRPr="00520F3E">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520F3E">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上投摩根阿尔法混合型证券投资基金</w:t>
    </w:r>
    <w:r>
      <w:rPr>
        <w:rFonts w:hint="eastAsia"/>
      </w:rPr>
      <w:t>2021</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0F3E"/>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12B0"/>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36698-B62B-470E-9F71-E7ECE2DB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268</cp:revision>
  <dcterms:created xsi:type="dcterms:W3CDTF">2012-10-16T06:07:00Z</dcterms:created>
  <dcterms:modified xsi:type="dcterms:W3CDTF">2021-07-20T08:04:00Z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