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上投摩根阿尔法混合型证券投资基金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2020年第3季度报告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2020年9月30日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二〇二〇年十月二十八日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本报告期自2020年7月1日起至9月30日止。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上投摩根阿尔法混合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377010</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377010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2005年10月11日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345,793,400.28</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本基金采用哑铃式投资技术(Barbell Approach)，同步以“成长”与“价值”双重量化指标进行股票选择。在基于由下而上的择股流程中，精选个股，纪律执行，构造出相对均衡的不同风格类资产组合。同时结合公司质量、行业布局、风险因子等深入分析，对资产配置进行适度调整，努力控制投资组合的市场适应性，以求多空环境中都能创造超越业绩基准的主动管理回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本基金充分借鉴摩根资产管理集团全球行之有效的投资理念和技术，依据中国资本市场的具体特征，引入集团在海外市场成功运作的“Dynamic Fund”基金产品概念。具体而言，本基金将以量化指标分析为基础，通过严格的证券选择，积极构建并持续优化“哑铃式”资产组合，结合严密的风险监控，不断谋求超越业绩比较基准的稳定回报。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沪深300指数收益率×80%+中债总指数收益率×20%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C6F6C" w:rsidRDefault="00A33EF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本基金是混合型证券投资基金，预期收益及预期风险水平低于股票型基金，高于债券型基金和货币市场基金，属于较高预期收益和预期风险水平的投资品种。</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33EF8" w:rsidTr="00A33EF8">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2020年7月1日-2020年9月30日</w:t>
            </w:r>
            <w:r>
              <w:rPr>
                <w:rFonts w:asciiTheme="minorEastAsia" w:eastAsiaTheme="minorEastAsia" w:hAnsiTheme="minorEastAsia" w:cs="宋体" w:hint="eastAsia"/>
                <w:color w:val="000000" w:themeColor="text1"/>
              </w:rPr>
              <w:t>)</w:t>
            </w:r>
          </w:p>
        </w:tc>
      </w:tr>
      <w:tr w:rsidR="00A33EF8" w:rsidTr="00A33EF8">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330,735,752.33</w:t>
            </w:r>
          </w:p>
        </w:tc>
      </w:tr>
      <w:tr w:rsidR="00A33EF8" w:rsidTr="00A33EF8">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322,723,781.91</w:t>
            </w:r>
          </w:p>
        </w:tc>
      </w:tr>
      <w:tr w:rsidR="00A33EF8" w:rsidTr="00A33EF8">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0.9081</w:t>
            </w:r>
          </w:p>
        </w:tc>
      </w:tr>
      <w:tr w:rsidR="00A33EF8" w:rsidTr="00A33EF8">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1,678,593,551.91</w:t>
            </w:r>
          </w:p>
        </w:tc>
      </w:tr>
      <w:tr w:rsidR="00A33EF8" w:rsidTr="00A33EF8">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4.8543</w:t>
            </w:r>
          </w:p>
        </w:tc>
      </w:tr>
    </w:tbl>
    <w:p w:rsidR="000C6F6C" w:rsidRDefault="00A33EF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过去三个月</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22.18%</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1.62%</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7.73%</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1.28%</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14.45%</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0.34%</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过去六个月</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46.35%</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1.38%</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18.82%</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1.05%</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27.53%</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0.33%</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过去一年</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65.29%</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1.45%</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16.14%</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1.10%</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49.15%</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0.35%</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过去三年</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23.22%</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1.49%</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16.57%</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1.06%</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6.65%</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0.43%</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过去五年</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71.52%</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1.42%</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35.00%</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1.02%</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36.52%</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0.40%</w:t>
            </w:r>
          </w:p>
        </w:tc>
      </w:tr>
      <w:tr w:rsidR="000C6F6C">
        <w:tc>
          <w:tcPr>
            <w:tcW w:w="1395" w:type="dxa"/>
            <w:vAlign w:val="center"/>
          </w:tcPr>
          <w:p w:rsidR="000C6F6C" w:rsidRDefault="00A33EF8">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0C6F6C" w:rsidRDefault="00A33EF8">
            <w:pPr>
              <w:jc w:val="center"/>
            </w:pPr>
            <w:r>
              <w:rPr>
                <w:rFonts w:asciiTheme="minorEastAsia" w:eastAsiaTheme="minorEastAsia" w:hAnsiTheme="minorEastAsia"/>
                <w:color w:val="000000" w:themeColor="text1"/>
                <w:kern w:val="0"/>
              </w:rPr>
              <w:t>709.39%</w:t>
            </w:r>
          </w:p>
        </w:tc>
        <w:tc>
          <w:tcPr>
            <w:tcW w:w="1161" w:type="dxa"/>
            <w:vAlign w:val="center"/>
          </w:tcPr>
          <w:p w:rsidR="000C6F6C" w:rsidRDefault="00A33EF8">
            <w:pPr>
              <w:jc w:val="center"/>
            </w:pPr>
            <w:r>
              <w:rPr>
                <w:rFonts w:asciiTheme="minorEastAsia" w:eastAsiaTheme="minorEastAsia" w:hAnsiTheme="minorEastAsia"/>
                <w:color w:val="000000" w:themeColor="text1"/>
                <w:kern w:val="0"/>
              </w:rPr>
              <w:t>1.62%</w:t>
            </w:r>
          </w:p>
        </w:tc>
        <w:tc>
          <w:tcPr>
            <w:tcW w:w="1181" w:type="dxa"/>
            <w:vAlign w:val="center"/>
          </w:tcPr>
          <w:p w:rsidR="000C6F6C" w:rsidRDefault="00A33EF8">
            <w:pPr>
              <w:jc w:val="center"/>
            </w:pPr>
            <w:r>
              <w:rPr>
                <w:rFonts w:asciiTheme="minorEastAsia" w:eastAsiaTheme="minorEastAsia" w:hAnsiTheme="minorEastAsia"/>
                <w:color w:val="000000" w:themeColor="text1"/>
                <w:kern w:val="0"/>
              </w:rPr>
              <w:t>353.43%</w:t>
            </w:r>
          </w:p>
        </w:tc>
        <w:tc>
          <w:tcPr>
            <w:tcW w:w="1188" w:type="dxa"/>
            <w:vAlign w:val="center"/>
          </w:tcPr>
          <w:p w:rsidR="000C6F6C" w:rsidRDefault="00A33EF8">
            <w:pPr>
              <w:jc w:val="center"/>
            </w:pPr>
            <w:r>
              <w:rPr>
                <w:rFonts w:asciiTheme="minorEastAsia" w:eastAsiaTheme="minorEastAsia" w:hAnsiTheme="minorEastAsia"/>
                <w:color w:val="000000" w:themeColor="text1"/>
                <w:kern w:val="0"/>
              </w:rPr>
              <w:t>1.38%</w:t>
            </w:r>
          </w:p>
        </w:tc>
        <w:tc>
          <w:tcPr>
            <w:tcW w:w="1199" w:type="dxa"/>
            <w:vAlign w:val="center"/>
          </w:tcPr>
          <w:p w:rsidR="000C6F6C" w:rsidRDefault="00A33EF8">
            <w:pPr>
              <w:jc w:val="center"/>
            </w:pPr>
            <w:r>
              <w:rPr>
                <w:rFonts w:asciiTheme="minorEastAsia" w:eastAsiaTheme="minorEastAsia" w:hAnsiTheme="minorEastAsia"/>
                <w:color w:val="000000" w:themeColor="text1"/>
                <w:kern w:val="0"/>
              </w:rPr>
              <w:t>355.96%</w:t>
            </w:r>
          </w:p>
        </w:tc>
        <w:tc>
          <w:tcPr>
            <w:tcW w:w="1204" w:type="dxa"/>
            <w:vAlign w:val="center"/>
          </w:tcPr>
          <w:p w:rsidR="000C6F6C" w:rsidRDefault="00A33EF8">
            <w:pPr>
              <w:jc w:val="center"/>
            </w:pPr>
            <w:r>
              <w:rPr>
                <w:rFonts w:asciiTheme="minorEastAsia" w:eastAsiaTheme="minorEastAsia" w:hAnsiTheme="minorEastAsia"/>
                <w:color w:val="000000" w:themeColor="text1"/>
                <w:kern w:val="0"/>
              </w:rPr>
              <w:t>0.24%</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上投摩根阿尔法混合型证券投资基金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2005年10月11日</w:t>
      </w:r>
      <w:r>
        <w:rPr>
          <w:rFonts w:asciiTheme="minorEastAsia" w:eastAsiaTheme="minorEastAsia" w:hAnsiTheme="minorEastAsia" w:hint="eastAsia"/>
          <w:color w:val="000000" w:themeColor="text1"/>
        </w:rPr>
        <w:t>至2020年9月30日)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C6F6C" w:rsidRDefault="00A33EF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0C6F6C" w:rsidRDefault="00A33EF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2005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日，建仓期结束时资产配置比例符合本基金基金合同规定。</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 本基金自2013年12月7日起，将基金业绩比较基准由“富时中国A全指×80%+同业存款利率×20%”变更为"沪深300指数收益率×80%+中债总指数收益率×20%”。</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0C6F6C">
        <w:tc>
          <w:tcPr>
            <w:tcW w:w="851" w:type="dxa"/>
            <w:vAlign w:val="center"/>
          </w:tcPr>
          <w:p w:rsidR="000C6F6C" w:rsidRDefault="00A33EF8">
            <w:pPr>
              <w:jc w:val="center"/>
            </w:pPr>
            <w:r>
              <w:rPr>
                <w:rFonts w:asciiTheme="minorEastAsia" w:eastAsiaTheme="minorEastAsia" w:hAnsiTheme="minorEastAsia"/>
                <w:color w:val="000000" w:themeColor="text1"/>
              </w:rPr>
              <w:t>李博</w:t>
            </w:r>
          </w:p>
        </w:tc>
        <w:tc>
          <w:tcPr>
            <w:tcW w:w="850" w:type="dxa"/>
            <w:vAlign w:val="center"/>
          </w:tcPr>
          <w:p w:rsidR="000C6F6C" w:rsidRDefault="00A33EF8">
            <w:pPr>
              <w:jc w:val="center"/>
            </w:pPr>
            <w:r>
              <w:rPr>
                <w:rFonts w:asciiTheme="minorEastAsia" w:eastAsiaTheme="minorEastAsia" w:hAnsiTheme="minorEastAsia"/>
                <w:color w:val="000000" w:themeColor="text1"/>
              </w:rPr>
              <w:t>本基金基金经理</w:t>
            </w:r>
          </w:p>
        </w:tc>
        <w:tc>
          <w:tcPr>
            <w:tcW w:w="1560" w:type="dxa"/>
            <w:vAlign w:val="center"/>
          </w:tcPr>
          <w:p w:rsidR="000C6F6C" w:rsidRDefault="00A33EF8">
            <w:pPr>
              <w:jc w:val="center"/>
            </w:pPr>
            <w:r>
              <w:rPr>
                <w:rFonts w:asciiTheme="minorEastAsia" w:eastAsiaTheme="minorEastAsia" w:hAnsiTheme="minorEastAsia"/>
                <w:color w:val="000000" w:themeColor="text1"/>
              </w:rPr>
              <w:t>2015-09-18</w:t>
            </w:r>
          </w:p>
        </w:tc>
        <w:tc>
          <w:tcPr>
            <w:tcW w:w="1559" w:type="dxa"/>
            <w:vAlign w:val="center"/>
          </w:tcPr>
          <w:p w:rsidR="000C6F6C" w:rsidRDefault="00A33EF8">
            <w:pPr>
              <w:jc w:val="center"/>
            </w:pPr>
            <w:r>
              <w:rPr>
                <w:rFonts w:asciiTheme="minorEastAsia" w:eastAsiaTheme="minorEastAsia" w:hAnsiTheme="minorEastAsia"/>
                <w:color w:val="000000" w:themeColor="text1"/>
              </w:rPr>
              <w:t>-</w:t>
            </w:r>
          </w:p>
        </w:tc>
        <w:tc>
          <w:tcPr>
            <w:tcW w:w="1417" w:type="dxa"/>
            <w:vAlign w:val="center"/>
          </w:tcPr>
          <w:p w:rsidR="000C6F6C" w:rsidRDefault="00A33EF8">
            <w:pPr>
              <w:jc w:val="center"/>
            </w:pP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年</w:t>
            </w:r>
          </w:p>
        </w:tc>
        <w:tc>
          <w:tcPr>
            <w:tcW w:w="2694" w:type="dxa"/>
            <w:vAlign w:val="center"/>
          </w:tcPr>
          <w:p w:rsidR="000C6F6C" w:rsidRDefault="00A33EF8">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月起加入上投摩根基金管理有限公司，先后担任行业专家、基金经理、资深基</w:t>
            </w:r>
            <w:r>
              <w:rPr>
                <w:rFonts w:asciiTheme="minorEastAsia" w:eastAsiaTheme="minorEastAsia" w:hAnsiTheme="minorEastAsia"/>
                <w:color w:val="000000" w:themeColor="text1"/>
              </w:rPr>
              <w:lastRenderedPageBreak/>
              <w:t>金经理、国内权益投资部价值成长组组长兼资深基金经理，自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月起同时担任上投摩</w:t>
            </w:r>
            <w:r>
              <w:rPr>
                <w:rFonts w:asciiTheme="minorEastAsia" w:eastAsiaTheme="minorEastAsia" w:hAnsiTheme="minorEastAsia"/>
                <w:color w:val="000000" w:themeColor="text1"/>
              </w:rPr>
              <w:t>根双息平衡混合型证券投资基金基金经理，自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0C6F6C" w:rsidRDefault="00A33EF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阿尔法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w:t>
      </w:r>
      <w:r>
        <w:rPr>
          <w:rFonts w:asciiTheme="minorEastAsia" w:eastAsiaTheme="minorEastAsia" w:hAnsiTheme="minorEastAsia"/>
          <w:color w:val="000000" w:themeColor="text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asciiTheme="minorEastAsia" w:eastAsiaTheme="minorEastAsia" w:hAnsiTheme="minorEastAsia"/>
          <w:color w:val="000000" w:themeColor="text1"/>
        </w:rPr>
        <w:t>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三季度，市场大幅上涨，沪深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指数上涨</w:t>
      </w:r>
      <w:r>
        <w:rPr>
          <w:rFonts w:asciiTheme="minorEastAsia" w:eastAsiaTheme="minorEastAsia" w:hAnsiTheme="minorEastAsia"/>
          <w:color w:val="000000" w:themeColor="text1"/>
        </w:rPr>
        <w:t>10.17%</w:t>
      </w:r>
      <w:r>
        <w:rPr>
          <w:rFonts w:asciiTheme="minorEastAsia" w:eastAsiaTheme="minorEastAsia" w:hAnsiTheme="minorEastAsia"/>
          <w:color w:val="000000" w:themeColor="text1"/>
        </w:rPr>
        <w:t>，创业板指数上涨</w:t>
      </w:r>
      <w:r>
        <w:rPr>
          <w:rFonts w:asciiTheme="minorEastAsia" w:eastAsiaTheme="minorEastAsia" w:hAnsiTheme="minorEastAsia"/>
          <w:color w:val="000000" w:themeColor="text1"/>
        </w:rPr>
        <w:t>5.60%</w:t>
      </w:r>
      <w:r>
        <w:rPr>
          <w:rFonts w:asciiTheme="minorEastAsia" w:eastAsiaTheme="minorEastAsia" w:hAnsiTheme="minorEastAsia"/>
          <w:color w:val="000000" w:themeColor="text1"/>
        </w:rPr>
        <w:t>。板块方面，国防军工、餐饮旅游和电力设备领涨，通信、商贸零售和计算机领跌。国内经济回暖趋势明显，资本市场也同步上涨，我们维持之前的判断，认为短期的疫情不会影响中国经济长期的发展，一些优质个股也有望持续获得超额收益。本基金重点配置了估值和成长相匹配的个股，此外，本季度还减持了部分前期超额收益较多个股，增持了部分市场关注度不高的成长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进入四季度，我们判断市场机会将大于风险，A股有望呈现结构性的投资机会。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本报告期上投摩根阿尔法混合份额净值增长率为:22.18%，同期业绩比较基准收益率为:7.73%。</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lastRenderedPageBreak/>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1,358,793,791.14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80.61</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1,358,793,791.14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80.61</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278,118,383.29</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16.50</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48,822,613.18</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2.90</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1,685,734,787.61</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14,316,040.00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1,143,330,041.98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68.11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24,646,416.00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1.47</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13,029.12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28,264.03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39,645,959.77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2.36</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95,987,570.17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6,512,230.80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0.39</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31,858,014.65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15,348.36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2,440,876.26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1,358,793,791.14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80.95</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1</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002236</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大华股份</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6,102,118</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125,093,419.00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7.45</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2</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601012</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隆基股份</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1,486,224</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111,481,662.24</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6.64</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3</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002572</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索菲亚</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4,097,745</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108,016,558.20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6.43</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4</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603008</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喜临门</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8,143,008</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103,416,201.60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6.16</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5</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600031</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三一重工</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2,672,210</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66,511,306.90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3.96</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6</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300146</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汤臣倍健</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2,810,800</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59,054,908.00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3.52</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7</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601222</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林洋能源</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7,551,726</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53,466,220.08</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3.19</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8</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600438</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通威股份</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1,830,131</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48,644,881.98</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2.90</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9</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300014</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亿纬锂能</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878,559</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43,488,670.50</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2.59</w:t>
            </w:r>
          </w:p>
        </w:tc>
      </w:tr>
      <w:tr w:rsidR="000C6F6C">
        <w:tc>
          <w:tcPr>
            <w:tcW w:w="817" w:type="dxa"/>
            <w:vAlign w:val="center"/>
          </w:tcPr>
          <w:p w:rsidR="000C6F6C" w:rsidRDefault="00A33EF8">
            <w:pPr>
              <w:jc w:val="center"/>
            </w:pPr>
            <w:r>
              <w:rPr>
                <w:rFonts w:asciiTheme="minorEastAsia" w:eastAsiaTheme="minorEastAsia" w:hAnsiTheme="minorEastAsia" w:cs="宋体"/>
                <w:color w:val="000000" w:themeColor="text1"/>
                <w:kern w:val="0"/>
              </w:rPr>
              <w:t>10</w:t>
            </w:r>
          </w:p>
        </w:tc>
        <w:tc>
          <w:tcPr>
            <w:tcW w:w="1276" w:type="dxa"/>
            <w:vAlign w:val="center"/>
          </w:tcPr>
          <w:p w:rsidR="000C6F6C" w:rsidRDefault="00A33EF8">
            <w:pPr>
              <w:jc w:val="center"/>
            </w:pPr>
            <w:r>
              <w:rPr>
                <w:rFonts w:asciiTheme="minorEastAsia" w:eastAsiaTheme="minorEastAsia" w:hAnsiTheme="minorEastAsia" w:cs="宋体"/>
                <w:color w:val="000000" w:themeColor="text1"/>
                <w:kern w:val="0"/>
              </w:rPr>
              <w:t>002001</w:t>
            </w:r>
          </w:p>
        </w:tc>
        <w:tc>
          <w:tcPr>
            <w:tcW w:w="1701" w:type="dxa"/>
            <w:vAlign w:val="center"/>
          </w:tcPr>
          <w:p w:rsidR="000C6F6C" w:rsidRDefault="00A33EF8">
            <w:pPr>
              <w:jc w:val="center"/>
            </w:pPr>
            <w:r>
              <w:rPr>
                <w:rFonts w:asciiTheme="minorEastAsia" w:eastAsiaTheme="minorEastAsia" w:hAnsiTheme="minorEastAsia" w:cs="宋体"/>
                <w:color w:val="000000" w:themeColor="text1"/>
                <w:kern w:val="0"/>
              </w:rPr>
              <w:t>新</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和</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成</w:t>
            </w:r>
          </w:p>
        </w:tc>
        <w:tc>
          <w:tcPr>
            <w:tcW w:w="1276" w:type="dxa"/>
            <w:vAlign w:val="center"/>
          </w:tcPr>
          <w:p w:rsidR="000C6F6C" w:rsidRDefault="00A33EF8">
            <w:pPr>
              <w:jc w:val="right"/>
            </w:pPr>
            <w:r>
              <w:rPr>
                <w:rFonts w:asciiTheme="minorEastAsia" w:eastAsiaTheme="minorEastAsia" w:hAnsiTheme="minorEastAsia" w:cs="宋体"/>
                <w:color w:val="000000" w:themeColor="text1"/>
                <w:kern w:val="0"/>
              </w:rPr>
              <w:t>1,416,158</w:t>
            </w:r>
          </w:p>
        </w:tc>
        <w:tc>
          <w:tcPr>
            <w:tcW w:w="1842" w:type="dxa"/>
            <w:vAlign w:val="center"/>
          </w:tcPr>
          <w:p w:rsidR="000C6F6C" w:rsidRDefault="00A33EF8">
            <w:pPr>
              <w:jc w:val="right"/>
            </w:pPr>
            <w:r>
              <w:rPr>
                <w:rFonts w:asciiTheme="minorEastAsia" w:eastAsiaTheme="minorEastAsia" w:hAnsiTheme="minorEastAsia" w:cs="宋体"/>
                <w:color w:val="000000" w:themeColor="text1"/>
                <w:kern w:val="0"/>
              </w:rPr>
              <w:t>42,187,346.82</w:t>
            </w:r>
          </w:p>
        </w:tc>
        <w:tc>
          <w:tcPr>
            <w:tcW w:w="1616" w:type="dxa"/>
            <w:vAlign w:val="center"/>
          </w:tcPr>
          <w:p w:rsidR="000C6F6C" w:rsidRDefault="00A33EF8">
            <w:pPr>
              <w:jc w:val="right"/>
            </w:pPr>
            <w:r>
              <w:rPr>
                <w:rFonts w:asciiTheme="minorEastAsia" w:eastAsiaTheme="minorEastAsia" w:hAnsiTheme="minorEastAsia" w:cs="宋体"/>
                <w:color w:val="000000" w:themeColor="text1"/>
                <w:kern w:val="0"/>
              </w:rPr>
              <w:t>2.51</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677,502.51</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43,092,577.22</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33,076.81</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5,019,456.64</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48,822,613.18</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380,905,386.01</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21,885,987.12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56,997,972.85</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345,793,400.28</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中国证监会批准上投摩根阿尔法混合型证券投资基金设立的文件；</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《上投摩根阿尔法混合型证券投资基金基金合同》；</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《上投摩根阿尔法混合型证券投资基金托管协议》；</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p>
    <w:p w:rsidR="000C6F6C" w:rsidRDefault="00A33EF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二〇二〇年十月二十八日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33EF8" w:rsidRPr="00A33EF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33EF8">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上投摩根阿尔法混合型证券投资基金</w:t>
    </w:r>
    <w:r>
      <w:rPr>
        <w:rFonts w:hint="eastAsia"/>
      </w:rPr>
      <w:t>2020</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C6F6C"/>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33EF8"/>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8B0BE-0AC2-47E1-A9E4-F95D11B2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267</cp:revision>
  <dcterms:created xsi:type="dcterms:W3CDTF">2012-10-16T06:07:00Z</dcterms:created>
  <dcterms:modified xsi:type="dcterms:W3CDTF">2020-10-27T08:02:00Z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