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上投摩根阿尔法混合型证券投资基金</w:t>
      </w:r>
    </w:p>
    <w:p w:rsidR="006006C3" w:rsidRDefault="003D19FD">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4</w:t>
      </w:r>
      <w:r>
        <w:rPr>
          <w:rFonts w:asciiTheme="minorEastAsia" w:eastAsiaTheme="minorEastAsia" w:hAnsiTheme="minorEastAsia" w:hint="eastAsia"/>
          <w:b/>
          <w:color w:val="000000" w:themeColor="text1"/>
          <w:sz w:val="36"/>
          <w:szCs w:val="36"/>
        </w:rPr>
        <w:t>季度报告</w:t>
      </w:r>
    </w:p>
    <w:p w:rsidR="006006C3" w:rsidRDefault="003D19FD">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12</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31</w:t>
      </w:r>
      <w:r>
        <w:rPr>
          <w:rFonts w:asciiTheme="minorEastAsia" w:eastAsiaTheme="minorEastAsia" w:hAnsiTheme="minorEastAsia"/>
          <w:b/>
          <w:color w:val="000000" w:themeColor="text1"/>
          <w:sz w:val="24"/>
          <w:szCs w:val="24"/>
        </w:rPr>
        <w:t>日</w:t>
      </w: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jc w:val="center"/>
        <w:rPr>
          <w:rFonts w:asciiTheme="minorEastAsia" w:eastAsiaTheme="minorEastAsia" w:hAnsiTheme="minorEastAsia"/>
          <w:b/>
          <w:bCs/>
          <w:color w:val="000000" w:themeColor="text1"/>
          <w:sz w:val="24"/>
          <w:szCs w:val="24"/>
        </w:rPr>
      </w:pPr>
    </w:p>
    <w:p w:rsidR="006006C3" w:rsidRDefault="006006C3">
      <w:pPr>
        <w:spacing w:line="360" w:lineRule="auto"/>
        <w:rPr>
          <w:rFonts w:asciiTheme="minorEastAsia" w:eastAsiaTheme="minorEastAsia" w:hAnsiTheme="minorEastAsia"/>
          <w:b/>
          <w:bCs/>
          <w:color w:val="000000" w:themeColor="text1"/>
          <w:sz w:val="24"/>
          <w:szCs w:val="24"/>
        </w:rPr>
      </w:pPr>
    </w:p>
    <w:p w:rsidR="006006C3" w:rsidRDefault="003D19FD">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6006C3" w:rsidRDefault="003D19FD">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6006C3" w:rsidRDefault="003D19FD">
      <w:pPr>
        <w:spacing w:line="360" w:lineRule="auto"/>
        <w:ind w:firstLineChars="900" w:firstLine="2168"/>
        <w:rPr>
          <w:rFonts w:asciiTheme="minorEastAsia" w:eastAsiaTheme="minorEastAsia" w:hAnsiTheme="minorEastAsia"/>
          <w:b/>
          <w:color w:val="000000" w:themeColor="text1"/>
          <w:sz w:val="24"/>
          <w:szCs w:val="24"/>
        </w:rPr>
        <w:sectPr w:rsidR="006006C3">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6006C3" w:rsidRDefault="003D19FD">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基金托管人中国建设银行股份有限公司根据本基金合同规定，于</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17</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日止。</w:t>
      </w:r>
    </w:p>
    <w:p w:rsidR="006006C3" w:rsidRDefault="003D19F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上投摩根阿尔法混合</w:t>
            </w:r>
          </w:p>
        </w:tc>
      </w:tr>
      <w:tr w:rsidR="006006C3">
        <w:tc>
          <w:tcPr>
            <w:tcW w:w="2835" w:type="dxa"/>
            <w:tcBorders>
              <w:top w:val="single" w:sz="4" w:space="0" w:color="auto"/>
              <w:left w:val="single" w:sz="4" w:space="0" w:color="auto"/>
              <w:bottom w:val="single" w:sz="4" w:space="0" w:color="auto"/>
              <w:right w:val="single" w:sz="4" w:space="0" w:color="auto"/>
            </w:tcBorders>
            <w:vAlign w:val="center"/>
          </w:tcPr>
          <w:p w:rsidR="006006C3" w:rsidRDefault="003D19FD">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377010</w:t>
            </w:r>
          </w:p>
        </w:tc>
      </w:tr>
      <w:tr w:rsidR="006006C3">
        <w:tc>
          <w:tcPr>
            <w:tcW w:w="2835" w:type="dxa"/>
            <w:tcBorders>
              <w:top w:val="single" w:sz="4" w:space="0" w:color="auto"/>
              <w:left w:val="single" w:sz="4" w:space="0" w:color="auto"/>
              <w:bottom w:val="single" w:sz="4" w:space="0" w:color="auto"/>
              <w:right w:val="single" w:sz="4" w:space="0" w:color="auto"/>
            </w:tcBorders>
            <w:vAlign w:val="center"/>
          </w:tcPr>
          <w:p w:rsidR="006006C3" w:rsidRDefault="003D19FD">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377010</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2005</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10</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11</w:t>
            </w:r>
            <w:r>
              <w:rPr>
                <w:rFonts w:asciiTheme="minorEastAsia" w:eastAsiaTheme="minorEastAsia" w:hAnsiTheme="minorEastAsia"/>
                <w:color w:val="000000" w:themeColor="text1"/>
                <w:kern w:val="0"/>
              </w:rPr>
              <w:t>日</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459,879,546.12</w:t>
            </w:r>
            <w:r>
              <w:rPr>
                <w:rFonts w:asciiTheme="minorEastAsia" w:eastAsiaTheme="minorEastAsia" w:hAnsiTheme="minorEastAsia" w:hint="eastAsia"/>
                <w:color w:val="000000" w:themeColor="text1"/>
                <w:kern w:val="0"/>
              </w:rPr>
              <w:t>份</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本基金采用哑铃式投资技术</w:t>
            </w:r>
            <w:r>
              <w:rPr>
                <w:rFonts w:asciiTheme="minorEastAsia" w:eastAsiaTheme="minorEastAsia" w:hAnsiTheme="minorEastAsia"/>
                <w:color w:val="000000" w:themeColor="text1"/>
                <w:kern w:val="0"/>
              </w:rPr>
              <w:t xml:space="preserve">(Barbell </w:t>
            </w:r>
            <w:r>
              <w:rPr>
                <w:rFonts w:asciiTheme="minorEastAsia" w:eastAsiaTheme="minorEastAsia" w:hAnsiTheme="minorEastAsia"/>
                <w:color w:val="000000" w:themeColor="text1"/>
                <w:kern w:val="0"/>
              </w:rPr>
              <w:t>Approach)</w:t>
            </w:r>
            <w:r>
              <w:rPr>
                <w:rFonts w:asciiTheme="minorEastAsia" w:eastAsiaTheme="minorEastAsia" w:hAnsiTheme="minorEastAsia"/>
                <w:color w:val="000000" w:themeColor="text1"/>
                <w:kern w:val="0"/>
              </w:rPr>
              <w:t>，同步以</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成长</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与</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价值</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投资策略</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本基金充分借鉴摩根资产管理集团全球行之有效的投资理念和技术，依据中国资本市场的具体特征，引入集团在海外市场成功运作的</w:t>
            </w:r>
            <w:r>
              <w:rPr>
                <w:rFonts w:asciiTheme="minorEastAsia" w:eastAsiaTheme="minorEastAsia" w:hAnsiTheme="minorEastAsia"/>
                <w:color w:val="000000" w:themeColor="text1"/>
                <w:kern w:val="0"/>
              </w:rPr>
              <w:t>“Dynamic Fund”</w:t>
            </w:r>
            <w:r>
              <w:rPr>
                <w:rFonts w:asciiTheme="minorEastAsia" w:eastAsiaTheme="minorEastAsia" w:hAnsiTheme="minorEastAsia"/>
                <w:color w:val="000000" w:themeColor="text1"/>
                <w:kern w:val="0"/>
              </w:rPr>
              <w:t>基金产品概念。具体而言，本基金将以量化指标分析为</w:t>
            </w:r>
            <w:r>
              <w:rPr>
                <w:rFonts w:asciiTheme="minorEastAsia" w:eastAsiaTheme="minorEastAsia" w:hAnsiTheme="minorEastAsia"/>
                <w:color w:val="000000" w:themeColor="text1"/>
                <w:kern w:val="0"/>
              </w:rPr>
              <w:t>基础，通过严格的证券选择，积极构建并持续优化</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哑铃式</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资产组合，结合严密的风险监控，不断谋求超越业绩比较基准的稳定回报。</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×80%+</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×20%</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证券投资基金，预期收益及预期风险水平低于股票型基金，高于债券型基金和货币市场基金，属于较高预期收益和预期风险水平的投资品种。本基金风险收益特征会定期评估并在公司网站发布，请投资者关注。</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6006C3">
        <w:tc>
          <w:tcPr>
            <w:tcW w:w="2835"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6006C3" w:rsidRDefault="003D19F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3D19FD" w:rsidTr="003D19FD">
        <w:tc>
          <w:tcPr>
            <w:tcW w:w="3402" w:type="dxa"/>
            <w:vAlign w:val="center"/>
          </w:tcPr>
          <w:p w:rsidR="006006C3" w:rsidRDefault="003D19FD">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6006C3" w:rsidRDefault="003D19FD">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6006C3" w:rsidRDefault="003D19FD">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10</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12</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31</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3D19FD" w:rsidTr="003D19FD">
        <w:tc>
          <w:tcPr>
            <w:tcW w:w="3402"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6006C3" w:rsidRDefault="003D19F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95,716,480.50</w:t>
            </w:r>
          </w:p>
        </w:tc>
      </w:tr>
      <w:tr w:rsidR="003D19FD" w:rsidTr="003D19FD">
        <w:tc>
          <w:tcPr>
            <w:tcW w:w="3402"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6006C3" w:rsidRDefault="003D19F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239,065,876.36</w:t>
            </w:r>
          </w:p>
        </w:tc>
      </w:tr>
      <w:tr w:rsidR="003D19FD" w:rsidTr="003D19FD">
        <w:tc>
          <w:tcPr>
            <w:tcW w:w="3402"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6006C3" w:rsidRDefault="003D19F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0.4813</w:t>
            </w:r>
          </w:p>
        </w:tc>
      </w:tr>
      <w:tr w:rsidR="003D19FD" w:rsidTr="003D19FD">
        <w:tc>
          <w:tcPr>
            <w:tcW w:w="3402"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6006C3" w:rsidRDefault="003D19F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1,575,879,969.98</w:t>
            </w:r>
          </w:p>
        </w:tc>
      </w:tr>
      <w:tr w:rsidR="003D19FD" w:rsidTr="003D19FD">
        <w:trPr>
          <w:trHeight w:val="158"/>
        </w:trPr>
        <w:tc>
          <w:tcPr>
            <w:tcW w:w="3402" w:type="dxa"/>
            <w:vAlign w:val="center"/>
          </w:tcPr>
          <w:p w:rsidR="006006C3" w:rsidRDefault="003D19F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6006C3" w:rsidRDefault="003D19F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3.4267</w:t>
            </w:r>
          </w:p>
        </w:tc>
      </w:tr>
    </w:tbl>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w:t>
      </w:r>
      <w:r>
        <w:rPr>
          <w:rFonts w:asciiTheme="minorEastAsia" w:eastAsiaTheme="minorEastAsia" w:hAnsiTheme="minorEastAsia"/>
          <w:color w:val="000000" w:themeColor="text1"/>
        </w:rPr>
        <w:lastRenderedPageBreak/>
        <w:t>费、红利再投资费、基金转换费等），计入费用后实际收益水平要低于所列数字。</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6006C3" w:rsidRDefault="003D19FD">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6006C3">
        <w:tc>
          <w:tcPr>
            <w:tcW w:w="1395"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6006C3">
        <w:tc>
          <w:tcPr>
            <w:tcW w:w="1395" w:type="dxa"/>
            <w:vAlign w:val="center"/>
          </w:tcPr>
          <w:p w:rsidR="006006C3" w:rsidRDefault="003D19FD">
            <w:pPr>
              <w:jc w:val="left"/>
            </w:pPr>
            <w:r>
              <w:rPr>
                <w:rFonts w:asciiTheme="minorEastAsia" w:eastAsiaTheme="minorEastAsia" w:hAnsiTheme="minorEastAsia"/>
                <w:color w:val="000000" w:themeColor="text1"/>
                <w:kern w:val="0"/>
              </w:rPr>
              <w:t>过去三个月</w:t>
            </w:r>
          </w:p>
        </w:tc>
        <w:tc>
          <w:tcPr>
            <w:tcW w:w="1092" w:type="dxa"/>
            <w:vAlign w:val="center"/>
          </w:tcPr>
          <w:p w:rsidR="006006C3" w:rsidRDefault="003D19FD">
            <w:pPr>
              <w:jc w:val="center"/>
            </w:pPr>
            <w:r>
              <w:rPr>
                <w:rFonts w:asciiTheme="minorEastAsia" w:eastAsiaTheme="minorEastAsia" w:hAnsiTheme="minorEastAsia"/>
                <w:color w:val="000000" w:themeColor="text1"/>
                <w:kern w:val="0"/>
              </w:rPr>
              <w:t>16.68%</w:t>
            </w:r>
          </w:p>
        </w:tc>
        <w:tc>
          <w:tcPr>
            <w:tcW w:w="1161" w:type="dxa"/>
            <w:vAlign w:val="center"/>
          </w:tcPr>
          <w:p w:rsidR="006006C3" w:rsidRDefault="003D19FD">
            <w:pPr>
              <w:jc w:val="center"/>
            </w:pPr>
            <w:r>
              <w:rPr>
                <w:rFonts w:asciiTheme="minorEastAsia" w:eastAsiaTheme="minorEastAsia" w:hAnsiTheme="minorEastAsia"/>
                <w:color w:val="000000" w:themeColor="text1"/>
                <w:kern w:val="0"/>
              </w:rPr>
              <w:t>0.82%</w:t>
            </w:r>
          </w:p>
        </w:tc>
        <w:tc>
          <w:tcPr>
            <w:tcW w:w="1181" w:type="dxa"/>
            <w:vAlign w:val="center"/>
          </w:tcPr>
          <w:p w:rsidR="006006C3" w:rsidRDefault="003D19FD">
            <w:pPr>
              <w:jc w:val="center"/>
            </w:pPr>
            <w:r>
              <w:rPr>
                <w:rFonts w:asciiTheme="minorEastAsia" w:eastAsiaTheme="minorEastAsia" w:hAnsiTheme="minorEastAsia"/>
                <w:color w:val="000000" w:themeColor="text1"/>
                <w:kern w:val="0"/>
              </w:rPr>
              <w:t>6.09%</w:t>
            </w:r>
          </w:p>
        </w:tc>
        <w:tc>
          <w:tcPr>
            <w:tcW w:w="1188" w:type="dxa"/>
            <w:vAlign w:val="center"/>
          </w:tcPr>
          <w:p w:rsidR="006006C3" w:rsidRDefault="003D19FD">
            <w:pPr>
              <w:jc w:val="center"/>
            </w:pPr>
            <w:r>
              <w:rPr>
                <w:rFonts w:asciiTheme="minorEastAsia" w:eastAsiaTheme="minorEastAsia" w:hAnsiTheme="minorEastAsia"/>
                <w:color w:val="000000" w:themeColor="text1"/>
                <w:kern w:val="0"/>
              </w:rPr>
              <w:t>0.59%</w:t>
            </w:r>
          </w:p>
        </w:tc>
        <w:tc>
          <w:tcPr>
            <w:tcW w:w="1199" w:type="dxa"/>
            <w:vAlign w:val="center"/>
          </w:tcPr>
          <w:p w:rsidR="006006C3" w:rsidRDefault="003D19FD">
            <w:pPr>
              <w:jc w:val="center"/>
            </w:pPr>
            <w:r>
              <w:rPr>
                <w:rFonts w:asciiTheme="minorEastAsia" w:eastAsiaTheme="minorEastAsia" w:hAnsiTheme="minorEastAsia"/>
                <w:color w:val="000000" w:themeColor="text1"/>
                <w:kern w:val="0"/>
              </w:rPr>
              <w:t>10.59%</w:t>
            </w:r>
          </w:p>
        </w:tc>
        <w:tc>
          <w:tcPr>
            <w:tcW w:w="1204" w:type="dxa"/>
            <w:vAlign w:val="center"/>
          </w:tcPr>
          <w:p w:rsidR="006006C3" w:rsidRDefault="003D19FD">
            <w:pPr>
              <w:jc w:val="center"/>
            </w:pPr>
            <w:r>
              <w:rPr>
                <w:rFonts w:asciiTheme="minorEastAsia" w:eastAsiaTheme="minorEastAsia" w:hAnsiTheme="minorEastAsia"/>
                <w:color w:val="000000" w:themeColor="text1"/>
                <w:kern w:val="0"/>
              </w:rPr>
              <w:t>0.23%</w:t>
            </w:r>
          </w:p>
        </w:tc>
      </w:tr>
    </w:tbl>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6006C3" w:rsidRDefault="003D19FD">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上投摩根阿尔法混合型证券投资基金</w:t>
      </w:r>
    </w:p>
    <w:p w:rsidR="006006C3" w:rsidRDefault="003D19FD">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6006C3" w:rsidRDefault="003D19FD">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31</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6006C3" w:rsidRDefault="003D19FD">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本基金合同生效日为</w:t>
      </w:r>
      <w:r>
        <w:rPr>
          <w:rFonts w:asciiTheme="minorEastAsia" w:eastAsiaTheme="minorEastAsia" w:hAnsiTheme="minorEastAsia"/>
          <w:color w:val="000000" w:themeColor="text1"/>
        </w:rPr>
        <w:t>2005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2005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 </w:t>
      </w: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2005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日，建仓期结束时资产配置比例符合本基金基金合同规定。</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 xml:space="preserve">3. </w:t>
      </w:r>
      <w:r>
        <w:rPr>
          <w:rFonts w:asciiTheme="minorEastAsia" w:eastAsiaTheme="minorEastAsia" w:hAnsiTheme="minorEastAsia"/>
          <w:color w:val="000000" w:themeColor="text1"/>
        </w:rPr>
        <w:t>本基金自</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日起，将基金业绩比较基准由</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富时中国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全指</w:t>
      </w:r>
      <w:r>
        <w:rPr>
          <w:rFonts w:asciiTheme="minorEastAsia" w:eastAsiaTheme="minorEastAsia" w:hAnsiTheme="minorEastAsia"/>
          <w:color w:val="000000" w:themeColor="text1"/>
        </w:rPr>
        <w:t>×80%+</w:t>
      </w:r>
      <w:r>
        <w:rPr>
          <w:rFonts w:asciiTheme="minorEastAsia" w:eastAsiaTheme="minorEastAsia" w:hAnsiTheme="minorEastAsia"/>
          <w:color w:val="000000" w:themeColor="text1"/>
        </w:rPr>
        <w:t>同业存款利率</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变更为</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沪深</w:t>
      </w:r>
      <w:r>
        <w:rPr>
          <w:rFonts w:asciiTheme="minorEastAsia" w:eastAsiaTheme="minorEastAsia" w:hAnsiTheme="minorEastAsia"/>
          <w:color w:val="000000" w:themeColor="text1"/>
        </w:rPr>
        <w:t>300</w:t>
      </w:r>
      <w:r>
        <w:rPr>
          <w:rFonts w:asciiTheme="minorEastAsia" w:eastAsiaTheme="minorEastAsia" w:hAnsiTheme="minorEastAsia"/>
          <w:color w:val="000000" w:themeColor="text1"/>
        </w:rPr>
        <w:t>指数收益率</w:t>
      </w:r>
      <w:r>
        <w:rPr>
          <w:rFonts w:asciiTheme="minorEastAsia" w:eastAsiaTheme="minorEastAsia" w:hAnsiTheme="minorEastAsia"/>
          <w:color w:val="000000" w:themeColor="text1"/>
        </w:rPr>
        <w:t>×80%+</w:t>
      </w:r>
      <w:r>
        <w:rPr>
          <w:rFonts w:asciiTheme="minorEastAsia" w:eastAsiaTheme="minorEastAsia" w:hAnsiTheme="minorEastAsia"/>
          <w:color w:val="000000" w:themeColor="text1"/>
        </w:rPr>
        <w:t>中债总指数收益率</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w:t>
      </w:r>
    </w:p>
    <w:p w:rsidR="006006C3" w:rsidRDefault="006006C3">
      <w:pPr>
        <w:tabs>
          <w:tab w:val="left" w:pos="1800"/>
        </w:tabs>
        <w:spacing w:line="360" w:lineRule="auto"/>
        <w:rPr>
          <w:rFonts w:asciiTheme="minorEastAsia" w:eastAsiaTheme="minorEastAsia" w:hAnsiTheme="minorEastAsia"/>
          <w:color w:val="000000" w:themeColor="text1"/>
          <w:sz w:val="24"/>
          <w:szCs w:val="24"/>
        </w:rPr>
      </w:pPr>
    </w:p>
    <w:p w:rsidR="006006C3" w:rsidRDefault="003D19F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6006C3">
        <w:trPr>
          <w:cantSplit/>
          <w:trHeight w:val="292"/>
        </w:trPr>
        <w:tc>
          <w:tcPr>
            <w:tcW w:w="851" w:type="dxa"/>
            <w:vMerge w:val="restart"/>
            <w:vAlign w:val="center"/>
          </w:tcPr>
          <w:p w:rsidR="006006C3" w:rsidRDefault="003D19FD">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6006C3" w:rsidRDefault="003D19FD">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6006C3" w:rsidRDefault="003D19FD">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6006C3">
        <w:trPr>
          <w:cantSplit/>
        </w:trPr>
        <w:tc>
          <w:tcPr>
            <w:tcW w:w="851" w:type="dxa"/>
            <w:vMerge/>
            <w:vAlign w:val="center"/>
          </w:tcPr>
          <w:p w:rsidR="006006C3" w:rsidRDefault="006006C3">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6006C3" w:rsidRDefault="006006C3">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6006C3" w:rsidRDefault="006006C3">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6006C3" w:rsidRDefault="006006C3">
            <w:pPr>
              <w:widowControl/>
              <w:spacing w:line="360" w:lineRule="auto"/>
              <w:jc w:val="left"/>
              <w:rPr>
                <w:rFonts w:asciiTheme="minorEastAsia" w:eastAsiaTheme="minorEastAsia" w:hAnsiTheme="minorEastAsia"/>
                <w:color w:val="000000" w:themeColor="text1"/>
                <w:kern w:val="0"/>
              </w:rPr>
            </w:pPr>
          </w:p>
        </w:tc>
      </w:tr>
      <w:tr w:rsidR="006006C3">
        <w:tc>
          <w:tcPr>
            <w:tcW w:w="851" w:type="dxa"/>
            <w:vAlign w:val="center"/>
          </w:tcPr>
          <w:p w:rsidR="006006C3" w:rsidRDefault="003D19FD">
            <w:pPr>
              <w:jc w:val="center"/>
            </w:pPr>
            <w:r>
              <w:rPr>
                <w:rFonts w:asciiTheme="minorEastAsia" w:eastAsiaTheme="minorEastAsia" w:hAnsiTheme="minorEastAsia"/>
                <w:color w:val="000000" w:themeColor="text1"/>
              </w:rPr>
              <w:t>李博</w:t>
            </w:r>
          </w:p>
        </w:tc>
        <w:tc>
          <w:tcPr>
            <w:tcW w:w="850" w:type="dxa"/>
            <w:vAlign w:val="center"/>
          </w:tcPr>
          <w:p w:rsidR="006006C3" w:rsidRDefault="003D19FD">
            <w:pPr>
              <w:jc w:val="center"/>
            </w:pPr>
            <w:r>
              <w:rPr>
                <w:rFonts w:asciiTheme="minorEastAsia" w:eastAsiaTheme="minorEastAsia" w:hAnsiTheme="minorEastAsia"/>
                <w:color w:val="000000" w:themeColor="text1"/>
              </w:rPr>
              <w:t>本基金基金经理</w:t>
            </w:r>
          </w:p>
        </w:tc>
        <w:tc>
          <w:tcPr>
            <w:tcW w:w="1560" w:type="dxa"/>
            <w:vAlign w:val="center"/>
          </w:tcPr>
          <w:p w:rsidR="006006C3" w:rsidRDefault="003D19FD">
            <w:pPr>
              <w:jc w:val="center"/>
            </w:pPr>
            <w:r>
              <w:rPr>
                <w:rFonts w:asciiTheme="minorEastAsia" w:eastAsiaTheme="minorEastAsia" w:hAnsiTheme="minorEastAsia"/>
                <w:color w:val="000000" w:themeColor="text1"/>
              </w:rPr>
              <w:t>2015-09-18</w:t>
            </w:r>
          </w:p>
        </w:tc>
        <w:tc>
          <w:tcPr>
            <w:tcW w:w="1559" w:type="dxa"/>
            <w:vAlign w:val="center"/>
          </w:tcPr>
          <w:p w:rsidR="006006C3" w:rsidRDefault="003D19FD">
            <w:pPr>
              <w:jc w:val="center"/>
            </w:pPr>
            <w:r>
              <w:rPr>
                <w:rFonts w:asciiTheme="minorEastAsia" w:eastAsiaTheme="minorEastAsia" w:hAnsiTheme="minorEastAsia"/>
                <w:color w:val="000000" w:themeColor="text1"/>
              </w:rPr>
              <w:t>-</w:t>
            </w:r>
          </w:p>
        </w:tc>
        <w:tc>
          <w:tcPr>
            <w:tcW w:w="1417" w:type="dxa"/>
            <w:vAlign w:val="center"/>
          </w:tcPr>
          <w:p w:rsidR="006006C3" w:rsidRDefault="003D19FD">
            <w:pPr>
              <w:jc w:val="center"/>
            </w:pP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年</w:t>
            </w:r>
          </w:p>
        </w:tc>
        <w:tc>
          <w:tcPr>
            <w:tcW w:w="2694" w:type="dxa"/>
            <w:vAlign w:val="center"/>
          </w:tcPr>
          <w:p w:rsidR="006006C3" w:rsidRDefault="003D19FD">
            <w:r>
              <w:rPr>
                <w:rFonts w:asciiTheme="minorEastAsia" w:eastAsiaTheme="minorEastAsia" w:hAnsiTheme="minorEastAsia"/>
                <w:color w:val="000000" w:themeColor="text1"/>
              </w:rPr>
              <w:t>李博先生，上海交通大学硕士，自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月在中银国际证券有限公司担任研究员，负责研究方面的工作，自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月起加入上投摩根基金管理有限公司，先后担任行业专家、基金经理、资深基金经理，自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月起担任上投摩根核心成长股票型证券投资基金基金经理，自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月担任上投摩根科技前沿灵活配置混合型证券投资基金基金经理，自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月起同时担任上投摩根阿尔法混合型证券投资基金基金经理，自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月起同时担任上投摩根双息平衡混合型证券投资基金基金经理，自</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月起同时担任上投摩根核心精选股票型证券投资基金基金经理。</w:t>
            </w:r>
          </w:p>
        </w:tc>
      </w:tr>
    </w:tbl>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阿尔法混合型证券投资基金基金合同》的规定。基金经理对个股和投资组合的比例遵循了投资决策委员会的授权限制，基金投资比例符合基金合同和法律法规的要求。</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w:t>
      </w:r>
      <w:r>
        <w:rPr>
          <w:rFonts w:asciiTheme="minorEastAsia" w:eastAsiaTheme="minorEastAsia" w:hAnsiTheme="minorEastAsia"/>
          <w:color w:val="000000" w:themeColor="text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asciiTheme="minorEastAsia" w:eastAsiaTheme="minorEastAsia" w:hAnsiTheme="minorEastAsia"/>
          <w:color w:val="000000" w:themeColor="text1"/>
        </w:rPr>
        <w:t>申报的价格和数量对交易结果进行公平分配。</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6006C3" w:rsidRDefault="006006C3">
      <w:pPr>
        <w:spacing w:line="360" w:lineRule="auto"/>
        <w:ind w:firstLineChars="200" w:firstLine="480"/>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四季度，市场出现较大幅度上涨，其中沪深</w:t>
      </w:r>
      <w:r>
        <w:rPr>
          <w:rFonts w:asciiTheme="minorEastAsia" w:eastAsiaTheme="minorEastAsia" w:hAnsiTheme="minorEastAsia"/>
          <w:color w:val="000000" w:themeColor="text1"/>
        </w:rPr>
        <w:t>300</w:t>
      </w:r>
      <w:r>
        <w:rPr>
          <w:rFonts w:asciiTheme="minorEastAsia" w:eastAsiaTheme="minorEastAsia" w:hAnsiTheme="minorEastAsia"/>
          <w:color w:val="000000" w:themeColor="text1"/>
        </w:rPr>
        <w:t>上涨</w:t>
      </w:r>
      <w:r>
        <w:rPr>
          <w:rFonts w:asciiTheme="minorEastAsia" w:eastAsiaTheme="minorEastAsia" w:hAnsiTheme="minorEastAsia"/>
          <w:color w:val="000000" w:themeColor="text1"/>
        </w:rPr>
        <w:t>7.4%</w:t>
      </w:r>
      <w:r>
        <w:rPr>
          <w:rFonts w:asciiTheme="minorEastAsia" w:eastAsiaTheme="minorEastAsia" w:hAnsiTheme="minorEastAsia"/>
          <w:color w:val="000000" w:themeColor="text1"/>
        </w:rPr>
        <w:t>，创业板上涨</w:t>
      </w:r>
      <w:r>
        <w:rPr>
          <w:rFonts w:asciiTheme="minorEastAsia" w:eastAsiaTheme="minorEastAsia" w:hAnsiTheme="minorEastAsia"/>
          <w:color w:val="000000" w:themeColor="text1"/>
        </w:rPr>
        <w:t>10.5%</w:t>
      </w:r>
      <w:r>
        <w:rPr>
          <w:rFonts w:asciiTheme="minorEastAsia" w:eastAsiaTheme="minorEastAsia" w:hAnsiTheme="minorEastAsia"/>
          <w:color w:val="000000" w:themeColor="text1"/>
        </w:rPr>
        <w:t>。板块方面，建材、家电和电子领涨，国防军工和商贸零售领跌。伴随着中美贸易摩擦缓解、国内利好政策刺激，国内经济复苏可期。本基金重点配置了估值和成长相匹配的个股，此外，四季度还减持了部分前期超额收益较多个股，增持了部分市场关注度不高的成长股。</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展望后市，我们判断市场机会将大于风险，</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股有望呈现结构性的投资机会。我们将继续以精选个股作为首要方向。首先，重点关注成长股，尤其是近两年涨幅不大但业绩稳定增长的个</w:t>
      </w:r>
      <w:r>
        <w:rPr>
          <w:rFonts w:asciiTheme="minorEastAsia" w:eastAsiaTheme="minorEastAsia" w:hAnsiTheme="minorEastAsia"/>
          <w:color w:val="000000" w:themeColor="text1"/>
        </w:rPr>
        <w:t>股，这些个股伴随业绩兑现全年有望获得超额收益；其次，关注大消费领域，居民可支配收入仍处于稳步提升阶段，和居民消费相关的领域存在投资机会；最后，关注经济转型带来的投资机会。</w:t>
      </w: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本报告期上投摩根阿尔法混合份额净值增长率为</w:t>
      </w:r>
      <w:r>
        <w:rPr>
          <w:rFonts w:asciiTheme="minorEastAsia" w:eastAsiaTheme="minorEastAsia" w:hAnsiTheme="minorEastAsia"/>
          <w:color w:val="000000" w:themeColor="text1"/>
        </w:rPr>
        <w:t>:16.68%</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:6.09%</w:t>
      </w:r>
      <w:r>
        <w:rPr>
          <w:rFonts w:asciiTheme="minorEastAsia" w:eastAsiaTheme="minorEastAsia" w:hAnsiTheme="minorEastAsia"/>
          <w:color w:val="000000" w:themeColor="text1"/>
        </w:rPr>
        <w:t>。</w:t>
      </w:r>
    </w:p>
    <w:p w:rsidR="006006C3" w:rsidRDefault="006006C3">
      <w:pPr>
        <w:spacing w:line="360" w:lineRule="auto"/>
        <w:ind w:firstLineChars="200" w:firstLine="480"/>
        <w:rPr>
          <w:rFonts w:asciiTheme="minorEastAsia" w:eastAsiaTheme="minorEastAsia" w:hAnsiTheme="minorEastAsia"/>
          <w:color w:val="000000" w:themeColor="text1"/>
          <w:sz w:val="24"/>
          <w:szCs w:val="24"/>
        </w:rPr>
      </w:pP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6006C3" w:rsidRDefault="003D19F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1,417,561,602.58</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89.36</w:t>
            </w:r>
          </w:p>
        </w:tc>
      </w:tr>
      <w:tr w:rsidR="006006C3">
        <w:trPr>
          <w:jc w:val="center"/>
        </w:trPr>
        <w:tc>
          <w:tcPr>
            <w:tcW w:w="720" w:type="dxa"/>
            <w:vAlign w:val="center"/>
          </w:tcPr>
          <w:p w:rsidR="006006C3" w:rsidRDefault="006006C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1,417,561,602.58</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89.36</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vAlign w:val="center"/>
          </w:tcPr>
          <w:p w:rsidR="006006C3" w:rsidRDefault="006006C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vAlign w:val="center"/>
          </w:tcPr>
          <w:p w:rsidR="006006C3" w:rsidRDefault="006006C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006C3" w:rsidRDefault="003D19FD">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6006C3" w:rsidRDefault="003D19FD">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6006C3" w:rsidRDefault="003D19FD">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vAlign w:val="center"/>
          </w:tcPr>
          <w:p w:rsidR="006006C3" w:rsidRDefault="006006C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6006C3" w:rsidRDefault="003D19F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100,192,385.28</w:t>
            </w:r>
          </w:p>
        </w:tc>
        <w:tc>
          <w:tcPr>
            <w:tcW w:w="1843" w:type="dxa"/>
            <w:vAlign w:val="center"/>
          </w:tcPr>
          <w:p w:rsidR="006006C3" w:rsidRDefault="003D19F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6.32</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6006C3" w:rsidRDefault="003D19FD">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68,596,491.27</w:t>
            </w:r>
          </w:p>
        </w:tc>
        <w:tc>
          <w:tcPr>
            <w:tcW w:w="1843" w:type="dxa"/>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4.32</w:t>
            </w:r>
          </w:p>
        </w:tc>
      </w:tr>
      <w:tr w:rsidR="006006C3">
        <w:trPr>
          <w:jc w:val="center"/>
        </w:trPr>
        <w:tc>
          <w:tcPr>
            <w:tcW w:w="720" w:type="dxa"/>
            <w:vAlign w:val="center"/>
          </w:tcPr>
          <w:p w:rsidR="006006C3" w:rsidRDefault="003D19F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6006C3" w:rsidRDefault="003D19FD">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1,586,350,479.13</w:t>
            </w:r>
          </w:p>
        </w:tc>
        <w:tc>
          <w:tcPr>
            <w:tcW w:w="1843" w:type="dxa"/>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6006C3" w:rsidRDefault="006006C3">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6006C3" w:rsidRDefault="003D19FD">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6006C3">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16,426,150.00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1.04</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6006C3" w:rsidRDefault="006006C3">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6006C3" w:rsidRDefault="006006C3">
            <w:pPr>
              <w:jc w:val="right"/>
              <w:rPr>
                <w:rFonts w:asciiTheme="minorEastAsia" w:eastAsiaTheme="minorEastAsia" w:hAnsiTheme="minorEastAsia" w:cs="宋体"/>
                <w:color w:val="000000" w:themeColor="text1"/>
                <w:kern w:val="0"/>
              </w:rPr>
            </w:pP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912,814,200.99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57.92</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14,753,566.54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0.94</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76,468,656.00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4.85</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4,078,368.00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0.26</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8,593,092.00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0.55</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85,746,419.85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5.44</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158,504,267.68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10.06</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80,486,544.09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5.11</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54,534,099.39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3.46</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5,149,660.00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0.33</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006C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6006C3">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006C3" w:rsidRDefault="003D19F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1,417,561,602.58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006C3" w:rsidRDefault="003D19F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89.95</w:t>
            </w:r>
          </w:p>
        </w:tc>
      </w:tr>
    </w:tbl>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6006C3">
        <w:tc>
          <w:tcPr>
            <w:tcW w:w="817" w:type="dxa"/>
            <w:vAlign w:val="center"/>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6006C3" w:rsidRDefault="003D19F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1</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002236</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大华股份</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7,560,168</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150,296,139.84</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9.54</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2</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300014</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亿纬锂能</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1,250,809</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62,740,579.44</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3.98</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3</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600567</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山鹰纸业</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13,106,000</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49,409,620.00</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3.14</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4</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002798</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帝欧家居</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1,943,056</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48,673,552.80</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3.09</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5</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601012</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隆基股份</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1,901,614</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47,217,075.62</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3.00</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6</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603008</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喜临门</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3,022,405</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46,756,605.35</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2.97</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7</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300136</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信维通信</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1,020,503</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46,310,426.14</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2.94</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8</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002701</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奥瑞金</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10,491,767</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46,268,692.47</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2.94</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9</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002572</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索菲亚</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2,202,000</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46,131,900.00</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2.93</w:t>
            </w:r>
          </w:p>
        </w:tc>
      </w:tr>
      <w:tr w:rsidR="006006C3">
        <w:tc>
          <w:tcPr>
            <w:tcW w:w="817" w:type="dxa"/>
            <w:vAlign w:val="center"/>
          </w:tcPr>
          <w:p w:rsidR="006006C3" w:rsidRDefault="003D19FD">
            <w:pPr>
              <w:jc w:val="center"/>
            </w:pPr>
            <w:r>
              <w:rPr>
                <w:rFonts w:asciiTheme="minorEastAsia" w:eastAsiaTheme="minorEastAsia" w:hAnsiTheme="minorEastAsia" w:cs="宋体"/>
                <w:color w:val="000000" w:themeColor="text1"/>
                <w:kern w:val="0"/>
              </w:rPr>
              <w:t>10</w:t>
            </w:r>
          </w:p>
        </w:tc>
        <w:tc>
          <w:tcPr>
            <w:tcW w:w="1276" w:type="dxa"/>
            <w:vAlign w:val="center"/>
          </w:tcPr>
          <w:p w:rsidR="006006C3" w:rsidRDefault="003D19FD">
            <w:pPr>
              <w:jc w:val="center"/>
            </w:pPr>
            <w:r>
              <w:rPr>
                <w:rFonts w:asciiTheme="minorEastAsia" w:eastAsiaTheme="minorEastAsia" w:hAnsiTheme="minorEastAsia" w:cs="宋体"/>
                <w:color w:val="000000" w:themeColor="text1"/>
                <w:kern w:val="0"/>
              </w:rPr>
              <w:t>002508</w:t>
            </w:r>
          </w:p>
        </w:tc>
        <w:tc>
          <w:tcPr>
            <w:tcW w:w="1701" w:type="dxa"/>
            <w:vAlign w:val="center"/>
          </w:tcPr>
          <w:p w:rsidR="006006C3" w:rsidRDefault="003D19FD">
            <w:pPr>
              <w:jc w:val="center"/>
            </w:pPr>
            <w:r>
              <w:rPr>
                <w:rFonts w:asciiTheme="minorEastAsia" w:eastAsiaTheme="minorEastAsia" w:hAnsiTheme="minorEastAsia" w:cs="宋体"/>
                <w:color w:val="000000" w:themeColor="text1"/>
                <w:kern w:val="0"/>
              </w:rPr>
              <w:t>老板电器</w:t>
            </w:r>
          </w:p>
        </w:tc>
        <w:tc>
          <w:tcPr>
            <w:tcW w:w="1276" w:type="dxa"/>
            <w:vAlign w:val="center"/>
          </w:tcPr>
          <w:p w:rsidR="006006C3" w:rsidRDefault="003D19FD">
            <w:pPr>
              <w:jc w:val="right"/>
            </w:pPr>
            <w:r>
              <w:rPr>
                <w:rFonts w:asciiTheme="minorEastAsia" w:eastAsiaTheme="minorEastAsia" w:hAnsiTheme="minorEastAsia" w:cs="宋体"/>
                <w:color w:val="000000" w:themeColor="text1"/>
                <w:kern w:val="0"/>
              </w:rPr>
              <w:t>1,300,807</w:t>
            </w:r>
          </w:p>
        </w:tc>
        <w:tc>
          <w:tcPr>
            <w:tcW w:w="1842" w:type="dxa"/>
            <w:vAlign w:val="center"/>
          </w:tcPr>
          <w:p w:rsidR="006006C3" w:rsidRDefault="003D19FD">
            <w:pPr>
              <w:jc w:val="right"/>
            </w:pPr>
            <w:r>
              <w:rPr>
                <w:rFonts w:asciiTheme="minorEastAsia" w:eastAsiaTheme="minorEastAsia" w:hAnsiTheme="minorEastAsia" w:cs="宋体"/>
                <w:color w:val="000000" w:themeColor="text1"/>
                <w:kern w:val="0"/>
              </w:rPr>
              <w:t>43,980,284.67</w:t>
            </w:r>
          </w:p>
        </w:tc>
        <w:tc>
          <w:tcPr>
            <w:tcW w:w="1616" w:type="dxa"/>
            <w:vAlign w:val="center"/>
          </w:tcPr>
          <w:p w:rsidR="006006C3" w:rsidRDefault="003D19FD">
            <w:pPr>
              <w:jc w:val="right"/>
            </w:pPr>
            <w:r>
              <w:rPr>
                <w:rFonts w:asciiTheme="minorEastAsia" w:eastAsiaTheme="minorEastAsia" w:hAnsiTheme="minorEastAsia" w:cs="宋体"/>
                <w:color w:val="000000" w:themeColor="text1"/>
                <w:kern w:val="0"/>
              </w:rPr>
              <w:t>2.79</w:t>
            </w:r>
          </w:p>
        </w:tc>
      </w:tr>
    </w:tbl>
    <w:p w:rsidR="006006C3" w:rsidRDefault="006006C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6006C3" w:rsidRDefault="006006C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6006C3" w:rsidRDefault="003D19FD">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6006C3" w:rsidRDefault="006006C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6006C3" w:rsidRDefault="006006C3">
      <w:pPr>
        <w:adjustRightInd w:val="0"/>
        <w:snapToGrid w:val="0"/>
        <w:spacing w:line="360" w:lineRule="exact"/>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6006C3" w:rsidRDefault="003D19F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6006C3">
        <w:tc>
          <w:tcPr>
            <w:tcW w:w="1235"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6006C3" w:rsidRDefault="003D19F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822,204.42</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65,507,731.71</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29,062.44</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2,237,492.70</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006C3">
        <w:tc>
          <w:tcPr>
            <w:tcW w:w="1235" w:type="dxa"/>
            <w:vAlign w:val="center"/>
          </w:tcPr>
          <w:p w:rsidR="006006C3" w:rsidRDefault="003D19F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6006C3" w:rsidRDefault="003D19F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68,596,491.27</w:t>
            </w:r>
          </w:p>
        </w:tc>
      </w:tr>
    </w:tbl>
    <w:p w:rsidR="006006C3" w:rsidRDefault="006006C3">
      <w:pPr>
        <w:autoSpaceDE w:val="0"/>
        <w:autoSpaceDN w:val="0"/>
        <w:adjustRightInd w:val="0"/>
        <w:spacing w:line="360" w:lineRule="auto"/>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6006C3" w:rsidRDefault="006006C3">
      <w:pPr>
        <w:autoSpaceDE w:val="0"/>
        <w:autoSpaceDN w:val="0"/>
        <w:adjustRightInd w:val="0"/>
        <w:spacing w:line="360" w:lineRule="auto"/>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6006C3" w:rsidRDefault="006006C3">
      <w:pPr>
        <w:autoSpaceDE w:val="0"/>
        <w:autoSpaceDN w:val="0"/>
        <w:adjustRightInd w:val="0"/>
        <w:spacing w:line="360" w:lineRule="auto"/>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6006C3" w:rsidRDefault="003D19F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6006C3" w:rsidRDefault="003D19FD">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6006C3">
        <w:tc>
          <w:tcPr>
            <w:tcW w:w="4609"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510,720,764.33</w:t>
            </w:r>
          </w:p>
        </w:tc>
      </w:tr>
      <w:tr w:rsidR="006006C3">
        <w:tc>
          <w:tcPr>
            <w:tcW w:w="4609"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9,673,911.66</w:t>
            </w:r>
          </w:p>
        </w:tc>
      </w:tr>
      <w:tr w:rsidR="006006C3">
        <w:tc>
          <w:tcPr>
            <w:tcW w:w="4609"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60,515,129.87</w:t>
            </w:r>
          </w:p>
        </w:tc>
      </w:tr>
      <w:tr w:rsidR="006006C3">
        <w:tc>
          <w:tcPr>
            <w:tcW w:w="4609"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6006C3">
        <w:tc>
          <w:tcPr>
            <w:tcW w:w="4609"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006C3" w:rsidRDefault="003D19F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459,879,546.12</w:t>
            </w:r>
          </w:p>
        </w:tc>
      </w:tr>
    </w:tbl>
    <w:p w:rsidR="006006C3" w:rsidRDefault="003D19FD">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6006C3" w:rsidRDefault="003D19FD">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6006C3" w:rsidRDefault="003D19F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6006C3" w:rsidRDefault="006006C3">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6006C3" w:rsidRDefault="003D19F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中国证监会批准上投摩根阿尔法混合型证券投资基金设立的文件；</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《上投摩根阿尔法混合型证券投资基金基金合同》；</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《上投摩根阿尔法混合型证券投资基金托管协议》；</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《上投摩根开放式基金业务规则》；</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6006C3" w:rsidRDefault="006006C3">
      <w:pPr>
        <w:spacing w:line="360" w:lineRule="auto"/>
        <w:ind w:firstLineChars="200" w:firstLine="480"/>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6006C3" w:rsidRDefault="006006C3">
      <w:pPr>
        <w:spacing w:line="360" w:lineRule="auto"/>
        <w:ind w:firstLineChars="200" w:firstLine="480"/>
        <w:rPr>
          <w:rFonts w:asciiTheme="minorEastAsia" w:eastAsiaTheme="minorEastAsia" w:hAnsiTheme="minorEastAsia"/>
          <w:color w:val="000000" w:themeColor="text1"/>
          <w:sz w:val="24"/>
          <w:szCs w:val="24"/>
        </w:rPr>
      </w:pPr>
    </w:p>
    <w:p w:rsidR="006006C3" w:rsidRDefault="003D19F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6006C3" w:rsidRDefault="003D19F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6006C3">
      <w:pPr>
        <w:spacing w:line="360" w:lineRule="auto"/>
        <w:ind w:left="840"/>
        <w:jc w:val="right"/>
        <w:rPr>
          <w:rFonts w:asciiTheme="minorEastAsia" w:eastAsiaTheme="minorEastAsia" w:hAnsiTheme="minorEastAsia"/>
          <w:color w:val="000000" w:themeColor="text1"/>
          <w:sz w:val="24"/>
          <w:szCs w:val="24"/>
        </w:rPr>
      </w:pPr>
    </w:p>
    <w:p w:rsidR="006006C3" w:rsidRDefault="003D19FD">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6006C3" w:rsidRDefault="003D19FD">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6006C3" w:rsidRDefault="006006C3">
      <w:pPr>
        <w:spacing w:line="360" w:lineRule="auto"/>
        <w:ind w:left="840"/>
        <w:jc w:val="right"/>
        <w:rPr>
          <w:rFonts w:asciiTheme="minorEastAsia" w:eastAsiaTheme="minorEastAsia" w:hAnsiTheme="minorEastAsia"/>
          <w:b/>
          <w:bCs/>
          <w:color w:val="000000" w:themeColor="text1"/>
          <w:sz w:val="24"/>
          <w:szCs w:val="24"/>
        </w:rPr>
      </w:pPr>
    </w:p>
    <w:p w:rsidR="006006C3" w:rsidRDefault="006006C3">
      <w:pPr>
        <w:rPr>
          <w:rFonts w:asciiTheme="minorEastAsia" w:eastAsiaTheme="minorEastAsia" w:hAnsiTheme="minorEastAsia"/>
          <w:color w:val="000000" w:themeColor="text1"/>
          <w:sz w:val="24"/>
          <w:szCs w:val="24"/>
        </w:rPr>
      </w:pPr>
    </w:p>
    <w:sectPr w:rsidR="006006C3">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19FD">
      <w:r>
        <w:separator/>
      </w:r>
    </w:p>
  </w:endnote>
  <w:endnote w:type="continuationSeparator" w:id="0">
    <w:p w:rsidR="00000000" w:rsidRDefault="003D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C3" w:rsidRDefault="003D19FD">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3D19FD">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C3" w:rsidRDefault="003D19FD">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6006C3" w:rsidRDefault="006006C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19FD">
      <w:r>
        <w:separator/>
      </w:r>
    </w:p>
  </w:footnote>
  <w:footnote w:type="continuationSeparator" w:id="0">
    <w:p w:rsidR="00000000" w:rsidRDefault="003D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C3" w:rsidRDefault="003D19FD">
    <w:pPr>
      <w:pStyle w:val="af6"/>
      <w:pBdr>
        <w:bottom w:val="single" w:sz="6" w:space="0" w:color="auto"/>
      </w:pBdr>
      <w:jc w:val="right"/>
    </w:pPr>
    <w:r>
      <w:rPr>
        <w:rFonts w:hint="eastAsia"/>
      </w:rPr>
      <w:t>上投摩根阿尔法混合型证券投资基金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D19FD"/>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06C3"/>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27EDA-2A67-4E8B-AD3A-B1E99674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A8C89-8003-499F-B9B5-FED39C94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932</Words>
  <Characters>5314</Characters>
  <Application>Microsoft Office Word</Application>
  <DocSecurity>0</DocSecurity>
  <Lines>44</Lines>
  <Paragraphs>12</Paragraphs>
  <ScaleCrop>false</ScaleCrop>
  <Company>Cifm</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Cifm</cp:lastModifiedBy>
  <cp:revision>265</cp:revision>
  <dcterms:created xsi:type="dcterms:W3CDTF">2012-10-16T06:07:00Z</dcterms:created>
  <dcterms:modified xsi:type="dcterms:W3CDTF">2020-01-17T07:08:00Z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