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摩根大盘蓝筹股票型证券投资基金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摩根大盘蓝筹股票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376510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2010</w:t>
            </w:r>
            <w:r w:rsidRPr="00B27A29">
              <w:rPr>
                <w:rFonts w:eastAsiaTheme="minorEastAsia"/>
                <w:color w:val="000000" w:themeColor="text1"/>
                <w:kern w:val="0"/>
                <w:szCs w:val="21"/>
              </w:rPr>
              <w:t>年</w:t>
            </w:r>
            <w:r w:rsidRPr="00B27A29">
              <w:rPr>
                <w:rFonts w:eastAsiaTheme="minorEastAsia"/>
                <w:color w:val="000000" w:themeColor="text1"/>
                <w:kern w:val="0"/>
                <w:szCs w:val="21"/>
              </w:rPr>
              <w:t>12</w:t>
            </w:r>
            <w:r w:rsidRPr="00B27A29">
              <w:rPr>
                <w:rFonts w:eastAsiaTheme="minorEastAsia"/>
                <w:color w:val="000000" w:themeColor="text1"/>
                <w:kern w:val="0"/>
                <w:szCs w:val="21"/>
              </w:rPr>
              <w:t>月</w:t>
            </w:r>
            <w:r w:rsidRPr="00B27A29">
              <w:rPr>
                <w:rFonts w:eastAsiaTheme="minorEastAsia"/>
                <w:color w:val="000000" w:themeColor="text1"/>
                <w:kern w:val="0"/>
                <w:szCs w:val="21"/>
              </w:rPr>
              <w:t>20</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91,899,062.36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通过投资大盘蓝筹股票，力争最大程度的分享中国经济持续发展带来的中长期收益。在有效控制风险的前提下，追求基金资产的长期稳健增值。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E52D96" w:rsidRDefault="00E345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本基金充分借鉴摩根资产管理集团全球行之有效的投资理念和技术，</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精选个股，重点投资于在行业内占有领先地位、业绩良好且稳定增长、价值相对低估的大盘蓝筹上市公司。同时结合宏观经济运行状况和金融市场运行分析趋势的市场研判，对相关资产类别的预期收益进行监控，动态调整股票、债券等大类资产配置。</w:t>
            </w:r>
          </w:p>
          <w:p w:rsidR="00E52D96" w:rsidRDefault="00E345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1.</w:t>
            </w:r>
            <w:r>
              <w:rPr>
                <w:rFonts w:eastAsiaTheme="minorEastAsia"/>
                <w:color w:val="000000" w:themeColor="text1"/>
                <w:kern w:val="0"/>
                <w:szCs w:val="21"/>
              </w:rPr>
              <w:t>资产配置策略</w:t>
            </w:r>
          </w:p>
          <w:p w:rsidR="00E52D96" w:rsidRDefault="00E345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本基金对大类资产的配置是从宏观层面出发，采用定量分析和定性分析相结合的手段，综合宏观经济环境、宏观经济政策、行业景气度、证券市场走势和流动性的综合分析，积极进行大类资产配置。</w:t>
            </w:r>
          </w:p>
          <w:p w:rsidR="00E52D96" w:rsidRDefault="00E345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行业配置策略</w:t>
            </w:r>
          </w:p>
          <w:p w:rsidR="00E52D96" w:rsidRDefault="00E345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根据各行业所处生命周期、行业景气度、产业竞争结构、近期发展趋势等方面因素对各行业的相对盈利能力及投资吸引力进行评价，考察净资产收益率、营运周期、销售收入、净利润等指标，对各行业的相对投资价值进行评估。本基金将重点投资于处于成长期和成熟期，行业景气良好，优先受益于国民经济增长和国家政策重点扶持的行业。</w:t>
            </w:r>
          </w:p>
          <w:p w:rsidR="00E52D96" w:rsidRDefault="00E345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E52D96" w:rsidRDefault="00E345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本基金重点投资于在行业内占有领先地位、业绩良好且稳定增长、价值相对低估的大盘蓝筹公司股票，投资于大盘蓝筹股票的资产占股票资产的比例不低于</w:t>
            </w:r>
            <w:r>
              <w:rPr>
                <w:rFonts w:eastAsiaTheme="minorEastAsia"/>
                <w:color w:val="000000" w:themeColor="text1"/>
                <w:kern w:val="0"/>
                <w:szCs w:val="21"/>
              </w:rPr>
              <w:t>80</w:t>
            </w:r>
            <w:r>
              <w:rPr>
                <w:rFonts w:eastAsiaTheme="minorEastAsia"/>
                <w:color w:val="000000" w:themeColor="text1"/>
                <w:kern w:val="0"/>
                <w:szCs w:val="21"/>
              </w:rPr>
              <w:t>％。本基金所重点投资的大盘蓝筹股主要包括以下特征：</w:t>
            </w:r>
            <w:r>
              <w:rPr>
                <w:rFonts w:eastAsiaTheme="minorEastAsia"/>
                <w:color w:val="000000" w:themeColor="text1"/>
                <w:kern w:val="0"/>
                <w:szCs w:val="21"/>
              </w:rPr>
              <w:t>1.</w:t>
            </w:r>
            <w:r>
              <w:rPr>
                <w:rFonts w:eastAsiaTheme="minorEastAsia"/>
                <w:color w:val="000000" w:themeColor="text1"/>
                <w:kern w:val="0"/>
                <w:szCs w:val="21"/>
              </w:rPr>
              <w:t>具有相当大的规模；</w:t>
            </w:r>
            <w:r>
              <w:rPr>
                <w:rFonts w:eastAsiaTheme="minorEastAsia"/>
                <w:color w:val="000000" w:themeColor="text1"/>
                <w:kern w:val="0"/>
                <w:szCs w:val="21"/>
              </w:rPr>
              <w:t>2.</w:t>
            </w:r>
            <w:r>
              <w:rPr>
                <w:rFonts w:eastAsiaTheme="minorEastAsia"/>
                <w:color w:val="000000" w:themeColor="text1"/>
                <w:kern w:val="0"/>
                <w:szCs w:val="21"/>
              </w:rPr>
              <w:t>较强的盈利能力，收入和利润稳定增长；</w:t>
            </w:r>
            <w:r>
              <w:rPr>
                <w:rFonts w:eastAsiaTheme="minorEastAsia"/>
                <w:color w:val="000000" w:themeColor="text1"/>
                <w:kern w:val="0"/>
                <w:szCs w:val="21"/>
              </w:rPr>
              <w:t>3.</w:t>
            </w:r>
            <w:r>
              <w:rPr>
                <w:rFonts w:eastAsiaTheme="minorEastAsia"/>
                <w:color w:val="000000" w:themeColor="text1"/>
                <w:kern w:val="0"/>
                <w:szCs w:val="21"/>
              </w:rPr>
              <w:t>在行业内具有领先的地位；</w:t>
            </w:r>
            <w:r>
              <w:rPr>
                <w:rFonts w:eastAsiaTheme="minorEastAsia"/>
                <w:color w:val="000000" w:themeColor="text1"/>
                <w:kern w:val="0"/>
                <w:szCs w:val="21"/>
              </w:rPr>
              <w:t>4.</w:t>
            </w:r>
            <w:r>
              <w:rPr>
                <w:rFonts w:eastAsiaTheme="minorEastAsia"/>
                <w:color w:val="000000" w:themeColor="text1"/>
                <w:kern w:val="0"/>
                <w:szCs w:val="21"/>
              </w:rPr>
              <w:t>治理结构良好，管理规范，信息透明；</w:t>
            </w:r>
            <w:r>
              <w:rPr>
                <w:rFonts w:eastAsiaTheme="minorEastAsia"/>
                <w:color w:val="000000" w:themeColor="text1"/>
                <w:kern w:val="0"/>
                <w:szCs w:val="21"/>
              </w:rPr>
              <w:t>5.</w:t>
            </w:r>
            <w:r>
              <w:rPr>
                <w:rFonts w:eastAsiaTheme="minorEastAsia"/>
                <w:color w:val="000000" w:themeColor="text1"/>
                <w:kern w:val="0"/>
                <w:szCs w:val="21"/>
              </w:rPr>
              <w:t>具有一定的估值优势。</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其他投资策略：包括固定收益类投资策略、可转换债券投资策略、权证投资策略、股指期货投资策略、存托凭证投资策略。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E52D96" w:rsidRDefault="00E345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本基金属于股票型基金产品，在开放式基金中，其预期风险和收益水平高于混合型基金、债券型基金和货币市场基金，属于风险水平较高的基金产品。</w:t>
            </w:r>
            <w:r>
              <w:rPr>
                <w:rFonts w:eastAsiaTheme="minorEastAsia"/>
                <w:color w:val="000000" w:themeColor="text1"/>
                <w:kern w:val="0"/>
                <w:szCs w:val="21"/>
              </w:rPr>
              <w:t xml:space="preserve"> </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w:t>
            </w:r>
            <w:r w:rsidRPr="00B27A29">
              <w:rPr>
                <w:rFonts w:eastAsiaTheme="minorEastAsia"/>
                <w:color w:val="000000" w:themeColor="text1"/>
                <w:kern w:val="0"/>
                <w:szCs w:val="21"/>
              </w:rPr>
              <w:lastRenderedPageBreak/>
              <w:t>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摩根大盘蓝筹股票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摩根大盘蓝筹股票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376510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016401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91,810,633.44</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88,428.92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摩根大盘蓝筹股票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摩根大盘蓝筹股票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2,844,746.78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578.47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-7,558,648.58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-4,306.92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-0.0826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-0.0684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219,620,904.74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209,022.63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2.3921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2.3637</w:t>
            </w:r>
          </w:p>
        </w:tc>
      </w:tr>
    </w:tbl>
    <w:p w:rsidR="00E52D96" w:rsidRDefault="00E345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摩根大盘蓝筹股票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E52D96">
        <w:tc>
          <w:tcPr>
            <w:tcW w:w="1290" w:type="dxa"/>
            <w:vAlign w:val="center"/>
          </w:tcPr>
          <w:p w:rsidR="00E52D96" w:rsidRDefault="00E345CC">
            <w:pPr>
              <w:jc w:val="left"/>
            </w:pPr>
            <w:r>
              <w:rPr>
                <w:rFonts w:eastAsiaTheme="minorEastAsia"/>
                <w:color w:val="000000" w:themeColor="text1"/>
                <w:szCs w:val="21"/>
              </w:rPr>
              <w:t>过去三个月</w:t>
            </w:r>
          </w:p>
        </w:tc>
        <w:tc>
          <w:tcPr>
            <w:tcW w:w="1291" w:type="dxa"/>
            <w:vAlign w:val="center"/>
          </w:tcPr>
          <w:p w:rsidR="00E52D96" w:rsidRDefault="00E345CC">
            <w:pPr>
              <w:jc w:val="right"/>
            </w:pPr>
            <w:r>
              <w:rPr>
                <w:rFonts w:eastAsiaTheme="minorEastAsia"/>
                <w:color w:val="000000" w:themeColor="text1"/>
                <w:szCs w:val="21"/>
              </w:rPr>
              <w:t>-3.31%</w:t>
            </w:r>
          </w:p>
        </w:tc>
        <w:tc>
          <w:tcPr>
            <w:tcW w:w="1291" w:type="dxa"/>
            <w:vAlign w:val="center"/>
          </w:tcPr>
          <w:p w:rsidR="00E52D96" w:rsidRDefault="00E345CC">
            <w:pPr>
              <w:jc w:val="right"/>
            </w:pPr>
            <w:r>
              <w:rPr>
                <w:rFonts w:eastAsiaTheme="minorEastAsia"/>
                <w:color w:val="000000" w:themeColor="text1"/>
                <w:szCs w:val="21"/>
              </w:rPr>
              <w:t>1.09%</w:t>
            </w:r>
          </w:p>
        </w:tc>
        <w:tc>
          <w:tcPr>
            <w:tcW w:w="1291" w:type="dxa"/>
            <w:vAlign w:val="center"/>
          </w:tcPr>
          <w:p w:rsidR="00E52D96" w:rsidRDefault="00E345CC">
            <w:pPr>
              <w:jc w:val="right"/>
            </w:pPr>
            <w:r>
              <w:rPr>
                <w:rFonts w:eastAsiaTheme="minorEastAsia"/>
                <w:color w:val="000000" w:themeColor="text1"/>
                <w:szCs w:val="21"/>
              </w:rPr>
              <w:t>-4.16%</w:t>
            </w:r>
          </w:p>
        </w:tc>
        <w:tc>
          <w:tcPr>
            <w:tcW w:w="1291" w:type="dxa"/>
            <w:vAlign w:val="center"/>
          </w:tcPr>
          <w:p w:rsidR="00E52D96" w:rsidRDefault="00E345CC">
            <w:pPr>
              <w:jc w:val="right"/>
            </w:pPr>
            <w:r>
              <w:rPr>
                <w:rFonts w:eastAsiaTheme="minorEastAsia"/>
                <w:color w:val="000000" w:themeColor="text1"/>
                <w:szCs w:val="21"/>
              </w:rPr>
              <w:t>0.70%</w:t>
            </w:r>
          </w:p>
        </w:tc>
        <w:tc>
          <w:tcPr>
            <w:tcW w:w="1291" w:type="dxa"/>
            <w:vAlign w:val="center"/>
          </w:tcPr>
          <w:p w:rsidR="00E52D96" w:rsidRDefault="00E345CC">
            <w:pPr>
              <w:jc w:val="right"/>
            </w:pPr>
            <w:r>
              <w:rPr>
                <w:rFonts w:eastAsiaTheme="minorEastAsia"/>
                <w:color w:val="000000" w:themeColor="text1"/>
                <w:szCs w:val="21"/>
              </w:rPr>
              <w:t>0.85%</w:t>
            </w:r>
          </w:p>
        </w:tc>
        <w:tc>
          <w:tcPr>
            <w:tcW w:w="1291" w:type="dxa"/>
            <w:vAlign w:val="center"/>
          </w:tcPr>
          <w:p w:rsidR="00E52D96" w:rsidRDefault="00E345CC">
            <w:pPr>
              <w:jc w:val="right"/>
            </w:pPr>
            <w:r>
              <w:rPr>
                <w:rFonts w:eastAsiaTheme="minorEastAsia"/>
                <w:color w:val="000000" w:themeColor="text1"/>
                <w:szCs w:val="21"/>
              </w:rPr>
              <w:t>0.39%</w:t>
            </w:r>
          </w:p>
        </w:tc>
      </w:tr>
      <w:tr w:rsidR="00E52D96">
        <w:tc>
          <w:tcPr>
            <w:tcW w:w="1290" w:type="dxa"/>
            <w:vAlign w:val="center"/>
          </w:tcPr>
          <w:p w:rsidR="00E52D96" w:rsidRDefault="00E345CC">
            <w:pPr>
              <w:jc w:val="left"/>
            </w:pPr>
            <w:r>
              <w:rPr>
                <w:rFonts w:eastAsiaTheme="minorEastAsia"/>
                <w:color w:val="000000" w:themeColor="text1"/>
                <w:szCs w:val="21"/>
              </w:rPr>
              <w:t>过去六个月</w:t>
            </w:r>
          </w:p>
        </w:tc>
        <w:tc>
          <w:tcPr>
            <w:tcW w:w="1291" w:type="dxa"/>
            <w:vAlign w:val="center"/>
          </w:tcPr>
          <w:p w:rsidR="00E52D96" w:rsidRDefault="00E345CC">
            <w:pPr>
              <w:jc w:val="right"/>
            </w:pPr>
            <w:r>
              <w:rPr>
                <w:rFonts w:eastAsiaTheme="minorEastAsia"/>
                <w:color w:val="000000" w:themeColor="text1"/>
                <w:szCs w:val="21"/>
              </w:rPr>
              <w:t>0.94%</w:t>
            </w:r>
          </w:p>
        </w:tc>
        <w:tc>
          <w:tcPr>
            <w:tcW w:w="1291" w:type="dxa"/>
            <w:vAlign w:val="center"/>
          </w:tcPr>
          <w:p w:rsidR="00E52D96" w:rsidRDefault="00E345CC">
            <w:pPr>
              <w:jc w:val="right"/>
            </w:pPr>
            <w:r>
              <w:rPr>
                <w:rFonts w:eastAsiaTheme="minorEastAsia"/>
                <w:color w:val="000000" w:themeColor="text1"/>
                <w:szCs w:val="21"/>
              </w:rPr>
              <w:t>1.00%</w:t>
            </w:r>
          </w:p>
        </w:tc>
        <w:tc>
          <w:tcPr>
            <w:tcW w:w="1291" w:type="dxa"/>
            <w:vAlign w:val="center"/>
          </w:tcPr>
          <w:p w:rsidR="00E52D96" w:rsidRDefault="00E345CC">
            <w:pPr>
              <w:jc w:val="right"/>
            </w:pPr>
            <w:r>
              <w:rPr>
                <w:rFonts w:eastAsiaTheme="minorEastAsia"/>
                <w:color w:val="000000" w:themeColor="text1"/>
                <w:szCs w:val="21"/>
              </w:rPr>
              <w:t>-0.32%</w:t>
            </w:r>
          </w:p>
        </w:tc>
        <w:tc>
          <w:tcPr>
            <w:tcW w:w="1291" w:type="dxa"/>
            <w:vAlign w:val="center"/>
          </w:tcPr>
          <w:p w:rsidR="00E52D96" w:rsidRDefault="00E345CC">
            <w:pPr>
              <w:jc w:val="right"/>
            </w:pPr>
            <w:r>
              <w:rPr>
                <w:rFonts w:eastAsiaTheme="minorEastAsia"/>
                <w:color w:val="000000" w:themeColor="text1"/>
                <w:szCs w:val="21"/>
              </w:rPr>
              <w:t>0.72%</w:t>
            </w:r>
          </w:p>
        </w:tc>
        <w:tc>
          <w:tcPr>
            <w:tcW w:w="1291" w:type="dxa"/>
            <w:vAlign w:val="center"/>
          </w:tcPr>
          <w:p w:rsidR="00E52D96" w:rsidRDefault="00E345CC">
            <w:pPr>
              <w:jc w:val="right"/>
            </w:pPr>
            <w:r>
              <w:rPr>
                <w:rFonts w:eastAsiaTheme="minorEastAsia"/>
                <w:color w:val="000000" w:themeColor="text1"/>
                <w:szCs w:val="21"/>
              </w:rPr>
              <w:t>1.26%</w:t>
            </w:r>
          </w:p>
        </w:tc>
        <w:tc>
          <w:tcPr>
            <w:tcW w:w="1291" w:type="dxa"/>
            <w:vAlign w:val="center"/>
          </w:tcPr>
          <w:p w:rsidR="00E52D96" w:rsidRDefault="00E345CC">
            <w:pPr>
              <w:jc w:val="right"/>
            </w:pPr>
            <w:r>
              <w:rPr>
                <w:rFonts w:eastAsiaTheme="minorEastAsia"/>
                <w:color w:val="000000" w:themeColor="text1"/>
                <w:szCs w:val="21"/>
              </w:rPr>
              <w:t>0.28%</w:t>
            </w:r>
          </w:p>
        </w:tc>
      </w:tr>
      <w:tr w:rsidR="00E52D96">
        <w:tc>
          <w:tcPr>
            <w:tcW w:w="1290" w:type="dxa"/>
            <w:vAlign w:val="center"/>
          </w:tcPr>
          <w:p w:rsidR="00E52D96" w:rsidRDefault="00E345CC">
            <w:pPr>
              <w:jc w:val="left"/>
            </w:pPr>
            <w:r>
              <w:rPr>
                <w:rFonts w:eastAsiaTheme="minorEastAsia"/>
                <w:color w:val="000000" w:themeColor="text1"/>
                <w:szCs w:val="21"/>
              </w:rPr>
              <w:t>过去一年</w:t>
            </w:r>
          </w:p>
        </w:tc>
        <w:tc>
          <w:tcPr>
            <w:tcW w:w="1291" w:type="dxa"/>
            <w:vAlign w:val="center"/>
          </w:tcPr>
          <w:p w:rsidR="00E52D96" w:rsidRDefault="00E345CC">
            <w:pPr>
              <w:jc w:val="right"/>
            </w:pPr>
            <w:r>
              <w:rPr>
                <w:rFonts w:eastAsiaTheme="minorEastAsia"/>
                <w:color w:val="000000" w:themeColor="text1"/>
                <w:szCs w:val="21"/>
              </w:rPr>
              <w:t>-17.57%</w:t>
            </w:r>
          </w:p>
        </w:tc>
        <w:tc>
          <w:tcPr>
            <w:tcW w:w="1291" w:type="dxa"/>
            <w:vAlign w:val="center"/>
          </w:tcPr>
          <w:p w:rsidR="00E52D96" w:rsidRDefault="00E345CC">
            <w:pPr>
              <w:jc w:val="right"/>
            </w:pPr>
            <w:r>
              <w:rPr>
                <w:rFonts w:eastAsiaTheme="minorEastAsia"/>
                <w:color w:val="000000" w:themeColor="text1"/>
                <w:szCs w:val="21"/>
              </w:rPr>
              <w:t>1.19%</w:t>
            </w:r>
          </w:p>
        </w:tc>
        <w:tc>
          <w:tcPr>
            <w:tcW w:w="1291" w:type="dxa"/>
            <w:vAlign w:val="center"/>
          </w:tcPr>
          <w:p w:rsidR="00E52D96" w:rsidRDefault="00E345CC">
            <w:pPr>
              <w:jc w:val="right"/>
            </w:pPr>
            <w:r>
              <w:rPr>
                <w:rFonts w:eastAsiaTheme="minorEastAsia"/>
                <w:color w:val="000000" w:themeColor="text1"/>
                <w:szCs w:val="21"/>
              </w:rPr>
              <w:t>-11.62%</w:t>
            </w:r>
          </w:p>
        </w:tc>
        <w:tc>
          <w:tcPr>
            <w:tcW w:w="1291" w:type="dxa"/>
            <w:vAlign w:val="center"/>
          </w:tcPr>
          <w:p w:rsidR="00E52D96" w:rsidRDefault="00E345CC">
            <w:pPr>
              <w:jc w:val="right"/>
            </w:pPr>
            <w:r>
              <w:rPr>
                <w:rFonts w:eastAsiaTheme="minorEastAsia"/>
                <w:color w:val="000000" w:themeColor="text1"/>
                <w:szCs w:val="21"/>
              </w:rPr>
              <w:t>0.84%</w:t>
            </w:r>
          </w:p>
        </w:tc>
        <w:tc>
          <w:tcPr>
            <w:tcW w:w="1291" w:type="dxa"/>
            <w:vAlign w:val="center"/>
          </w:tcPr>
          <w:p w:rsidR="00E52D96" w:rsidRDefault="00E345CC">
            <w:pPr>
              <w:jc w:val="right"/>
            </w:pPr>
            <w:r>
              <w:rPr>
                <w:rFonts w:eastAsiaTheme="minorEastAsia"/>
                <w:color w:val="000000" w:themeColor="text1"/>
                <w:szCs w:val="21"/>
              </w:rPr>
              <w:t>-5.95%</w:t>
            </w:r>
          </w:p>
        </w:tc>
        <w:tc>
          <w:tcPr>
            <w:tcW w:w="1291" w:type="dxa"/>
            <w:vAlign w:val="center"/>
          </w:tcPr>
          <w:p w:rsidR="00E52D96" w:rsidRDefault="00E345CC">
            <w:pPr>
              <w:jc w:val="right"/>
            </w:pPr>
            <w:r>
              <w:rPr>
                <w:rFonts w:eastAsiaTheme="minorEastAsia"/>
                <w:color w:val="000000" w:themeColor="text1"/>
                <w:szCs w:val="21"/>
              </w:rPr>
              <w:t>0.35%</w:t>
            </w:r>
          </w:p>
        </w:tc>
      </w:tr>
      <w:tr w:rsidR="00E52D96">
        <w:tc>
          <w:tcPr>
            <w:tcW w:w="1290" w:type="dxa"/>
            <w:vAlign w:val="center"/>
          </w:tcPr>
          <w:p w:rsidR="00E52D96" w:rsidRDefault="00E345CC">
            <w:pPr>
              <w:jc w:val="left"/>
            </w:pPr>
            <w:r>
              <w:rPr>
                <w:rFonts w:eastAsiaTheme="minorEastAsia"/>
                <w:color w:val="000000" w:themeColor="text1"/>
                <w:szCs w:val="21"/>
              </w:rPr>
              <w:t>过去三年</w:t>
            </w:r>
          </w:p>
        </w:tc>
        <w:tc>
          <w:tcPr>
            <w:tcW w:w="1291" w:type="dxa"/>
            <w:vAlign w:val="center"/>
          </w:tcPr>
          <w:p w:rsidR="00E52D96" w:rsidRDefault="00E345CC">
            <w:pPr>
              <w:jc w:val="right"/>
            </w:pPr>
            <w:r>
              <w:rPr>
                <w:rFonts w:eastAsiaTheme="minorEastAsia"/>
                <w:color w:val="000000" w:themeColor="text1"/>
                <w:szCs w:val="21"/>
              </w:rPr>
              <w:t>6.98%</w:t>
            </w:r>
          </w:p>
        </w:tc>
        <w:tc>
          <w:tcPr>
            <w:tcW w:w="1291" w:type="dxa"/>
            <w:vAlign w:val="center"/>
          </w:tcPr>
          <w:p w:rsidR="00E52D96" w:rsidRDefault="00E345CC">
            <w:pPr>
              <w:jc w:val="right"/>
            </w:pPr>
            <w:r>
              <w:rPr>
                <w:rFonts w:eastAsiaTheme="minorEastAsia"/>
                <w:color w:val="000000" w:themeColor="text1"/>
                <w:szCs w:val="21"/>
              </w:rPr>
              <w:t>1.33%</w:t>
            </w:r>
          </w:p>
        </w:tc>
        <w:tc>
          <w:tcPr>
            <w:tcW w:w="1291" w:type="dxa"/>
            <w:vAlign w:val="center"/>
          </w:tcPr>
          <w:p w:rsidR="00E52D96" w:rsidRDefault="00E345CC">
            <w:pPr>
              <w:jc w:val="right"/>
            </w:pPr>
            <w:r>
              <w:rPr>
                <w:rFonts w:eastAsiaTheme="minorEastAsia"/>
                <w:color w:val="000000" w:themeColor="text1"/>
                <w:szCs w:val="21"/>
              </w:rPr>
              <w:t>-4.89%</w:t>
            </w:r>
          </w:p>
        </w:tc>
        <w:tc>
          <w:tcPr>
            <w:tcW w:w="1291" w:type="dxa"/>
            <w:vAlign w:val="center"/>
          </w:tcPr>
          <w:p w:rsidR="00E52D96" w:rsidRDefault="00E345CC">
            <w:pPr>
              <w:jc w:val="right"/>
            </w:pPr>
            <w:r>
              <w:rPr>
                <w:rFonts w:eastAsiaTheme="minorEastAsia"/>
                <w:color w:val="000000" w:themeColor="text1"/>
                <w:szCs w:val="21"/>
              </w:rPr>
              <w:t>1.02%</w:t>
            </w:r>
          </w:p>
        </w:tc>
        <w:tc>
          <w:tcPr>
            <w:tcW w:w="1291" w:type="dxa"/>
            <w:vAlign w:val="center"/>
          </w:tcPr>
          <w:p w:rsidR="00E52D96" w:rsidRDefault="00E345CC">
            <w:pPr>
              <w:jc w:val="right"/>
            </w:pPr>
            <w:r>
              <w:rPr>
                <w:rFonts w:eastAsiaTheme="minorEastAsia"/>
                <w:color w:val="000000" w:themeColor="text1"/>
                <w:szCs w:val="21"/>
              </w:rPr>
              <w:t>11.87%</w:t>
            </w:r>
          </w:p>
        </w:tc>
        <w:tc>
          <w:tcPr>
            <w:tcW w:w="1291" w:type="dxa"/>
            <w:vAlign w:val="center"/>
          </w:tcPr>
          <w:p w:rsidR="00E52D96" w:rsidRDefault="00E345CC">
            <w:pPr>
              <w:jc w:val="right"/>
            </w:pPr>
            <w:r>
              <w:rPr>
                <w:rFonts w:eastAsiaTheme="minorEastAsia"/>
                <w:color w:val="000000" w:themeColor="text1"/>
                <w:szCs w:val="21"/>
              </w:rPr>
              <w:t>0.31%</w:t>
            </w:r>
          </w:p>
        </w:tc>
      </w:tr>
      <w:tr w:rsidR="00E52D96">
        <w:tc>
          <w:tcPr>
            <w:tcW w:w="1290" w:type="dxa"/>
            <w:vAlign w:val="center"/>
          </w:tcPr>
          <w:p w:rsidR="00E52D96" w:rsidRDefault="00E345CC">
            <w:pPr>
              <w:jc w:val="left"/>
            </w:pPr>
            <w:r>
              <w:rPr>
                <w:rFonts w:eastAsiaTheme="minorEastAsia"/>
                <w:color w:val="000000" w:themeColor="text1"/>
                <w:szCs w:val="21"/>
              </w:rPr>
              <w:t>过去五年</w:t>
            </w:r>
          </w:p>
        </w:tc>
        <w:tc>
          <w:tcPr>
            <w:tcW w:w="1291" w:type="dxa"/>
            <w:vAlign w:val="center"/>
          </w:tcPr>
          <w:p w:rsidR="00E52D96" w:rsidRDefault="00E345CC">
            <w:pPr>
              <w:jc w:val="right"/>
            </w:pPr>
            <w:r>
              <w:rPr>
                <w:rFonts w:eastAsiaTheme="minorEastAsia"/>
                <w:color w:val="000000" w:themeColor="text1"/>
                <w:szCs w:val="21"/>
              </w:rPr>
              <w:t>47.84%</w:t>
            </w:r>
          </w:p>
        </w:tc>
        <w:tc>
          <w:tcPr>
            <w:tcW w:w="1291" w:type="dxa"/>
            <w:vAlign w:val="center"/>
          </w:tcPr>
          <w:p w:rsidR="00E52D96" w:rsidRDefault="00E345CC">
            <w:pPr>
              <w:jc w:val="right"/>
            </w:pPr>
            <w:r>
              <w:rPr>
                <w:rFonts w:eastAsiaTheme="minorEastAsia"/>
                <w:color w:val="000000" w:themeColor="text1"/>
                <w:szCs w:val="21"/>
              </w:rPr>
              <w:t>1.36%</w:t>
            </w:r>
          </w:p>
        </w:tc>
        <w:tc>
          <w:tcPr>
            <w:tcW w:w="1291" w:type="dxa"/>
            <w:vAlign w:val="center"/>
          </w:tcPr>
          <w:p w:rsidR="00E52D96" w:rsidRDefault="00E345CC">
            <w:pPr>
              <w:jc w:val="right"/>
            </w:pPr>
            <w:r>
              <w:rPr>
                <w:rFonts w:eastAsiaTheme="minorEastAsia"/>
                <w:color w:val="000000" w:themeColor="text1"/>
                <w:szCs w:val="21"/>
              </w:rPr>
              <w:t>11.41%</w:t>
            </w:r>
          </w:p>
        </w:tc>
        <w:tc>
          <w:tcPr>
            <w:tcW w:w="1291" w:type="dxa"/>
            <w:vAlign w:val="center"/>
          </w:tcPr>
          <w:p w:rsidR="00E52D96" w:rsidRDefault="00E345CC">
            <w:pPr>
              <w:jc w:val="right"/>
            </w:pPr>
            <w:r>
              <w:rPr>
                <w:rFonts w:eastAsiaTheme="minorEastAsia"/>
                <w:color w:val="000000" w:themeColor="text1"/>
                <w:szCs w:val="21"/>
              </w:rPr>
              <w:t>1.08%</w:t>
            </w:r>
          </w:p>
        </w:tc>
        <w:tc>
          <w:tcPr>
            <w:tcW w:w="1291" w:type="dxa"/>
            <w:vAlign w:val="center"/>
          </w:tcPr>
          <w:p w:rsidR="00E52D96" w:rsidRDefault="00E345CC">
            <w:pPr>
              <w:jc w:val="right"/>
            </w:pPr>
            <w:r>
              <w:rPr>
                <w:rFonts w:eastAsiaTheme="minorEastAsia"/>
                <w:color w:val="000000" w:themeColor="text1"/>
                <w:szCs w:val="21"/>
              </w:rPr>
              <w:t>36.43%</w:t>
            </w:r>
          </w:p>
        </w:tc>
        <w:tc>
          <w:tcPr>
            <w:tcW w:w="1291" w:type="dxa"/>
            <w:vAlign w:val="center"/>
          </w:tcPr>
          <w:p w:rsidR="00E52D96" w:rsidRDefault="00E345CC">
            <w:pPr>
              <w:jc w:val="right"/>
            </w:pPr>
            <w:r>
              <w:rPr>
                <w:rFonts w:eastAsiaTheme="minorEastAsia"/>
                <w:color w:val="000000" w:themeColor="text1"/>
                <w:szCs w:val="21"/>
              </w:rPr>
              <w:t>0.28%</w:t>
            </w:r>
          </w:p>
        </w:tc>
      </w:tr>
      <w:tr w:rsidR="00E52D96">
        <w:tc>
          <w:tcPr>
            <w:tcW w:w="1290" w:type="dxa"/>
            <w:vAlign w:val="center"/>
          </w:tcPr>
          <w:p w:rsidR="00E52D96" w:rsidRDefault="00E345CC">
            <w:pPr>
              <w:jc w:val="left"/>
            </w:pPr>
            <w:r>
              <w:rPr>
                <w:rFonts w:eastAsiaTheme="minorEastAsia"/>
                <w:color w:val="000000" w:themeColor="text1"/>
                <w:szCs w:val="21"/>
              </w:rPr>
              <w:t>自基金合同生效起至今</w:t>
            </w:r>
          </w:p>
        </w:tc>
        <w:tc>
          <w:tcPr>
            <w:tcW w:w="1291" w:type="dxa"/>
            <w:vAlign w:val="center"/>
          </w:tcPr>
          <w:p w:rsidR="00E52D96" w:rsidRDefault="00E345CC">
            <w:pPr>
              <w:jc w:val="right"/>
            </w:pPr>
            <w:r>
              <w:rPr>
                <w:rFonts w:eastAsiaTheme="minorEastAsia"/>
                <w:color w:val="000000" w:themeColor="text1"/>
                <w:szCs w:val="21"/>
              </w:rPr>
              <w:t>139.21%</w:t>
            </w:r>
          </w:p>
        </w:tc>
        <w:tc>
          <w:tcPr>
            <w:tcW w:w="1291" w:type="dxa"/>
            <w:vAlign w:val="center"/>
          </w:tcPr>
          <w:p w:rsidR="00E52D96" w:rsidRDefault="00E345CC">
            <w:pPr>
              <w:jc w:val="right"/>
            </w:pPr>
            <w:r>
              <w:rPr>
                <w:rFonts w:eastAsiaTheme="minorEastAsia"/>
                <w:color w:val="000000" w:themeColor="text1"/>
                <w:szCs w:val="21"/>
              </w:rPr>
              <w:t>1.45%</w:t>
            </w:r>
          </w:p>
        </w:tc>
        <w:tc>
          <w:tcPr>
            <w:tcW w:w="1291" w:type="dxa"/>
            <w:vAlign w:val="center"/>
          </w:tcPr>
          <w:p w:rsidR="00E52D96" w:rsidRDefault="00E345CC">
            <w:pPr>
              <w:jc w:val="right"/>
            </w:pPr>
            <w:r>
              <w:rPr>
                <w:rFonts w:eastAsiaTheme="minorEastAsia"/>
                <w:color w:val="000000" w:themeColor="text1"/>
                <w:szCs w:val="21"/>
              </w:rPr>
              <w:t>25.33%</w:t>
            </w:r>
          </w:p>
        </w:tc>
        <w:tc>
          <w:tcPr>
            <w:tcW w:w="1291" w:type="dxa"/>
            <w:vAlign w:val="center"/>
          </w:tcPr>
          <w:p w:rsidR="00E52D96" w:rsidRDefault="00E345CC">
            <w:pPr>
              <w:jc w:val="right"/>
            </w:pPr>
            <w:r>
              <w:rPr>
                <w:rFonts w:eastAsiaTheme="minorEastAsia"/>
                <w:color w:val="000000" w:themeColor="text1"/>
                <w:szCs w:val="21"/>
              </w:rPr>
              <w:t>1.18%</w:t>
            </w:r>
          </w:p>
        </w:tc>
        <w:tc>
          <w:tcPr>
            <w:tcW w:w="1291" w:type="dxa"/>
            <w:vAlign w:val="center"/>
          </w:tcPr>
          <w:p w:rsidR="00E52D96" w:rsidRDefault="00E345CC">
            <w:pPr>
              <w:jc w:val="right"/>
            </w:pPr>
            <w:r>
              <w:rPr>
                <w:rFonts w:eastAsiaTheme="minorEastAsia"/>
                <w:color w:val="000000" w:themeColor="text1"/>
                <w:szCs w:val="21"/>
              </w:rPr>
              <w:t>113.88%</w:t>
            </w:r>
          </w:p>
        </w:tc>
        <w:tc>
          <w:tcPr>
            <w:tcW w:w="1291" w:type="dxa"/>
            <w:vAlign w:val="center"/>
          </w:tcPr>
          <w:p w:rsidR="00E52D96" w:rsidRDefault="00E345CC">
            <w:pPr>
              <w:jc w:val="right"/>
            </w:pPr>
            <w:r>
              <w:rPr>
                <w:rFonts w:eastAsiaTheme="minorEastAsia"/>
                <w:color w:val="000000" w:themeColor="text1"/>
                <w:szCs w:val="21"/>
              </w:rPr>
              <w:t>0.27%</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摩根大盘蓝筹股票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E52D96">
        <w:tc>
          <w:tcPr>
            <w:tcW w:w="1290" w:type="dxa"/>
            <w:vAlign w:val="center"/>
          </w:tcPr>
          <w:p w:rsidR="00E52D96" w:rsidRDefault="00E345CC">
            <w:pPr>
              <w:jc w:val="left"/>
            </w:pPr>
            <w:r>
              <w:rPr>
                <w:rFonts w:eastAsiaTheme="minorEastAsia"/>
                <w:color w:val="000000" w:themeColor="text1"/>
                <w:szCs w:val="21"/>
              </w:rPr>
              <w:t>过去三个月</w:t>
            </w:r>
          </w:p>
        </w:tc>
        <w:tc>
          <w:tcPr>
            <w:tcW w:w="1291" w:type="dxa"/>
            <w:vAlign w:val="center"/>
          </w:tcPr>
          <w:p w:rsidR="00E52D96" w:rsidRDefault="00E345CC">
            <w:pPr>
              <w:jc w:val="right"/>
            </w:pPr>
            <w:r>
              <w:rPr>
                <w:rFonts w:eastAsiaTheme="minorEastAsia"/>
                <w:color w:val="000000" w:themeColor="text1"/>
                <w:szCs w:val="21"/>
              </w:rPr>
              <w:t>-3.46%</w:t>
            </w:r>
          </w:p>
        </w:tc>
        <w:tc>
          <w:tcPr>
            <w:tcW w:w="1291" w:type="dxa"/>
            <w:vAlign w:val="center"/>
          </w:tcPr>
          <w:p w:rsidR="00E52D96" w:rsidRDefault="00E345CC">
            <w:pPr>
              <w:jc w:val="right"/>
            </w:pPr>
            <w:r>
              <w:rPr>
                <w:rFonts w:eastAsiaTheme="minorEastAsia"/>
                <w:color w:val="000000" w:themeColor="text1"/>
                <w:szCs w:val="21"/>
              </w:rPr>
              <w:t>1.09%</w:t>
            </w:r>
          </w:p>
        </w:tc>
        <w:tc>
          <w:tcPr>
            <w:tcW w:w="1291" w:type="dxa"/>
            <w:vAlign w:val="center"/>
          </w:tcPr>
          <w:p w:rsidR="00E52D96" w:rsidRDefault="00E345CC">
            <w:pPr>
              <w:jc w:val="right"/>
            </w:pPr>
            <w:r>
              <w:rPr>
                <w:rFonts w:eastAsiaTheme="minorEastAsia"/>
                <w:color w:val="000000" w:themeColor="text1"/>
                <w:szCs w:val="21"/>
              </w:rPr>
              <w:t>-4.16%</w:t>
            </w:r>
          </w:p>
        </w:tc>
        <w:tc>
          <w:tcPr>
            <w:tcW w:w="1291" w:type="dxa"/>
            <w:vAlign w:val="center"/>
          </w:tcPr>
          <w:p w:rsidR="00E52D96" w:rsidRDefault="00E345CC">
            <w:pPr>
              <w:jc w:val="right"/>
            </w:pPr>
            <w:r>
              <w:rPr>
                <w:rFonts w:eastAsiaTheme="minorEastAsia"/>
                <w:color w:val="000000" w:themeColor="text1"/>
                <w:szCs w:val="21"/>
              </w:rPr>
              <w:t>0.70%</w:t>
            </w:r>
          </w:p>
        </w:tc>
        <w:tc>
          <w:tcPr>
            <w:tcW w:w="1291" w:type="dxa"/>
            <w:vAlign w:val="center"/>
          </w:tcPr>
          <w:p w:rsidR="00E52D96" w:rsidRDefault="00E345CC">
            <w:pPr>
              <w:jc w:val="right"/>
            </w:pPr>
            <w:r>
              <w:rPr>
                <w:rFonts w:eastAsiaTheme="minorEastAsia"/>
                <w:color w:val="000000" w:themeColor="text1"/>
                <w:szCs w:val="21"/>
              </w:rPr>
              <w:t>0.70%</w:t>
            </w:r>
          </w:p>
        </w:tc>
        <w:tc>
          <w:tcPr>
            <w:tcW w:w="1291" w:type="dxa"/>
            <w:vAlign w:val="center"/>
          </w:tcPr>
          <w:p w:rsidR="00E52D96" w:rsidRDefault="00E345CC">
            <w:pPr>
              <w:jc w:val="right"/>
            </w:pPr>
            <w:r>
              <w:rPr>
                <w:rFonts w:eastAsiaTheme="minorEastAsia"/>
                <w:color w:val="000000" w:themeColor="text1"/>
                <w:szCs w:val="21"/>
              </w:rPr>
              <w:t>0.39%</w:t>
            </w:r>
          </w:p>
        </w:tc>
      </w:tr>
      <w:tr w:rsidR="00E52D96">
        <w:tc>
          <w:tcPr>
            <w:tcW w:w="1290" w:type="dxa"/>
            <w:vAlign w:val="center"/>
          </w:tcPr>
          <w:p w:rsidR="00E52D96" w:rsidRDefault="00E345CC">
            <w:pPr>
              <w:jc w:val="left"/>
            </w:pPr>
            <w:r>
              <w:rPr>
                <w:rFonts w:eastAsiaTheme="minorEastAsia"/>
                <w:color w:val="000000" w:themeColor="text1"/>
                <w:szCs w:val="21"/>
              </w:rPr>
              <w:t>过去六个月</w:t>
            </w:r>
          </w:p>
        </w:tc>
        <w:tc>
          <w:tcPr>
            <w:tcW w:w="1291" w:type="dxa"/>
            <w:vAlign w:val="center"/>
          </w:tcPr>
          <w:p w:rsidR="00E52D96" w:rsidRDefault="00E345CC">
            <w:pPr>
              <w:jc w:val="right"/>
            </w:pPr>
            <w:r>
              <w:rPr>
                <w:rFonts w:eastAsiaTheme="minorEastAsia"/>
                <w:color w:val="000000" w:themeColor="text1"/>
                <w:szCs w:val="21"/>
              </w:rPr>
              <w:t>-0.07%</w:t>
            </w:r>
          </w:p>
        </w:tc>
        <w:tc>
          <w:tcPr>
            <w:tcW w:w="1291" w:type="dxa"/>
            <w:vAlign w:val="center"/>
          </w:tcPr>
          <w:p w:rsidR="00E52D96" w:rsidRDefault="00E345CC">
            <w:pPr>
              <w:jc w:val="right"/>
            </w:pPr>
            <w:r>
              <w:rPr>
                <w:rFonts w:eastAsiaTheme="minorEastAsia"/>
                <w:color w:val="000000" w:themeColor="text1"/>
                <w:szCs w:val="21"/>
              </w:rPr>
              <w:t>0.99%</w:t>
            </w:r>
          </w:p>
        </w:tc>
        <w:tc>
          <w:tcPr>
            <w:tcW w:w="1291" w:type="dxa"/>
            <w:vAlign w:val="center"/>
          </w:tcPr>
          <w:p w:rsidR="00E52D96" w:rsidRDefault="00E345CC">
            <w:pPr>
              <w:jc w:val="right"/>
            </w:pPr>
            <w:r>
              <w:rPr>
                <w:rFonts w:eastAsiaTheme="minorEastAsia"/>
                <w:color w:val="000000" w:themeColor="text1"/>
                <w:szCs w:val="21"/>
              </w:rPr>
              <w:t>-0.32%</w:t>
            </w:r>
          </w:p>
        </w:tc>
        <w:tc>
          <w:tcPr>
            <w:tcW w:w="1291" w:type="dxa"/>
            <w:vAlign w:val="center"/>
          </w:tcPr>
          <w:p w:rsidR="00E52D96" w:rsidRDefault="00E345CC">
            <w:pPr>
              <w:jc w:val="right"/>
            </w:pPr>
            <w:r>
              <w:rPr>
                <w:rFonts w:eastAsiaTheme="minorEastAsia"/>
                <w:color w:val="000000" w:themeColor="text1"/>
                <w:szCs w:val="21"/>
              </w:rPr>
              <w:t>0.72%</w:t>
            </w:r>
          </w:p>
        </w:tc>
        <w:tc>
          <w:tcPr>
            <w:tcW w:w="1291" w:type="dxa"/>
            <w:vAlign w:val="center"/>
          </w:tcPr>
          <w:p w:rsidR="00E52D96" w:rsidRDefault="00E345CC">
            <w:pPr>
              <w:jc w:val="right"/>
            </w:pPr>
            <w:r>
              <w:rPr>
                <w:rFonts w:eastAsiaTheme="minorEastAsia"/>
                <w:color w:val="000000" w:themeColor="text1"/>
                <w:szCs w:val="21"/>
              </w:rPr>
              <w:t>0.25%</w:t>
            </w:r>
          </w:p>
        </w:tc>
        <w:tc>
          <w:tcPr>
            <w:tcW w:w="1291" w:type="dxa"/>
            <w:vAlign w:val="center"/>
          </w:tcPr>
          <w:p w:rsidR="00E52D96" w:rsidRDefault="00E345CC">
            <w:pPr>
              <w:jc w:val="right"/>
            </w:pPr>
            <w:r>
              <w:rPr>
                <w:rFonts w:eastAsiaTheme="minorEastAsia"/>
                <w:color w:val="000000" w:themeColor="text1"/>
                <w:szCs w:val="21"/>
              </w:rPr>
              <w:t>0.27%</w:t>
            </w:r>
          </w:p>
        </w:tc>
      </w:tr>
      <w:tr w:rsidR="00E52D96">
        <w:tc>
          <w:tcPr>
            <w:tcW w:w="1290" w:type="dxa"/>
            <w:vAlign w:val="center"/>
          </w:tcPr>
          <w:p w:rsidR="00E52D96" w:rsidRDefault="00E345CC">
            <w:pPr>
              <w:jc w:val="left"/>
            </w:pPr>
            <w:r>
              <w:rPr>
                <w:rFonts w:eastAsiaTheme="minorEastAsia"/>
                <w:color w:val="000000" w:themeColor="text1"/>
                <w:szCs w:val="21"/>
              </w:rPr>
              <w:t>过去一年</w:t>
            </w:r>
          </w:p>
        </w:tc>
        <w:tc>
          <w:tcPr>
            <w:tcW w:w="1291" w:type="dxa"/>
            <w:vAlign w:val="center"/>
          </w:tcPr>
          <w:p w:rsidR="00E52D96" w:rsidRDefault="00E345CC">
            <w:pPr>
              <w:jc w:val="right"/>
            </w:pPr>
            <w:r>
              <w:rPr>
                <w:rFonts w:eastAsiaTheme="minorEastAsia"/>
                <w:color w:val="000000" w:themeColor="text1"/>
                <w:szCs w:val="21"/>
              </w:rPr>
              <w:t>-</w:t>
            </w:r>
          </w:p>
        </w:tc>
        <w:tc>
          <w:tcPr>
            <w:tcW w:w="1291" w:type="dxa"/>
            <w:vAlign w:val="center"/>
          </w:tcPr>
          <w:p w:rsidR="00E52D96" w:rsidRDefault="00E345CC">
            <w:pPr>
              <w:jc w:val="right"/>
            </w:pPr>
            <w:r>
              <w:rPr>
                <w:rFonts w:eastAsiaTheme="minorEastAsia"/>
                <w:color w:val="000000" w:themeColor="text1"/>
                <w:szCs w:val="21"/>
              </w:rPr>
              <w:t>-</w:t>
            </w:r>
          </w:p>
        </w:tc>
        <w:tc>
          <w:tcPr>
            <w:tcW w:w="1291" w:type="dxa"/>
            <w:vAlign w:val="center"/>
          </w:tcPr>
          <w:p w:rsidR="00E52D96" w:rsidRDefault="00E345CC">
            <w:pPr>
              <w:jc w:val="right"/>
            </w:pPr>
            <w:r>
              <w:rPr>
                <w:rFonts w:eastAsiaTheme="minorEastAsia"/>
                <w:color w:val="000000" w:themeColor="text1"/>
                <w:szCs w:val="21"/>
              </w:rPr>
              <w:t>-</w:t>
            </w:r>
          </w:p>
        </w:tc>
        <w:tc>
          <w:tcPr>
            <w:tcW w:w="1291" w:type="dxa"/>
            <w:vAlign w:val="center"/>
          </w:tcPr>
          <w:p w:rsidR="00E52D96" w:rsidRDefault="00E345CC">
            <w:pPr>
              <w:jc w:val="right"/>
            </w:pPr>
            <w:r>
              <w:rPr>
                <w:rFonts w:eastAsiaTheme="minorEastAsia"/>
                <w:color w:val="000000" w:themeColor="text1"/>
                <w:szCs w:val="21"/>
              </w:rPr>
              <w:t>-</w:t>
            </w:r>
          </w:p>
        </w:tc>
        <w:tc>
          <w:tcPr>
            <w:tcW w:w="1291" w:type="dxa"/>
            <w:vAlign w:val="center"/>
          </w:tcPr>
          <w:p w:rsidR="00E52D96" w:rsidRDefault="00E345CC">
            <w:pPr>
              <w:jc w:val="right"/>
            </w:pPr>
            <w:r>
              <w:rPr>
                <w:rFonts w:eastAsiaTheme="minorEastAsia"/>
                <w:color w:val="000000" w:themeColor="text1"/>
                <w:szCs w:val="21"/>
              </w:rPr>
              <w:t>-</w:t>
            </w:r>
          </w:p>
        </w:tc>
        <w:tc>
          <w:tcPr>
            <w:tcW w:w="1291" w:type="dxa"/>
            <w:vAlign w:val="center"/>
          </w:tcPr>
          <w:p w:rsidR="00E52D96" w:rsidRDefault="00E345CC">
            <w:pPr>
              <w:jc w:val="right"/>
            </w:pPr>
            <w:r>
              <w:rPr>
                <w:rFonts w:eastAsiaTheme="minorEastAsia"/>
                <w:color w:val="000000" w:themeColor="text1"/>
                <w:szCs w:val="21"/>
              </w:rPr>
              <w:t>-</w:t>
            </w:r>
          </w:p>
        </w:tc>
      </w:tr>
      <w:tr w:rsidR="00E52D96">
        <w:tc>
          <w:tcPr>
            <w:tcW w:w="1290" w:type="dxa"/>
            <w:vAlign w:val="center"/>
          </w:tcPr>
          <w:p w:rsidR="00E52D96" w:rsidRDefault="00E345CC">
            <w:pPr>
              <w:jc w:val="left"/>
            </w:pPr>
            <w:r>
              <w:rPr>
                <w:rFonts w:eastAsiaTheme="minorEastAsia"/>
                <w:color w:val="000000" w:themeColor="text1"/>
                <w:szCs w:val="21"/>
              </w:rPr>
              <w:t>过去三年</w:t>
            </w:r>
          </w:p>
        </w:tc>
        <w:tc>
          <w:tcPr>
            <w:tcW w:w="1291" w:type="dxa"/>
            <w:vAlign w:val="center"/>
          </w:tcPr>
          <w:p w:rsidR="00E52D96" w:rsidRDefault="00E345CC">
            <w:pPr>
              <w:jc w:val="right"/>
            </w:pPr>
            <w:r>
              <w:rPr>
                <w:rFonts w:eastAsiaTheme="minorEastAsia"/>
                <w:color w:val="000000" w:themeColor="text1"/>
                <w:szCs w:val="21"/>
              </w:rPr>
              <w:t>-</w:t>
            </w:r>
          </w:p>
        </w:tc>
        <w:tc>
          <w:tcPr>
            <w:tcW w:w="1291" w:type="dxa"/>
            <w:vAlign w:val="center"/>
          </w:tcPr>
          <w:p w:rsidR="00E52D96" w:rsidRDefault="00E345CC">
            <w:pPr>
              <w:jc w:val="right"/>
            </w:pPr>
            <w:r>
              <w:rPr>
                <w:rFonts w:eastAsiaTheme="minorEastAsia"/>
                <w:color w:val="000000" w:themeColor="text1"/>
                <w:szCs w:val="21"/>
              </w:rPr>
              <w:t>-</w:t>
            </w:r>
          </w:p>
        </w:tc>
        <w:tc>
          <w:tcPr>
            <w:tcW w:w="1291" w:type="dxa"/>
            <w:vAlign w:val="center"/>
          </w:tcPr>
          <w:p w:rsidR="00E52D96" w:rsidRDefault="00E345CC">
            <w:pPr>
              <w:jc w:val="right"/>
            </w:pPr>
            <w:r>
              <w:rPr>
                <w:rFonts w:eastAsiaTheme="minorEastAsia"/>
                <w:color w:val="000000" w:themeColor="text1"/>
                <w:szCs w:val="21"/>
              </w:rPr>
              <w:t>-</w:t>
            </w:r>
          </w:p>
        </w:tc>
        <w:tc>
          <w:tcPr>
            <w:tcW w:w="1291" w:type="dxa"/>
            <w:vAlign w:val="center"/>
          </w:tcPr>
          <w:p w:rsidR="00E52D96" w:rsidRDefault="00E345CC">
            <w:pPr>
              <w:jc w:val="right"/>
            </w:pPr>
            <w:r>
              <w:rPr>
                <w:rFonts w:eastAsiaTheme="minorEastAsia"/>
                <w:color w:val="000000" w:themeColor="text1"/>
                <w:szCs w:val="21"/>
              </w:rPr>
              <w:t>-</w:t>
            </w:r>
          </w:p>
        </w:tc>
        <w:tc>
          <w:tcPr>
            <w:tcW w:w="1291" w:type="dxa"/>
            <w:vAlign w:val="center"/>
          </w:tcPr>
          <w:p w:rsidR="00E52D96" w:rsidRDefault="00E345CC">
            <w:pPr>
              <w:jc w:val="right"/>
            </w:pPr>
            <w:r>
              <w:rPr>
                <w:rFonts w:eastAsiaTheme="minorEastAsia"/>
                <w:color w:val="000000" w:themeColor="text1"/>
                <w:szCs w:val="21"/>
              </w:rPr>
              <w:t>-</w:t>
            </w:r>
          </w:p>
        </w:tc>
        <w:tc>
          <w:tcPr>
            <w:tcW w:w="1291" w:type="dxa"/>
            <w:vAlign w:val="center"/>
          </w:tcPr>
          <w:p w:rsidR="00E52D96" w:rsidRDefault="00E345CC">
            <w:pPr>
              <w:jc w:val="right"/>
            </w:pPr>
            <w:r>
              <w:rPr>
                <w:rFonts w:eastAsiaTheme="minorEastAsia"/>
                <w:color w:val="000000" w:themeColor="text1"/>
                <w:szCs w:val="21"/>
              </w:rPr>
              <w:t>-</w:t>
            </w:r>
          </w:p>
        </w:tc>
      </w:tr>
      <w:tr w:rsidR="00E52D96">
        <w:tc>
          <w:tcPr>
            <w:tcW w:w="1290" w:type="dxa"/>
            <w:vAlign w:val="center"/>
          </w:tcPr>
          <w:p w:rsidR="00E52D96" w:rsidRDefault="00E345CC">
            <w:pPr>
              <w:jc w:val="left"/>
            </w:pPr>
            <w:r>
              <w:rPr>
                <w:rFonts w:eastAsiaTheme="minorEastAsia"/>
                <w:color w:val="000000" w:themeColor="text1"/>
                <w:szCs w:val="21"/>
              </w:rPr>
              <w:t>过去五年</w:t>
            </w:r>
          </w:p>
        </w:tc>
        <w:tc>
          <w:tcPr>
            <w:tcW w:w="1291" w:type="dxa"/>
            <w:vAlign w:val="center"/>
          </w:tcPr>
          <w:p w:rsidR="00E52D96" w:rsidRDefault="00E345CC">
            <w:pPr>
              <w:jc w:val="right"/>
            </w:pPr>
            <w:r>
              <w:rPr>
                <w:rFonts w:eastAsiaTheme="minorEastAsia"/>
                <w:color w:val="000000" w:themeColor="text1"/>
                <w:szCs w:val="21"/>
              </w:rPr>
              <w:t>-</w:t>
            </w:r>
          </w:p>
        </w:tc>
        <w:tc>
          <w:tcPr>
            <w:tcW w:w="1291" w:type="dxa"/>
            <w:vAlign w:val="center"/>
          </w:tcPr>
          <w:p w:rsidR="00E52D96" w:rsidRDefault="00E345CC">
            <w:pPr>
              <w:jc w:val="right"/>
            </w:pPr>
            <w:r>
              <w:rPr>
                <w:rFonts w:eastAsiaTheme="minorEastAsia"/>
                <w:color w:val="000000" w:themeColor="text1"/>
                <w:szCs w:val="21"/>
              </w:rPr>
              <w:t>-</w:t>
            </w:r>
          </w:p>
        </w:tc>
        <w:tc>
          <w:tcPr>
            <w:tcW w:w="1291" w:type="dxa"/>
            <w:vAlign w:val="center"/>
          </w:tcPr>
          <w:p w:rsidR="00E52D96" w:rsidRDefault="00E345CC">
            <w:pPr>
              <w:jc w:val="right"/>
            </w:pPr>
            <w:r>
              <w:rPr>
                <w:rFonts w:eastAsiaTheme="minorEastAsia"/>
                <w:color w:val="000000" w:themeColor="text1"/>
                <w:szCs w:val="21"/>
              </w:rPr>
              <w:t>-</w:t>
            </w:r>
          </w:p>
        </w:tc>
        <w:tc>
          <w:tcPr>
            <w:tcW w:w="1291" w:type="dxa"/>
            <w:vAlign w:val="center"/>
          </w:tcPr>
          <w:p w:rsidR="00E52D96" w:rsidRDefault="00E345CC">
            <w:pPr>
              <w:jc w:val="right"/>
            </w:pPr>
            <w:r>
              <w:rPr>
                <w:rFonts w:eastAsiaTheme="minorEastAsia"/>
                <w:color w:val="000000" w:themeColor="text1"/>
                <w:szCs w:val="21"/>
              </w:rPr>
              <w:t>-</w:t>
            </w:r>
          </w:p>
        </w:tc>
        <w:tc>
          <w:tcPr>
            <w:tcW w:w="1291" w:type="dxa"/>
            <w:vAlign w:val="center"/>
          </w:tcPr>
          <w:p w:rsidR="00E52D96" w:rsidRDefault="00E345CC">
            <w:pPr>
              <w:jc w:val="right"/>
            </w:pPr>
            <w:r>
              <w:rPr>
                <w:rFonts w:eastAsiaTheme="minorEastAsia"/>
                <w:color w:val="000000" w:themeColor="text1"/>
                <w:szCs w:val="21"/>
              </w:rPr>
              <w:t>-</w:t>
            </w:r>
          </w:p>
        </w:tc>
        <w:tc>
          <w:tcPr>
            <w:tcW w:w="1291" w:type="dxa"/>
            <w:vAlign w:val="center"/>
          </w:tcPr>
          <w:p w:rsidR="00E52D96" w:rsidRDefault="00E345CC">
            <w:pPr>
              <w:jc w:val="right"/>
            </w:pPr>
            <w:r>
              <w:rPr>
                <w:rFonts w:eastAsiaTheme="minorEastAsia"/>
                <w:color w:val="000000" w:themeColor="text1"/>
                <w:szCs w:val="21"/>
              </w:rPr>
              <w:t>-</w:t>
            </w:r>
          </w:p>
        </w:tc>
      </w:tr>
      <w:tr w:rsidR="00E52D96">
        <w:tc>
          <w:tcPr>
            <w:tcW w:w="1290" w:type="dxa"/>
            <w:vAlign w:val="center"/>
          </w:tcPr>
          <w:p w:rsidR="00E52D96" w:rsidRDefault="00E345CC">
            <w:pPr>
              <w:jc w:val="left"/>
            </w:pPr>
            <w:r>
              <w:rPr>
                <w:rFonts w:eastAsiaTheme="minorEastAsia"/>
                <w:color w:val="000000" w:themeColor="text1"/>
                <w:szCs w:val="21"/>
              </w:rPr>
              <w:t>自基金合同生效起至今</w:t>
            </w:r>
          </w:p>
        </w:tc>
        <w:tc>
          <w:tcPr>
            <w:tcW w:w="1291" w:type="dxa"/>
            <w:vAlign w:val="center"/>
          </w:tcPr>
          <w:p w:rsidR="00E52D96" w:rsidRDefault="00E345CC">
            <w:pPr>
              <w:jc w:val="right"/>
            </w:pPr>
            <w:r>
              <w:rPr>
                <w:rFonts w:eastAsiaTheme="minorEastAsia"/>
                <w:color w:val="000000" w:themeColor="text1"/>
                <w:szCs w:val="21"/>
              </w:rPr>
              <w:t>-19.38%</w:t>
            </w:r>
          </w:p>
        </w:tc>
        <w:tc>
          <w:tcPr>
            <w:tcW w:w="1291" w:type="dxa"/>
            <w:vAlign w:val="center"/>
          </w:tcPr>
          <w:p w:rsidR="00E52D96" w:rsidRDefault="00E345CC">
            <w:pPr>
              <w:jc w:val="right"/>
            </w:pPr>
            <w:r>
              <w:rPr>
                <w:rFonts w:eastAsiaTheme="minorEastAsia"/>
                <w:color w:val="000000" w:themeColor="text1"/>
                <w:szCs w:val="21"/>
              </w:rPr>
              <w:t>1.16%</w:t>
            </w:r>
          </w:p>
        </w:tc>
        <w:tc>
          <w:tcPr>
            <w:tcW w:w="1291" w:type="dxa"/>
            <w:vAlign w:val="center"/>
          </w:tcPr>
          <w:p w:rsidR="00E52D96" w:rsidRDefault="00E345CC">
            <w:pPr>
              <w:jc w:val="right"/>
            </w:pPr>
            <w:r>
              <w:rPr>
                <w:rFonts w:eastAsiaTheme="minorEastAsia"/>
                <w:color w:val="000000" w:themeColor="text1"/>
                <w:szCs w:val="21"/>
              </w:rPr>
              <w:t>-6.43%</w:t>
            </w:r>
          </w:p>
        </w:tc>
        <w:tc>
          <w:tcPr>
            <w:tcW w:w="1291" w:type="dxa"/>
            <w:vAlign w:val="center"/>
          </w:tcPr>
          <w:p w:rsidR="00E52D96" w:rsidRDefault="00E345CC">
            <w:pPr>
              <w:jc w:val="right"/>
            </w:pPr>
            <w:r>
              <w:rPr>
                <w:rFonts w:eastAsiaTheme="minorEastAsia"/>
                <w:color w:val="000000" w:themeColor="text1"/>
                <w:szCs w:val="21"/>
              </w:rPr>
              <w:t>0.85%</w:t>
            </w:r>
          </w:p>
        </w:tc>
        <w:tc>
          <w:tcPr>
            <w:tcW w:w="1291" w:type="dxa"/>
            <w:vAlign w:val="center"/>
          </w:tcPr>
          <w:p w:rsidR="00E52D96" w:rsidRDefault="00E345CC">
            <w:pPr>
              <w:jc w:val="right"/>
            </w:pPr>
            <w:r>
              <w:rPr>
                <w:rFonts w:eastAsiaTheme="minorEastAsia"/>
                <w:color w:val="000000" w:themeColor="text1"/>
                <w:szCs w:val="21"/>
              </w:rPr>
              <w:t>-12.95%</w:t>
            </w:r>
          </w:p>
        </w:tc>
        <w:tc>
          <w:tcPr>
            <w:tcW w:w="1291" w:type="dxa"/>
            <w:vAlign w:val="center"/>
          </w:tcPr>
          <w:p w:rsidR="00E52D96" w:rsidRDefault="00E345CC">
            <w:pPr>
              <w:jc w:val="right"/>
            </w:pPr>
            <w:r>
              <w:rPr>
                <w:rFonts w:eastAsiaTheme="minorEastAsia"/>
                <w:color w:val="000000" w:themeColor="text1"/>
                <w:szCs w:val="21"/>
              </w:rPr>
              <w:t>0.31%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摩根大盘蓝筹股票型证券投资基金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(2010</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20</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．摩根大盘蓝筹股票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．摩根大盘蓝筹股票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E52D96">
        <w:tc>
          <w:tcPr>
            <w:tcW w:w="952" w:type="dxa"/>
            <w:vAlign w:val="center"/>
          </w:tcPr>
          <w:p w:rsidR="00E52D96" w:rsidRDefault="00E345CC">
            <w:pPr>
              <w:jc w:val="center"/>
            </w:pPr>
            <w:r>
              <w:rPr>
                <w:rFonts w:eastAsiaTheme="minorEastAsia"/>
                <w:color w:val="000000" w:themeColor="text1"/>
                <w:szCs w:val="21"/>
              </w:rPr>
              <w:t>朱晓龙</w:t>
            </w:r>
          </w:p>
        </w:tc>
        <w:tc>
          <w:tcPr>
            <w:tcW w:w="930" w:type="dxa"/>
            <w:vAlign w:val="center"/>
          </w:tcPr>
          <w:p w:rsidR="00E52D96" w:rsidRDefault="00E345CC">
            <w:pPr>
              <w:jc w:val="center"/>
            </w:pPr>
            <w:r>
              <w:rPr>
                <w:rFonts w:eastAsiaTheme="minorEastAsia"/>
                <w:color w:val="000000" w:themeColor="text1"/>
                <w:szCs w:val="21"/>
              </w:rPr>
              <w:t>本基金基金经理、研究部总监</w:t>
            </w:r>
          </w:p>
        </w:tc>
        <w:tc>
          <w:tcPr>
            <w:tcW w:w="1210" w:type="dxa"/>
            <w:vAlign w:val="center"/>
          </w:tcPr>
          <w:p w:rsidR="00E52D96" w:rsidRDefault="00E345CC">
            <w:pPr>
              <w:jc w:val="center"/>
            </w:pPr>
            <w:r>
              <w:rPr>
                <w:rFonts w:eastAsiaTheme="minorEastAsia"/>
                <w:color w:val="000000" w:themeColor="text1"/>
                <w:szCs w:val="21"/>
              </w:rPr>
              <w:t>2019-07-19</w:t>
            </w:r>
          </w:p>
        </w:tc>
        <w:tc>
          <w:tcPr>
            <w:tcW w:w="1309" w:type="dxa"/>
            <w:vAlign w:val="center"/>
          </w:tcPr>
          <w:p w:rsidR="00E52D96" w:rsidRDefault="00E345CC">
            <w:pPr>
              <w:jc w:val="center"/>
            </w:pPr>
            <w:r>
              <w:rPr>
                <w:rFonts w:eastAsiaTheme="minorEastAsia"/>
                <w:color w:val="000000" w:themeColor="text1"/>
                <w:szCs w:val="21"/>
              </w:rPr>
              <w:t>-</w:t>
            </w:r>
          </w:p>
        </w:tc>
        <w:tc>
          <w:tcPr>
            <w:tcW w:w="1254" w:type="dxa"/>
            <w:vAlign w:val="center"/>
          </w:tcPr>
          <w:p w:rsidR="00E52D96" w:rsidRDefault="00E345CC">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E52D96" w:rsidRDefault="00E345CC">
            <w:r>
              <w:rPr>
                <w:rFonts w:eastAsiaTheme="minorEastAsia"/>
                <w:color w:val="000000" w:themeColor="text1"/>
                <w:szCs w:val="21"/>
              </w:rPr>
              <w:t>朱晓龙先生曾任平安资产管理有限责任公司研究员。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月起加入摩根基金管理（中国）有限公司（原上投摩根基金管理有限公司），历任行业专家、研究部副总监兼研究基助、研究部总监兼基金经理助理，现任研究部总监兼基金经理。</w:t>
            </w:r>
          </w:p>
        </w:tc>
      </w:tr>
    </w:tbl>
    <w:p w:rsidR="00E52D96" w:rsidRDefault="00E345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w:t>
      </w:r>
      <w:r>
        <w:rPr>
          <w:rFonts w:eastAsiaTheme="minorEastAsia"/>
          <w:color w:val="000000" w:themeColor="text1"/>
          <w:szCs w:val="21"/>
        </w:rPr>
        <w:lastRenderedPageBreak/>
        <w:t>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年第二季度，</w:t>
      </w:r>
      <w:r>
        <w:rPr>
          <w:rFonts w:eastAsiaTheme="minorEastAsia"/>
          <w:color w:val="000000" w:themeColor="text1"/>
          <w:szCs w:val="21"/>
        </w:rPr>
        <w:t>A</w:t>
      </w:r>
      <w:r>
        <w:rPr>
          <w:rFonts w:eastAsiaTheme="minorEastAsia"/>
          <w:color w:val="000000" w:themeColor="text1"/>
          <w:szCs w:val="21"/>
        </w:rPr>
        <w:t>股整体呈现震荡走势，以申万行业分类统计来看，通信、传媒、家电、公用事业、机械表现相对靠前；商贸零售、食品饮料、建筑材料、美容护理、农林牧渔表现相对落后。</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基本面：</w:t>
      </w:r>
      <w:r>
        <w:rPr>
          <w:rFonts w:eastAsiaTheme="minorEastAsia"/>
          <w:color w:val="000000" w:themeColor="text1"/>
          <w:szCs w:val="21"/>
        </w:rPr>
        <w:t>PPI</w:t>
      </w:r>
      <w:r>
        <w:rPr>
          <w:rFonts w:eastAsiaTheme="minorEastAsia"/>
          <w:color w:val="000000" w:themeColor="text1"/>
          <w:szCs w:val="21"/>
        </w:rPr>
        <w:t>经历前期的调整，去库存动能未来有望不断减弱，预计本轮去库将在三季度末四季度初结束。</w:t>
      </w:r>
      <w:r>
        <w:rPr>
          <w:rFonts w:eastAsiaTheme="minorEastAsia"/>
          <w:color w:val="000000" w:themeColor="text1"/>
          <w:szCs w:val="21"/>
        </w:rPr>
        <w:t>PPI</w:t>
      </w:r>
      <w:r>
        <w:rPr>
          <w:rFonts w:eastAsiaTheme="minorEastAsia"/>
          <w:color w:val="000000" w:themeColor="text1"/>
          <w:szCs w:val="21"/>
        </w:rPr>
        <w:t>上半年同比增速改善但仍为负、去库影响需求传导，导致经济体感偏冷。预计</w:t>
      </w:r>
      <w:r>
        <w:rPr>
          <w:rFonts w:eastAsiaTheme="minorEastAsia"/>
          <w:color w:val="000000" w:themeColor="text1"/>
          <w:szCs w:val="21"/>
        </w:rPr>
        <w:t>PPI</w:t>
      </w:r>
      <w:r>
        <w:rPr>
          <w:rFonts w:eastAsiaTheme="minorEastAsia"/>
          <w:color w:val="000000" w:themeColor="text1"/>
          <w:szCs w:val="21"/>
        </w:rPr>
        <w:t>三季度开始同比增速转正、去库进入下半场，经济体感或将在三季度磨底改善，四季度进一步回温。</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资金面：一是美元和美债利率均进入筑顶阶段，推动外部金融条件改善；二是压制信用传导的地产和疫情问题均有所改善，有望推动内部信用边际扩张。但两者均需要经历几个阶段，并非一蹴而就的过程。人民币汇率企稳回升，内外金融条件改善，也将助推</w:t>
      </w:r>
      <w:r>
        <w:rPr>
          <w:rFonts w:eastAsiaTheme="minorEastAsia"/>
          <w:color w:val="000000" w:themeColor="text1"/>
          <w:szCs w:val="21"/>
        </w:rPr>
        <w:t>A</w:t>
      </w:r>
      <w:r>
        <w:rPr>
          <w:rFonts w:eastAsiaTheme="minorEastAsia"/>
          <w:color w:val="000000" w:themeColor="text1"/>
          <w:szCs w:val="21"/>
        </w:rPr>
        <w:t>股估值修复。</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展望未来，内需有望贡献更多力量。今年经济增长目标</w:t>
      </w:r>
      <w:r>
        <w:rPr>
          <w:rFonts w:eastAsiaTheme="minorEastAsia"/>
          <w:color w:val="000000" w:themeColor="text1"/>
          <w:szCs w:val="21"/>
        </w:rPr>
        <w:t>5%</w:t>
      </w:r>
      <w:r>
        <w:rPr>
          <w:rFonts w:eastAsiaTheme="minorEastAsia"/>
          <w:color w:val="000000" w:themeColor="text1"/>
          <w:szCs w:val="21"/>
        </w:rPr>
        <w:t>左右的定调，确定了今年经济将处于稳步复苏态势的基调，受益于经济复苏的产业链值得重视</w:t>
      </w:r>
      <w:r>
        <w:rPr>
          <w:rFonts w:eastAsiaTheme="minorEastAsia"/>
          <w:color w:val="000000" w:themeColor="text1"/>
          <w:szCs w:val="21"/>
        </w:rPr>
        <w:t xml:space="preserve">, </w:t>
      </w:r>
      <w:r>
        <w:rPr>
          <w:rFonts w:eastAsiaTheme="minorEastAsia"/>
          <w:color w:val="000000" w:themeColor="text1"/>
          <w:szCs w:val="21"/>
        </w:rPr>
        <w:t>前期受压制的部分顺周期中游制造的胜率提升，但由于经济弹性不强，多数行业的盈利弹性偏弱，需要有第二成长曲线预期（期权）来打开增长空间。在复苏主线之外，高端制造、技术创新依然是值得长期关注的方向。</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关于基金运作，在个股配置方面，未来本基金将加大各行业中成长性与估值相对匹配的公司进行配置。在行业配置上，我们坚持较为均衡的行业配置思路，追求通过选股获取合理的超额收</w:t>
      </w:r>
      <w:r w:rsidRPr="00B27A29">
        <w:rPr>
          <w:rFonts w:eastAsiaTheme="minorEastAsia"/>
          <w:color w:val="000000" w:themeColor="text1"/>
          <w:szCs w:val="21"/>
        </w:rPr>
        <w:lastRenderedPageBreak/>
        <w:t>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本报告期摩根大盘蓝筹</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:-3.31%</w:t>
      </w:r>
      <w:r>
        <w:rPr>
          <w:rFonts w:eastAsiaTheme="minorEastAsia"/>
          <w:color w:val="000000" w:themeColor="text1"/>
          <w:szCs w:val="21"/>
        </w:rPr>
        <w:t>，同期业绩比较基准收益率为</w:t>
      </w:r>
      <w:r>
        <w:rPr>
          <w:rFonts w:eastAsiaTheme="minorEastAsia"/>
          <w:color w:val="000000" w:themeColor="text1"/>
          <w:szCs w:val="21"/>
        </w:rPr>
        <w:t>:-4.16%</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摩根大盘蓝筹</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:-3.46%</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:-4.16%</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205,973,466.43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93.14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205,973,466.43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93.14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15,029,094.71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148,194.91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221,150,756.05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5,674,767.00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2.58</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116,664,466.65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53.07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4,380,695.00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5,178,424.86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13,355,382.00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6.08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19,885,570.92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37,797,581.00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17.19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3,036,579.00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205,973,466.43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93.70</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E52D96">
        <w:tc>
          <w:tcPr>
            <w:tcW w:w="817" w:type="dxa"/>
            <w:vAlign w:val="center"/>
          </w:tcPr>
          <w:p w:rsidR="00E52D96" w:rsidRDefault="00E345CC">
            <w:pPr>
              <w:jc w:val="center"/>
            </w:pPr>
            <w:r>
              <w:rPr>
                <w:rFonts w:eastAsiaTheme="minorEastAsia"/>
                <w:kern w:val="0"/>
                <w:szCs w:val="21"/>
              </w:rPr>
              <w:t>1</w:t>
            </w:r>
          </w:p>
        </w:tc>
        <w:tc>
          <w:tcPr>
            <w:tcW w:w="1276" w:type="dxa"/>
            <w:vAlign w:val="center"/>
          </w:tcPr>
          <w:p w:rsidR="00E52D96" w:rsidRDefault="00E345CC">
            <w:pPr>
              <w:jc w:val="center"/>
            </w:pPr>
            <w:r>
              <w:rPr>
                <w:rFonts w:eastAsiaTheme="minorEastAsia"/>
                <w:kern w:val="0"/>
                <w:szCs w:val="21"/>
              </w:rPr>
              <w:t>600150</w:t>
            </w:r>
          </w:p>
        </w:tc>
        <w:tc>
          <w:tcPr>
            <w:tcW w:w="1701" w:type="dxa"/>
            <w:vAlign w:val="center"/>
          </w:tcPr>
          <w:p w:rsidR="00E52D96" w:rsidRDefault="00E345CC">
            <w:pPr>
              <w:jc w:val="center"/>
            </w:pPr>
            <w:r>
              <w:rPr>
                <w:rFonts w:eastAsiaTheme="minorEastAsia"/>
                <w:kern w:val="0"/>
                <w:szCs w:val="21"/>
              </w:rPr>
              <w:t>中国船舶</w:t>
            </w:r>
          </w:p>
        </w:tc>
        <w:tc>
          <w:tcPr>
            <w:tcW w:w="1276" w:type="dxa"/>
            <w:vAlign w:val="center"/>
          </w:tcPr>
          <w:p w:rsidR="00E52D96" w:rsidRDefault="00E345CC">
            <w:pPr>
              <w:jc w:val="right"/>
            </w:pPr>
            <w:r>
              <w:rPr>
                <w:rFonts w:eastAsiaTheme="minorEastAsia"/>
                <w:kern w:val="0"/>
                <w:szCs w:val="21"/>
              </w:rPr>
              <w:t>267,100</w:t>
            </w:r>
          </w:p>
        </w:tc>
        <w:tc>
          <w:tcPr>
            <w:tcW w:w="1842" w:type="dxa"/>
            <w:vAlign w:val="center"/>
          </w:tcPr>
          <w:p w:rsidR="00E52D96" w:rsidRDefault="00E345CC">
            <w:pPr>
              <w:jc w:val="right"/>
            </w:pPr>
            <w:r>
              <w:rPr>
                <w:rFonts w:eastAsiaTheme="minorEastAsia"/>
                <w:kern w:val="0"/>
                <w:szCs w:val="21"/>
              </w:rPr>
              <w:t>8,790,261.00</w:t>
            </w:r>
          </w:p>
        </w:tc>
        <w:tc>
          <w:tcPr>
            <w:tcW w:w="1616" w:type="dxa"/>
            <w:vAlign w:val="center"/>
          </w:tcPr>
          <w:p w:rsidR="00E52D96" w:rsidRDefault="00E345CC">
            <w:pPr>
              <w:jc w:val="right"/>
            </w:pPr>
            <w:r>
              <w:rPr>
                <w:rFonts w:eastAsiaTheme="minorEastAsia"/>
                <w:kern w:val="0"/>
                <w:szCs w:val="21"/>
              </w:rPr>
              <w:t>4.00</w:t>
            </w:r>
          </w:p>
        </w:tc>
      </w:tr>
      <w:tr w:rsidR="00E52D96">
        <w:tc>
          <w:tcPr>
            <w:tcW w:w="817" w:type="dxa"/>
            <w:vAlign w:val="center"/>
          </w:tcPr>
          <w:p w:rsidR="00E52D96" w:rsidRDefault="00E345CC">
            <w:pPr>
              <w:jc w:val="center"/>
            </w:pPr>
            <w:r>
              <w:rPr>
                <w:rFonts w:eastAsiaTheme="minorEastAsia"/>
                <w:kern w:val="0"/>
                <w:szCs w:val="21"/>
              </w:rPr>
              <w:t>2</w:t>
            </w:r>
          </w:p>
        </w:tc>
        <w:tc>
          <w:tcPr>
            <w:tcW w:w="1276" w:type="dxa"/>
            <w:vAlign w:val="center"/>
          </w:tcPr>
          <w:p w:rsidR="00E52D96" w:rsidRDefault="00E345CC">
            <w:pPr>
              <w:jc w:val="center"/>
            </w:pPr>
            <w:r>
              <w:rPr>
                <w:rFonts w:eastAsiaTheme="minorEastAsia"/>
                <w:kern w:val="0"/>
                <w:szCs w:val="21"/>
              </w:rPr>
              <w:t>688072</w:t>
            </w:r>
          </w:p>
        </w:tc>
        <w:tc>
          <w:tcPr>
            <w:tcW w:w="1701" w:type="dxa"/>
            <w:vAlign w:val="center"/>
          </w:tcPr>
          <w:p w:rsidR="00E52D96" w:rsidRDefault="00E345CC">
            <w:pPr>
              <w:jc w:val="center"/>
            </w:pPr>
            <w:r>
              <w:rPr>
                <w:rFonts w:eastAsiaTheme="minorEastAsia"/>
                <w:kern w:val="0"/>
                <w:szCs w:val="21"/>
              </w:rPr>
              <w:t>拓荆科技</w:t>
            </w:r>
          </w:p>
        </w:tc>
        <w:tc>
          <w:tcPr>
            <w:tcW w:w="1276" w:type="dxa"/>
            <w:vAlign w:val="center"/>
          </w:tcPr>
          <w:p w:rsidR="00E52D96" w:rsidRDefault="00E345CC">
            <w:pPr>
              <w:jc w:val="right"/>
            </w:pPr>
            <w:r>
              <w:rPr>
                <w:rFonts w:eastAsiaTheme="minorEastAsia"/>
                <w:kern w:val="0"/>
                <w:szCs w:val="21"/>
              </w:rPr>
              <w:t>17,158</w:t>
            </w:r>
          </w:p>
        </w:tc>
        <w:tc>
          <w:tcPr>
            <w:tcW w:w="1842" w:type="dxa"/>
            <w:vAlign w:val="center"/>
          </w:tcPr>
          <w:p w:rsidR="00E52D96" w:rsidRDefault="00E345CC">
            <w:pPr>
              <w:jc w:val="right"/>
            </w:pPr>
            <w:r>
              <w:rPr>
                <w:rFonts w:eastAsiaTheme="minorEastAsia"/>
                <w:kern w:val="0"/>
                <w:szCs w:val="21"/>
              </w:rPr>
              <w:t>7,308,793.26</w:t>
            </w:r>
          </w:p>
        </w:tc>
        <w:tc>
          <w:tcPr>
            <w:tcW w:w="1616" w:type="dxa"/>
            <w:vAlign w:val="center"/>
          </w:tcPr>
          <w:p w:rsidR="00E52D96" w:rsidRDefault="00E345CC">
            <w:pPr>
              <w:jc w:val="right"/>
            </w:pPr>
            <w:r>
              <w:rPr>
                <w:rFonts w:eastAsiaTheme="minorEastAsia"/>
                <w:kern w:val="0"/>
                <w:szCs w:val="21"/>
              </w:rPr>
              <w:t>3.32</w:t>
            </w:r>
          </w:p>
        </w:tc>
      </w:tr>
      <w:tr w:rsidR="00E52D96">
        <w:tc>
          <w:tcPr>
            <w:tcW w:w="817" w:type="dxa"/>
            <w:vAlign w:val="center"/>
          </w:tcPr>
          <w:p w:rsidR="00E52D96" w:rsidRDefault="00E345CC">
            <w:pPr>
              <w:jc w:val="center"/>
            </w:pPr>
            <w:r>
              <w:rPr>
                <w:rFonts w:eastAsiaTheme="minorEastAsia"/>
                <w:kern w:val="0"/>
                <w:szCs w:val="21"/>
              </w:rPr>
              <w:t>3</w:t>
            </w:r>
          </w:p>
        </w:tc>
        <w:tc>
          <w:tcPr>
            <w:tcW w:w="1276" w:type="dxa"/>
            <w:vAlign w:val="center"/>
          </w:tcPr>
          <w:p w:rsidR="00E52D96" w:rsidRDefault="00E345CC">
            <w:pPr>
              <w:jc w:val="center"/>
            </w:pPr>
            <w:r>
              <w:rPr>
                <w:rFonts w:eastAsiaTheme="minorEastAsia"/>
                <w:kern w:val="0"/>
                <w:szCs w:val="21"/>
              </w:rPr>
              <w:t>300502</w:t>
            </w:r>
          </w:p>
        </w:tc>
        <w:tc>
          <w:tcPr>
            <w:tcW w:w="1701" w:type="dxa"/>
            <w:vAlign w:val="center"/>
          </w:tcPr>
          <w:p w:rsidR="00E52D96" w:rsidRDefault="00E345CC">
            <w:pPr>
              <w:jc w:val="center"/>
            </w:pPr>
            <w:r>
              <w:rPr>
                <w:rFonts w:eastAsiaTheme="minorEastAsia"/>
                <w:kern w:val="0"/>
                <w:szCs w:val="21"/>
              </w:rPr>
              <w:t>新易盛</w:t>
            </w:r>
          </w:p>
        </w:tc>
        <w:tc>
          <w:tcPr>
            <w:tcW w:w="1276" w:type="dxa"/>
            <w:vAlign w:val="center"/>
          </w:tcPr>
          <w:p w:rsidR="00E52D96" w:rsidRDefault="00E345CC">
            <w:pPr>
              <w:jc w:val="right"/>
            </w:pPr>
            <w:r>
              <w:rPr>
                <w:rFonts w:eastAsiaTheme="minorEastAsia"/>
                <w:kern w:val="0"/>
                <w:szCs w:val="21"/>
              </w:rPr>
              <w:t>104,260</w:t>
            </w:r>
          </w:p>
        </w:tc>
        <w:tc>
          <w:tcPr>
            <w:tcW w:w="1842" w:type="dxa"/>
            <w:vAlign w:val="center"/>
          </w:tcPr>
          <w:p w:rsidR="00E52D96" w:rsidRDefault="00E345CC">
            <w:pPr>
              <w:jc w:val="right"/>
            </w:pPr>
            <w:r>
              <w:rPr>
                <w:rFonts w:eastAsiaTheme="minorEastAsia"/>
                <w:kern w:val="0"/>
                <w:szCs w:val="21"/>
              </w:rPr>
              <w:t>7,086,552.20</w:t>
            </w:r>
          </w:p>
        </w:tc>
        <w:tc>
          <w:tcPr>
            <w:tcW w:w="1616" w:type="dxa"/>
            <w:vAlign w:val="center"/>
          </w:tcPr>
          <w:p w:rsidR="00E52D96" w:rsidRDefault="00E345CC">
            <w:pPr>
              <w:jc w:val="right"/>
            </w:pPr>
            <w:r>
              <w:rPr>
                <w:rFonts w:eastAsiaTheme="minorEastAsia"/>
                <w:kern w:val="0"/>
                <w:szCs w:val="21"/>
              </w:rPr>
              <w:t>3.22</w:t>
            </w:r>
          </w:p>
        </w:tc>
      </w:tr>
      <w:tr w:rsidR="00E52D96">
        <w:tc>
          <w:tcPr>
            <w:tcW w:w="817" w:type="dxa"/>
            <w:vAlign w:val="center"/>
          </w:tcPr>
          <w:p w:rsidR="00E52D96" w:rsidRDefault="00E345CC">
            <w:pPr>
              <w:jc w:val="center"/>
            </w:pPr>
            <w:r>
              <w:rPr>
                <w:rFonts w:eastAsiaTheme="minorEastAsia"/>
                <w:kern w:val="0"/>
                <w:szCs w:val="21"/>
              </w:rPr>
              <w:t>4</w:t>
            </w:r>
          </w:p>
        </w:tc>
        <w:tc>
          <w:tcPr>
            <w:tcW w:w="1276" w:type="dxa"/>
            <w:vAlign w:val="center"/>
          </w:tcPr>
          <w:p w:rsidR="00E52D96" w:rsidRDefault="00E345CC">
            <w:pPr>
              <w:jc w:val="center"/>
            </w:pPr>
            <w:r>
              <w:rPr>
                <w:rFonts w:eastAsiaTheme="minorEastAsia"/>
                <w:kern w:val="0"/>
                <w:szCs w:val="21"/>
              </w:rPr>
              <w:t>600919</w:t>
            </w:r>
          </w:p>
        </w:tc>
        <w:tc>
          <w:tcPr>
            <w:tcW w:w="1701" w:type="dxa"/>
            <w:vAlign w:val="center"/>
          </w:tcPr>
          <w:p w:rsidR="00E52D96" w:rsidRDefault="00E345CC">
            <w:pPr>
              <w:jc w:val="center"/>
            </w:pPr>
            <w:r>
              <w:rPr>
                <w:rFonts w:eastAsiaTheme="minorEastAsia"/>
                <w:kern w:val="0"/>
                <w:szCs w:val="21"/>
              </w:rPr>
              <w:t>江苏银行</w:t>
            </w:r>
          </w:p>
        </w:tc>
        <w:tc>
          <w:tcPr>
            <w:tcW w:w="1276" w:type="dxa"/>
            <w:vAlign w:val="center"/>
          </w:tcPr>
          <w:p w:rsidR="00E52D96" w:rsidRDefault="00E345CC">
            <w:pPr>
              <w:jc w:val="right"/>
            </w:pPr>
            <w:r>
              <w:rPr>
                <w:rFonts w:eastAsiaTheme="minorEastAsia"/>
                <w:kern w:val="0"/>
                <w:szCs w:val="21"/>
              </w:rPr>
              <w:t>923,000</w:t>
            </w:r>
          </w:p>
        </w:tc>
        <w:tc>
          <w:tcPr>
            <w:tcW w:w="1842" w:type="dxa"/>
            <w:vAlign w:val="center"/>
          </w:tcPr>
          <w:p w:rsidR="00E52D96" w:rsidRDefault="00E345CC">
            <w:pPr>
              <w:jc w:val="right"/>
            </w:pPr>
            <w:r>
              <w:rPr>
                <w:rFonts w:eastAsiaTheme="minorEastAsia"/>
                <w:kern w:val="0"/>
                <w:szCs w:val="21"/>
              </w:rPr>
              <w:t>6,784,050.00</w:t>
            </w:r>
          </w:p>
        </w:tc>
        <w:tc>
          <w:tcPr>
            <w:tcW w:w="1616" w:type="dxa"/>
            <w:vAlign w:val="center"/>
          </w:tcPr>
          <w:p w:rsidR="00E52D96" w:rsidRDefault="00E345CC">
            <w:pPr>
              <w:jc w:val="right"/>
            </w:pPr>
            <w:r>
              <w:rPr>
                <w:rFonts w:eastAsiaTheme="minorEastAsia"/>
                <w:kern w:val="0"/>
                <w:szCs w:val="21"/>
              </w:rPr>
              <w:t>3.09</w:t>
            </w:r>
          </w:p>
        </w:tc>
      </w:tr>
      <w:tr w:rsidR="00E52D96">
        <w:tc>
          <w:tcPr>
            <w:tcW w:w="817" w:type="dxa"/>
            <w:vAlign w:val="center"/>
          </w:tcPr>
          <w:p w:rsidR="00E52D96" w:rsidRDefault="00E345CC">
            <w:pPr>
              <w:jc w:val="center"/>
            </w:pPr>
            <w:r>
              <w:rPr>
                <w:rFonts w:eastAsiaTheme="minorEastAsia"/>
                <w:kern w:val="0"/>
                <w:szCs w:val="21"/>
              </w:rPr>
              <w:t>5</w:t>
            </w:r>
          </w:p>
        </w:tc>
        <w:tc>
          <w:tcPr>
            <w:tcW w:w="1276" w:type="dxa"/>
            <w:vAlign w:val="center"/>
          </w:tcPr>
          <w:p w:rsidR="00E52D96" w:rsidRDefault="00E345CC">
            <w:pPr>
              <w:jc w:val="center"/>
            </w:pPr>
            <w:r>
              <w:rPr>
                <w:rFonts w:eastAsiaTheme="minorEastAsia"/>
                <w:kern w:val="0"/>
                <w:szCs w:val="21"/>
              </w:rPr>
              <w:t>000951</w:t>
            </w:r>
          </w:p>
        </w:tc>
        <w:tc>
          <w:tcPr>
            <w:tcW w:w="1701" w:type="dxa"/>
            <w:vAlign w:val="center"/>
          </w:tcPr>
          <w:p w:rsidR="00E52D96" w:rsidRDefault="00E345CC">
            <w:pPr>
              <w:jc w:val="center"/>
            </w:pPr>
            <w:r>
              <w:rPr>
                <w:rFonts w:eastAsiaTheme="minorEastAsia"/>
                <w:kern w:val="0"/>
                <w:szCs w:val="21"/>
              </w:rPr>
              <w:t>中国重汽</w:t>
            </w:r>
          </w:p>
        </w:tc>
        <w:tc>
          <w:tcPr>
            <w:tcW w:w="1276" w:type="dxa"/>
            <w:vAlign w:val="center"/>
          </w:tcPr>
          <w:p w:rsidR="00E52D96" w:rsidRDefault="00E345CC">
            <w:pPr>
              <w:jc w:val="right"/>
            </w:pPr>
            <w:r>
              <w:rPr>
                <w:rFonts w:eastAsiaTheme="minorEastAsia"/>
                <w:kern w:val="0"/>
                <w:szCs w:val="21"/>
              </w:rPr>
              <w:t>401,926</w:t>
            </w:r>
          </w:p>
        </w:tc>
        <w:tc>
          <w:tcPr>
            <w:tcW w:w="1842" w:type="dxa"/>
            <w:vAlign w:val="center"/>
          </w:tcPr>
          <w:p w:rsidR="00E52D96" w:rsidRDefault="00E345CC">
            <w:pPr>
              <w:jc w:val="right"/>
            </w:pPr>
            <w:r>
              <w:rPr>
                <w:rFonts w:eastAsiaTheme="minorEastAsia"/>
                <w:kern w:val="0"/>
                <w:szCs w:val="21"/>
              </w:rPr>
              <w:t>6,772,453.10</w:t>
            </w:r>
          </w:p>
        </w:tc>
        <w:tc>
          <w:tcPr>
            <w:tcW w:w="1616" w:type="dxa"/>
            <w:vAlign w:val="center"/>
          </w:tcPr>
          <w:p w:rsidR="00E52D96" w:rsidRDefault="00E345CC">
            <w:pPr>
              <w:jc w:val="right"/>
            </w:pPr>
            <w:r>
              <w:rPr>
                <w:rFonts w:eastAsiaTheme="minorEastAsia"/>
                <w:kern w:val="0"/>
                <w:szCs w:val="21"/>
              </w:rPr>
              <w:t>3.08</w:t>
            </w:r>
          </w:p>
        </w:tc>
      </w:tr>
      <w:tr w:rsidR="00E52D96">
        <w:tc>
          <w:tcPr>
            <w:tcW w:w="817" w:type="dxa"/>
            <w:vAlign w:val="center"/>
          </w:tcPr>
          <w:p w:rsidR="00E52D96" w:rsidRDefault="00E345CC">
            <w:pPr>
              <w:jc w:val="center"/>
            </w:pPr>
            <w:r>
              <w:rPr>
                <w:rFonts w:eastAsiaTheme="minorEastAsia"/>
                <w:kern w:val="0"/>
                <w:szCs w:val="21"/>
              </w:rPr>
              <w:t>6</w:t>
            </w:r>
          </w:p>
        </w:tc>
        <w:tc>
          <w:tcPr>
            <w:tcW w:w="1276" w:type="dxa"/>
            <w:vAlign w:val="center"/>
          </w:tcPr>
          <w:p w:rsidR="00E52D96" w:rsidRDefault="00E345CC">
            <w:pPr>
              <w:jc w:val="center"/>
            </w:pPr>
            <w:r>
              <w:rPr>
                <w:rFonts w:eastAsiaTheme="minorEastAsia"/>
                <w:kern w:val="0"/>
                <w:szCs w:val="21"/>
              </w:rPr>
              <w:t>688301</w:t>
            </w:r>
          </w:p>
        </w:tc>
        <w:tc>
          <w:tcPr>
            <w:tcW w:w="1701" w:type="dxa"/>
            <w:vAlign w:val="center"/>
          </w:tcPr>
          <w:p w:rsidR="00E52D96" w:rsidRDefault="00E345CC">
            <w:pPr>
              <w:jc w:val="center"/>
            </w:pPr>
            <w:r>
              <w:rPr>
                <w:rFonts w:eastAsiaTheme="minorEastAsia"/>
                <w:kern w:val="0"/>
                <w:szCs w:val="21"/>
              </w:rPr>
              <w:t>奕瑞科技</w:t>
            </w:r>
          </w:p>
        </w:tc>
        <w:tc>
          <w:tcPr>
            <w:tcW w:w="1276" w:type="dxa"/>
            <w:vAlign w:val="center"/>
          </w:tcPr>
          <w:p w:rsidR="00E52D96" w:rsidRDefault="00E345CC">
            <w:pPr>
              <w:jc w:val="right"/>
            </w:pPr>
            <w:r>
              <w:rPr>
                <w:rFonts w:eastAsiaTheme="minorEastAsia"/>
                <w:kern w:val="0"/>
                <w:szCs w:val="21"/>
              </w:rPr>
              <w:t>23,851</w:t>
            </w:r>
          </w:p>
        </w:tc>
        <w:tc>
          <w:tcPr>
            <w:tcW w:w="1842" w:type="dxa"/>
            <w:vAlign w:val="center"/>
          </w:tcPr>
          <w:p w:rsidR="00E52D96" w:rsidRDefault="00E345CC">
            <w:pPr>
              <w:jc w:val="right"/>
            </w:pPr>
            <w:r>
              <w:rPr>
                <w:rFonts w:eastAsiaTheme="minorEastAsia"/>
                <w:kern w:val="0"/>
                <w:szCs w:val="21"/>
              </w:rPr>
              <w:t>6,736,237.93</w:t>
            </w:r>
          </w:p>
        </w:tc>
        <w:tc>
          <w:tcPr>
            <w:tcW w:w="1616" w:type="dxa"/>
            <w:vAlign w:val="center"/>
          </w:tcPr>
          <w:p w:rsidR="00E52D96" w:rsidRDefault="00E345CC">
            <w:pPr>
              <w:jc w:val="right"/>
            </w:pPr>
            <w:r>
              <w:rPr>
                <w:rFonts w:eastAsiaTheme="minorEastAsia"/>
                <w:kern w:val="0"/>
                <w:szCs w:val="21"/>
              </w:rPr>
              <w:t>3.06</w:t>
            </w:r>
          </w:p>
        </w:tc>
      </w:tr>
      <w:tr w:rsidR="00E52D96">
        <w:tc>
          <w:tcPr>
            <w:tcW w:w="817" w:type="dxa"/>
            <w:vAlign w:val="center"/>
          </w:tcPr>
          <w:p w:rsidR="00E52D96" w:rsidRDefault="00E345CC">
            <w:pPr>
              <w:jc w:val="center"/>
            </w:pPr>
            <w:r>
              <w:rPr>
                <w:rFonts w:eastAsiaTheme="minorEastAsia"/>
                <w:kern w:val="0"/>
                <w:szCs w:val="21"/>
              </w:rPr>
              <w:t>7</w:t>
            </w:r>
          </w:p>
        </w:tc>
        <w:tc>
          <w:tcPr>
            <w:tcW w:w="1276" w:type="dxa"/>
            <w:vAlign w:val="center"/>
          </w:tcPr>
          <w:p w:rsidR="00E52D96" w:rsidRDefault="00E345CC">
            <w:pPr>
              <w:jc w:val="center"/>
            </w:pPr>
            <w:r>
              <w:rPr>
                <w:rFonts w:eastAsiaTheme="minorEastAsia"/>
                <w:kern w:val="0"/>
                <w:szCs w:val="21"/>
              </w:rPr>
              <w:t>300747</w:t>
            </w:r>
          </w:p>
        </w:tc>
        <w:tc>
          <w:tcPr>
            <w:tcW w:w="1701" w:type="dxa"/>
            <w:vAlign w:val="center"/>
          </w:tcPr>
          <w:p w:rsidR="00E52D96" w:rsidRDefault="00E345CC">
            <w:pPr>
              <w:jc w:val="center"/>
            </w:pPr>
            <w:r>
              <w:rPr>
                <w:rFonts w:eastAsiaTheme="minorEastAsia"/>
                <w:kern w:val="0"/>
                <w:szCs w:val="21"/>
              </w:rPr>
              <w:t>锐科激光</w:t>
            </w:r>
          </w:p>
        </w:tc>
        <w:tc>
          <w:tcPr>
            <w:tcW w:w="1276" w:type="dxa"/>
            <w:vAlign w:val="center"/>
          </w:tcPr>
          <w:p w:rsidR="00E52D96" w:rsidRDefault="00E345CC">
            <w:pPr>
              <w:jc w:val="right"/>
            </w:pPr>
            <w:r>
              <w:rPr>
                <w:rFonts w:eastAsiaTheme="minorEastAsia"/>
                <w:kern w:val="0"/>
                <w:szCs w:val="21"/>
              </w:rPr>
              <w:t>219,500</w:t>
            </w:r>
          </w:p>
        </w:tc>
        <w:tc>
          <w:tcPr>
            <w:tcW w:w="1842" w:type="dxa"/>
            <w:vAlign w:val="center"/>
          </w:tcPr>
          <w:p w:rsidR="00E52D96" w:rsidRDefault="00E345CC">
            <w:pPr>
              <w:jc w:val="right"/>
            </w:pPr>
            <w:r>
              <w:rPr>
                <w:rFonts w:eastAsiaTheme="minorEastAsia"/>
                <w:kern w:val="0"/>
                <w:szCs w:val="21"/>
              </w:rPr>
              <w:t>6,690,360.00</w:t>
            </w:r>
          </w:p>
        </w:tc>
        <w:tc>
          <w:tcPr>
            <w:tcW w:w="1616" w:type="dxa"/>
            <w:vAlign w:val="center"/>
          </w:tcPr>
          <w:p w:rsidR="00E52D96" w:rsidRDefault="00E345CC">
            <w:pPr>
              <w:jc w:val="right"/>
            </w:pPr>
            <w:r>
              <w:rPr>
                <w:rFonts w:eastAsiaTheme="minorEastAsia"/>
                <w:kern w:val="0"/>
                <w:szCs w:val="21"/>
              </w:rPr>
              <w:t>3.04</w:t>
            </w:r>
          </w:p>
        </w:tc>
      </w:tr>
      <w:tr w:rsidR="00E52D96">
        <w:tc>
          <w:tcPr>
            <w:tcW w:w="817" w:type="dxa"/>
            <w:vAlign w:val="center"/>
          </w:tcPr>
          <w:p w:rsidR="00E52D96" w:rsidRDefault="00E345CC">
            <w:pPr>
              <w:jc w:val="center"/>
            </w:pPr>
            <w:r>
              <w:rPr>
                <w:rFonts w:eastAsiaTheme="minorEastAsia"/>
                <w:kern w:val="0"/>
                <w:szCs w:val="21"/>
              </w:rPr>
              <w:lastRenderedPageBreak/>
              <w:t>8</w:t>
            </w:r>
          </w:p>
        </w:tc>
        <w:tc>
          <w:tcPr>
            <w:tcW w:w="1276" w:type="dxa"/>
            <w:vAlign w:val="center"/>
          </w:tcPr>
          <w:p w:rsidR="00E52D96" w:rsidRDefault="00E345CC">
            <w:pPr>
              <w:jc w:val="center"/>
            </w:pPr>
            <w:r>
              <w:rPr>
                <w:rFonts w:eastAsiaTheme="minorEastAsia"/>
                <w:kern w:val="0"/>
                <w:szCs w:val="21"/>
              </w:rPr>
              <w:t>601319</w:t>
            </w:r>
          </w:p>
        </w:tc>
        <w:tc>
          <w:tcPr>
            <w:tcW w:w="1701" w:type="dxa"/>
            <w:vAlign w:val="center"/>
          </w:tcPr>
          <w:p w:rsidR="00E52D96" w:rsidRDefault="00E345CC">
            <w:pPr>
              <w:jc w:val="center"/>
            </w:pPr>
            <w:r>
              <w:rPr>
                <w:rFonts w:eastAsiaTheme="minorEastAsia"/>
                <w:kern w:val="0"/>
                <w:szCs w:val="21"/>
              </w:rPr>
              <w:t>中国人保</w:t>
            </w:r>
          </w:p>
        </w:tc>
        <w:tc>
          <w:tcPr>
            <w:tcW w:w="1276" w:type="dxa"/>
            <w:vAlign w:val="center"/>
          </w:tcPr>
          <w:p w:rsidR="00E52D96" w:rsidRDefault="00E345CC">
            <w:pPr>
              <w:jc w:val="right"/>
            </w:pPr>
            <w:r>
              <w:rPr>
                <w:rFonts w:eastAsiaTheme="minorEastAsia"/>
                <w:kern w:val="0"/>
                <w:szCs w:val="21"/>
              </w:rPr>
              <w:t>1,122,700</w:t>
            </w:r>
          </w:p>
        </w:tc>
        <w:tc>
          <w:tcPr>
            <w:tcW w:w="1842" w:type="dxa"/>
            <w:vAlign w:val="center"/>
          </w:tcPr>
          <w:p w:rsidR="00E52D96" w:rsidRDefault="00E345CC">
            <w:pPr>
              <w:jc w:val="right"/>
            </w:pPr>
            <w:r>
              <w:rPr>
                <w:rFonts w:eastAsiaTheme="minorEastAsia"/>
                <w:kern w:val="0"/>
                <w:szCs w:val="21"/>
              </w:rPr>
              <w:t>6,556,568.00</w:t>
            </w:r>
          </w:p>
        </w:tc>
        <w:tc>
          <w:tcPr>
            <w:tcW w:w="1616" w:type="dxa"/>
            <w:vAlign w:val="center"/>
          </w:tcPr>
          <w:p w:rsidR="00E52D96" w:rsidRDefault="00E345CC">
            <w:pPr>
              <w:jc w:val="right"/>
            </w:pPr>
            <w:r>
              <w:rPr>
                <w:rFonts w:eastAsiaTheme="minorEastAsia"/>
                <w:kern w:val="0"/>
                <w:szCs w:val="21"/>
              </w:rPr>
              <w:t>2.98</w:t>
            </w:r>
          </w:p>
        </w:tc>
      </w:tr>
      <w:tr w:rsidR="00E52D96">
        <w:tc>
          <w:tcPr>
            <w:tcW w:w="817" w:type="dxa"/>
            <w:vAlign w:val="center"/>
          </w:tcPr>
          <w:p w:rsidR="00E52D96" w:rsidRDefault="00E345CC">
            <w:pPr>
              <w:jc w:val="center"/>
            </w:pPr>
            <w:r>
              <w:rPr>
                <w:rFonts w:eastAsiaTheme="minorEastAsia"/>
                <w:kern w:val="0"/>
                <w:szCs w:val="21"/>
              </w:rPr>
              <w:t>9</w:t>
            </w:r>
          </w:p>
        </w:tc>
        <w:tc>
          <w:tcPr>
            <w:tcW w:w="1276" w:type="dxa"/>
            <w:vAlign w:val="center"/>
          </w:tcPr>
          <w:p w:rsidR="00E52D96" w:rsidRDefault="00E345CC">
            <w:pPr>
              <w:jc w:val="center"/>
            </w:pPr>
            <w:r>
              <w:rPr>
                <w:rFonts w:eastAsiaTheme="minorEastAsia"/>
                <w:kern w:val="0"/>
                <w:szCs w:val="21"/>
              </w:rPr>
              <w:t>601318</w:t>
            </w:r>
          </w:p>
        </w:tc>
        <w:tc>
          <w:tcPr>
            <w:tcW w:w="1701" w:type="dxa"/>
            <w:vAlign w:val="center"/>
          </w:tcPr>
          <w:p w:rsidR="00E52D96" w:rsidRDefault="00E345CC">
            <w:pPr>
              <w:jc w:val="center"/>
            </w:pPr>
            <w:r>
              <w:rPr>
                <w:rFonts w:eastAsiaTheme="minorEastAsia"/>
                <w:kern w:val="0"/>
                <w:szCs w:val="21"/>
              </w:rPr>
              <w:t>中国平安</w:t>
            </w:r>
          </w:p>
        </w:tc>
        <w:tc>
          <w:tcPr>
            <w:tcW w:w="1276" w:type="dxa"/>
            <w:vAlign w:val="center"/>
          </w:tcPr>
          <w:p w:rsidR="00E52D96" w:rsidRDefault="00E345CC">
            <w:pPr>
              <w:jc w:val="right"/>
            </w:pPr>
            <w:r>
              <w:rPr>
                <w:rFonts w:eastAsiaTheme="minorEastAsia"/>
                <w:kern w:val="0"/>
                <w:szCs w:val="21"/>
              </w:rPr>
              <w:t>135,100</w:t>
            </w:r>
          </w:p>
        </w:tc>
        <w:tc>
          <w:tcPr>
            <w:tcW w:w="1842" w:type="dxa"/>
            <w:vAlign w:val="center"/>
          </w:tcPr>
          <w:p w:rsidR="00E52D96" w:rsidRDefault="00E345CC">
            <w:pPr>
              <w:jc w:val="right"/>
            </w:pPr>
            <w:r>
              <w:rPr>
                <w:rFonts w:eastAsiaTheme="minorEastAsia"/>
                <w:kern w:val="0"/>
                <w:szCs w:val="21"/>
              </w:rPr>
              <w:t>6,268,640.00</w:t>
            </w:r>
          </w:p>
        </w:tc>
        <w:tc>
          <w:tcPr>
            <w:tcW w:w="1616" w:type="dxa"/>
            <w:vAlign w:val="center"/>
          </w:tcPr>
          <w:p w:rsidR="00E52D96" w:rsidRDefault="00E345CC">
            <w:pPr>
              <w:jc w:val="right"/>
            </w:pPr>
            <w:r>
              <w:rPr>
                <w:rFonts w:eastAsiaTheme="minorEastAsia"/>
                <w:kern w:val="0"/>
                <w:szCs w:val="21"/>
              </w:rPr>
              <w:t>2.85</w:t>
            </w:r>
          </w:p>
        </w:tc>
      </w:tr>
      <w:tr w:rsidR="00E52D96">
        <w:tc>
          <w:tcPr>
            <w:tcW w:w="817" w:type="dxa"/>
            <w:vAlign w:val="center"/>
          </w:tcPr>
          <w:p w:rsidR="00E52D96" w:rsidRDefault="00E345CC">
            <w:pPr>
              <w:jc w:val="center"/>
            </w:pPr>
            <w:r>
              <w:rPr>
                <w:rFonts w:eastAsiaTheme="minorEastAsia"/>
                <w:kern w:val="0"/>
                <w:szCs w:val="21"/>
              </w:rPr>
              <w:t>10</w:t>
            </w:r>
          </w:p>
        </w:tc>
        <w:tc>
          <w:tcPr>
            <w:tcW w:w="1276" w:type="dxa"/>
            <w:vAlign w:val="center"/>
          </w:tcPr>
          <w:p w:rsidR="00E52D96" w:rsidRDefault="00E345CC">
            <w:pPr>
              <w:jc w:val="center"/>
            </w:pPr>
            <w:r>
              <w:rPr>
                <w:rFonts w:eastAsiaTheme="minorEastAsia"/>
                <w:kern w:val="0"/>
                <w:szCs w:val="21"/>
              </w:rPr>
              <w:t>002555</w:t>
            </w:r>
          </w:p>
        </w:tc>
        <w:tc>
          <w:tcPr>
            <w:tcW w:w="1701" w:type="dxa"/>
            <w:vAlign w:val="center"/>
          </w:tcPr>
          <w:p w:rsidR="00E52D96" w:rsidRDefault="00E345CC">
            <w:pPr>
              <w:jc w:val="center"/>
            </w:pPr>
            <w:r>
              <w:rPr>
                <w:rFonts w:eastAsiaTheme="minorEastAsia"/>
                <w:kern w:val="0"/>
                <w:szCs w:val="21"/>
              </w:rPr>
              <w:t>三七互娱</w:t>
            </w:r>
          </w:p>
        </w:tc>
        <w:tc>
          <w:tcPr>
            <w:tcW w:w="1276" w:type="dxa"/>
            <w:vAlign w:val="center"/>
          </w:tcPr>
          <w:p w:rsidR="00E52D96" w:rsidRDefault="00E345CC">
            <w:pPr>
              <w:jc w:val="right"/>
            </w:pPr>
            <w:r>
              <w:rPr>
                <w:rFonts w:eastAsiaTheme="minorEastAsia"/>
                <w:kern w:val="0"/>
                <w:szCs w:val="21"/>
              </w:rPr>
              <w:t>179,600</w:t>
            </w:r>
          </w:p>
        </w:tc>
        <w:tc>
          <w:tcPr>
            <w:tcW w:w="1842" w:type="dxa"/>
            <w:vAlign w:val="center"/>
          </w:tcPr>
          <w:p w:rsidR="00E52D96" w:rsidRDefault="00E345CC">
            <w:pPr>
              <w:jc w:val="right"/>
            </w:pPr>
            <w:r>
              <w:rPr>
                <w:rFonts w:eastAsiaTheme="minorEastAsia"/>
                <w:kern w:val="0"/>
                <w:szCs w:val="21"/>
              </w:rPr>
              <w:t>6,264,448.00</w:t>
            </w:r>
          </w:p>
        </w:tc>
        <w:tc>
          <w:tcPr>
            <w:tcW w:w="1616" w:type="dxa"/>
            <w:vAlign w:val="center"/>
          </w:tcPr>
          <w:p w:rsidR="00E52D96" w:rsidRDefault="00E345CC">
            <w:pPr>
              <w:jc w:val="right"/>
            </w:pPr>
            <w:r>
              <w:rPr>
                <w:rFonts w:eastAsiaTheme="minorEastAsia"/>
                <w:kern w:val="0"/>
                <w:szCs w:val="21"/>
              </w:rPr>
              <w:t>2.85</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E345CC" w:rsidRDefault="005C671B" w:rsidP="00E345CC">
      <w:pPr>
        <w:spacing w:line="360" w:lineRule="auto"/>
        <w:rPr>
          <w:color w:val="000000"/>
          <w:kern w:val="0"/>
          <w:szCs w:val="21"/>
        </w:rPr>
      </w:pPr>
      <w:r w:rsidRPr="00B27A29">
        <w:rPr>
          <w:rFonts w:eastAsiaTheme="minorEastAsia"/>
          <w:color w:val="000000" w:themeColor="text1"/>
          <w:szCs w:val="21"/>
        </w:rPr>
        <w:t>5.11.1</w:t>
      </w:r>
      <w:r w:rsidR="00E345CC">
        <w:rPr>
          <w:rFonts w:hint="eastAsia"/>
          <w:color w:val="000000"/>
        </w:rPr>
        <w:t>本基金投资的前十名证券的发行主体中，三七互娱网络科技集团股份有限公司（股票代码</w:t>
      </w:r>
      <w:r w:rsidR="00E345CC">
        <w:rPr>
          <w:rFonts w:hint="eastAsia"/>
          <w:color w:val="000000"/>
        </w:rPr>
        <w:t>002555</w:t>
      </w:r>
      <w:r w:rsidR="00E345CC">
        <w:rPr>
          <w:rFonts w:hint="eastAsia"/>
          <w:color w:val="000000"/>
        </w:rPr>
        <w:t>）在报告编制日前一年内曾受到中国证监会的立案调查。</w:t>
      </w:r>
    </w:p>
    <w:p w:rsidR="00E345CC" w:rsidRDefault="00E345CC" w:rsidP="00E345CC">
      <w:pPr>
        <w:spacing w:line="360" w:lineRule="auto"/>
        <w:rPr>
          <w:color w:val="000000"/>
        </w:rPr>
      </w:pPr>
      <w:r>
        <w:rPr>
          <w:rFonts w:hint="eastAsia"/>
          <w:color w:val="000000"/>
        </w:rPr>
        <w:t>本基金对上述主体所发行证券的投资决策程序符合相关法律法规、基金合同及公司投资制度的要求。</w:t>
      </w:r>
    </w:p>
    <w:p w:rsidR="005E6DF3" w:rsidRPr="00706D35" w:rsidRDefault="00E345CC" w:rsidP="00706D35">
      <w:pPr>
        <w:spacing w:line="360" w:lineRule="auto"/>
        <w:rPr>
          <w:color w:val="000000"/>
        </w:rPr>
      </w:pPr>
      <w:r>
        <w:rPr>
          <w:rFonts w:hint="eastAsia"/>
          <w:color w:val="000000"/>
        </w:rPr>
        <w:t>除上述股票外，本基金投资的其余前十名证券的发行主体本期未出现被监管部门立案调查，或在报告编制日前一年内受到公开谴责、处罚的情形。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lastRenderedPageBreak/>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117,556.93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30,637.98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148,194.91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摩根大盘蓝筹股票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摩根大盘蓝筹股票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91,252,464.97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54,271.09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3,143,642.71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75,266.80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2,585,474.24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41,108.97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91,810,633.44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88,428.92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lastRenderedPageBreak/>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中国证监会批准本基金募集的文件</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摩根大盘蓝筹股票型证券投资基金基金合同</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摩根大盘蓝筹股票型证券投资基金托管协议</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法律意见书</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 xml:space="preserve">) </w:t>
      </w:r>
      <w:r>
        <w:rPr>
          <w:rFonts w:eastAsiaTheme="minorEastAsia"/>
          <w:color w:val="000000" w:themeColor="text1"/>
          <w:szCs w:val="21"/>
        </w:rPr>
        <w:t>基金托管人业务资格批件、营业执照</w:t>
      </w:r>
    </w:p>
    <w:p w:rsidR="00E52D96" w:rsidRDefault="00E345C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 xml:space="preserve">) </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 xml:space="preserve">)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706D35">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706D35">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06D35">
      <w:rPr>
        <w:rStyle w:val="af6"/>
        <w:noProof/>
      </w:rPr>
      <w:t>13</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摩根大盘蓝筹股票型证券投资基金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06D35"/>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45CC"/>
    <w:rsid w:val="00E374C8"/>
    <w:rsid w:val="00E4042D"/>
    <w:rsid w:val="00E4135D"/>
    <w:rsid w:val="00E43750"/>
    <w:rsid w:val="00E508EB"/>
    <w:rsid w:val="00E521E3"/>
    <w:rsid w:val="00E52D96"/>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 w:type="paragraph" w:styleId="afb">
    <w:name w:val="Revision"/>
    <w:hidden/>
    <w:uiPriority w:val="99"/>
    <w:semiHidden/>
    <w:rsid w:val="00706D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 w:id="2104570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29697A-2CB8-4644-A9A9-847B9631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23</TotalTime>
  <Pages>13</Pages>
  <Words>1133</Words>
  <Characters>6462</Characters>
  <Application>Microsoft Office Word</Application>
  <DocSecurity>0</DocSecurity>
  <Lines>53</Lines>
  <Paragraphs>15</Paragraphs>
  <ScaleCrop>false</ScaleCrop>
  <Company>TRT. Ltd. Co.</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220</cp:revision>
  <cp:lastPrinted>2007-07-19T00:46:00Z</cp:lastPrinted>
  <dcterms:created xsi:type="dcterms:W3CDTF">2013-06-21T06:56:00Z</dcterms:created>
  <dcterms:modified xsi:type="dcterms:W3CDTF">2023-07-20T05:40:00Z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