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摩根大盘蓝筹股票型证券投资基金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摩根大盘蓝筹股票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376510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2010</w:t>
            </w:r>
            <w:r w:rsidRPr="00B27A29">
              <w:rPr>
                <w:rFonts w:eastAsiaTheme="minorEastAsia"/>
                <w:color w:val="000000" w:themeColor="text1"/>
                <w:kern w:val="0"/>
                <w:szCs w:val="21"/>
              </w:rPr>
              <w:t>年</w:t>
            </w:r>
            <w:r w:rsidRPr="00B27A29">
              <w:rPr>
                <w:rFonts w:eastAsiaTheme="minorEastAsia"/>
                <w:color w:val="000000" w:themeColor="text1"/>
                <w:kern w:val="0"/>
                <w:szCs w:val="21"/>
              </w:rPr>
              <w:t>12</w:t>
            </w:r>
            <w:r w:rsidRPr="00B27A29">
              <w:rPr>
                <w:rFonts w:eastAsiaTheme="minorEastAsia"/>
                <w:color w:val="000000" w:themeColor="text1"/>
                <w:kern w:val="0"/>
                <w:szCs w:val="21"/>
              </w:rPr>
              <w:t>月</w:t>
            </w:r>
            <w:r w:rsidRPr="00B27A29">
              <w:rPr>
                <w:rFonts w:eastAsiaTheme="minorEastAsia"/>
                <w:color w:val="000000" w:themeColor="text1"/>
                <w:kern w:val="0"/>
                <w:szCs w:val="21"/>
              </w:rPr>
              <w:t>20</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91,306,736.06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通过投资大盘蓝筹股票，力争最大程度的分享中国经济持续发展带来的中长期收益。在有效控制风险的前提下，追求基金资产的长期稳健增值。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B12CED" w:rsidRDefault="008D7E6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本基金充分借鉴摩根资产管理集团全球行之有效的投资理念和技术，</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精选个股，重点投资于在行业内占有领先地位、业绩良好且稳定增长、价值相对低估的大盘蓝筹上市公司。同时结合宏观经济运行状况和金融市场运行分析趋势的市场研判，对相关资产类别的预期收益进行监控，动态调整股票、债券等大类资产配置。</w:t>
            </w:r>
          </w:p>
          <w:p w:rsidR="00B12CED" w:rsidRDefault="008D7E6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1.</w:t>
            </w:r>
            <w:r>
              <w:rPr>
                <w:rFonts w:eastAsiaTheme="minorEastAsia"/>
                <w:color w:val="000000" w:themeColor="text1"/>
                <w:kern w:val="0"/>
                <w:szCs w:val="21"/>
              </w:rPr>
              <w:t>资产配置策略</w:t>
            </w:r>
          </w:p>
          <w:p w:rsidR="00B12CED" w:rsidRDefault="008D7E6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本基金对大类资产的配置是从宏观层面出发，采用定量分析和定性分析相结合的手段，综合宏观经济环境、宏观经济政策、行业景气度、证券市场走势和流动性的综合分析，积极进行大类资产配置。</w:t>
            </w:r>
          </w:p>
          <w:p w:rsidR="00B12CED" w:rsidRDefault="008D7E6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行业配置策略</w:t>
            </w:r>
          </w:p>
          <w:p w:rsidR="00B12CED" w:rsidRDefault="008D7E6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根据各行业所处生命周期、行业景气度、产业竞争结构、近期发展趋势等方面因素对各行业的相对盈利能力及投资吸引力进行评价，考察净资产收益率、营运周期、销售收入、净利润等指标，对各行业的相对投资价值进行评估。本基金将重点投资于处于成长期和成熟期，行业景气良好，优先受益于国民经济增长和国家政策重点扶持的行业。</w:t>
            </w:r>
          </w:p>
          <w:p w:rsidR="00B12CED" w:rsidRDefault="008D7E6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w:t>
            </w:r>
            <w:r>
              <w:rPr>
                <w:rFonts w:eastAsiaTheme="minorEastAsia"/>
                <w:color w:val="000000" w:themeColor="text1"/>
                <w:kern w:val="0"/>
                <w:szCs w:val="21"/>
              </w:rPr>
              <w:t>投资策略</w:t>
            </w:r>
          </w:p>
          <w:p w:rsidR="00B12CED" w:rsidRDefault="008D7E6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本基金重点投资于在行业内占有领先地位、业绩良好且稳定增长、价值相对低估的大盘蓝筹公司股票，投资于大盘蓝筹股票的资产占股票资产的比例不低于</w:t>
            </w:r>
            <w:r>
              <w:rPr>
                <w:rFonts w:eastAsiaTheme="minorEastAsia"/>
                <w:color w:val="000000" w:themeColor="text1"/>
                <w:kern w:val="0"/>
                <w:szCs w:val="21"/>
              </w:rPr>
              <w:t>80</w:t>
            </w:r>
            <w:r>
              <w:rPr>
                <w:rFonts w:eastAsiaTheme="minorEastAsia"/>
                <w:color w:val="000000" w:themeColor="text1"/>
                <w:kern w:val="0"/>
                <w:szCs w:val="21"/>
              </w:rPr>
              <w:t>％。本基金所重点投资的大盘蓝筹股主要包括以下特征：</w:t>
            </w:r>
            <w:r>
              <w:rPr>
                <w:rFonts w:eastAsiaTheme="minorEastAsia"/>
                <w:color w:val="000000" w:themeColor="text1"/>
                <w:kern w:val="0"/>
                <w:szCs w:val="21"/>
              </w:rPr>
              <w:t>1.</w:t>
            </w:r>
            <w:r>
              <w:rPr>
                <w:rFonts w:eastAsiaTheme="minorEastAsia"/>
                <w:color w:val="000000" w:themeColor="text1"/>
                <w:kern w:val="0"/>
                <w:szCs w:val="21"/>
              </w:rPr>
              <w:t>具有相当大的规模；</w:t>
            </w:r>
            <w:r>
              <w:rPr>
                <w:rFonts w:eastAsiaTheme="minorEastAsia"/>
                <w:color w:val="000000" w:themeColor="text1"/>
                <w:kern w:val="0"/>
                <w:szCs w:val="21"/>
              </w:rPr>
              <w:t>2.</w:t>
            </w:r>
            <w:r>
              <w:rPr>
                <w:rFonts w:eastAsiaTheme="minorEastAsia"/>
                <w:color w:val="000000" w:themeColor="text1"/>
                <w:kern w:val="0"/>
                <w:szCs w:val="21"/>
              </w:rPr>
              <w:t>较强的盈利能力，收入和利润稳定增长；</w:t>
            </w:r>
            <w:r>
              <w:rPr>
                <w:rFonts w:eastAsiaTheme="minorEastAsia"/>
                <w:color w:val="000000" w:themeColor="text1"/>
                <w:kern w:val="0"/>
                <w:szCs w:val="21"/>
              </w:rPr>
              <w:t>3.</w:t>
            </w:r>
            <w:r>
              <w:rPr>
                <w:rFonts w:eastAsiaTheme="minorEastAsia"/>
                <w:color w:val="000000" w:themeColor="text1"/>
                <w:kern w:val="0"/>
                <w:szCs w:val="21"/>
              </w:rPr>
              <w:t>在行业内具有领先的地位；</w:t>
            </w:r>
            <w:r>
              <w:rPr>
                <w:rFonts w:eastAsiaTheme="minorEastAsia"/>
                <w:color w:val="000000" w:themeColor="text1"/>
                <w:kern w:val="0"/>
                <w:szCs w:val="21"/>
              </w:rPr>
              <w:t>4.</w:t>
            </w:r>
            <w:r>
              <w:rPr>
                <w:rFonts w:eastAsiaTheme="minorEastAsia"/>
                <w:color w:val="000000" w:themeColor="text1"/>
                <w:kern w:val="0"/>
                <w:szCs w:val="21"/>
              </w:rPr>
              <w:t>治理结构良好，管理规范，信息透明；</w:t>
            </w:r>
            <w:r>
              <w:rPr>
                <w:rFonts w:eastAsiaTheme="minorEastAsia"/>
                <w:color w:val="000000" w:themeColor="text1"/>
                <w:kern w:val="0"/>
                <w:szCs w:val="21"/>
              </w:rPr>
              <w:t>5.</w:t>
            </w:r>
            <w:r>
              <w:rPr>
                <w:rFonts w:eastAsiaTheme="minorEastAsia"/>
                <w:color w:val="000000" w:themeColor="text1"/>
                <w:kern w:val="0"/>
                <w:szCs w:val="21"/>
              </w:rPr>
              <w:t>具有一定的估值优势。</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其他投资策略：包括固定收益类投资策略、可转换债券投资策略、权证投资策略、股指期货投资策略、存托凭证投资策略。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B12CED" w:rsidRDefault="008D7E6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本基金属于股票型基金产品，在开放式基金中，其预期风险和收益水平高于混合型基金、债券型基金和货币市场基金，属于风险水平较高的基金产品。</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w:t>
            </w:r>
            <w:r w:rsidRPr="00B27A29">
              <w:rPr>
                <w:rFonts w:eastAsiaTheme="minorEastAsia"/>
                <w:color w:val="000000" w:themeColor="text1"/>
                <w:kern w:val="0"/>
                <w:szCs w:val="21"/>
              </w:rPr>
              <w:lastRenderedPageBreak/>
              <w:t>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摩根大盘蓝筹股票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摩根大盘蓝筹股票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376510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016401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91,252,464.97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54,271.09</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摩根大盘蓝筹股票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摩根大盘蓝筹股票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-2,236,736.93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-19,320.76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9,586,113.87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-226,942.37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0.1050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-0.4006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225,767,850.20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132,878.19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2.4741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2.4484</w:t>
            </w:r>
          </w:p>
        </w:tc>
      </w:tr>
    </w:tbl>
    <w:p w:rsidR="00B12CED" w:rsidRDefault="008D7E6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摩根大盘蓝筹股票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12CED">
        <w:tc>
          <w:tcPr>
            <w:tcW w:w="1290" w:type="dxa"/>
            <w:vAlign w:val="center"/>
          </w:tcPr>
          <w:p w:rsidR="00B12CED" w:rsidRDefault="008D7E62">
            <w:pPr>
              <w:jc w:val="left"/>
            </w:pPr>
            <w:r>
              <w:rPr>
                <w:rFonts w:eastAsiaTheme="minorEastAsia"/>
                <w:color w:val="000000" w:themeColor="text1"/>
                <w:szCs w:val="21"/>
              </w:rPr>
              <w:t>过去三个月</w:t>
            </w:r>
          </w:p>
        </w:tc>
        <w:tc>
          <w:tcPr>
            <w:tcW w:w="1291" w:type="dxa"/>
            <w:vAlign w:val="center"/>
          </w:tcPr>
          <w:p w:rsidR="00B12CED" w:rsidRDefault="008D7E62">
            <w:pPr>
              <w:jc w:val="right"/>
            </w:pPr>
            <w:r>
              <w:rPr>
                <w:rFonts w:eastAsiaTheme="minorEastAsia"/>
                <w:color w:val="000000" w:themeColor="text1"/>
                <w:szCs w:val="21"/>
              </w:rPr>
              <w:t>4.40%</w:t>
            </w:r>
          </w:p>
        </w:tc>
        <w:tc>
          <w:tcPr>
            <w:tcW w:w="1291" w:type="dxa"/>
            <w:vAlign w:val="center"/>
          </w:tcPr>
          <w:p w:rsidR="00B12CED" w:rsidRDefault="008D7E62">
            <w:pPr>
              <w:jc w:val="right"/>
            </w:pPr>
            <w:r>
              <w:rPr>
                <w:rFonts w:eastAsiaTheme="minorEastAsia"/>
                <w:color w:val="000000" w:themeColor="text1"/>
                <w:szCs w:val="21"/>
              </w:rPr>
              <w:t>0.91%</w:t>
            </w:r>
          </w:p>
        </w:tc>
        <w:tc>
          <w:tcPr>
            <w:tcW w:w="1291" w:type="dxa"/>
            <w:vAlign w:val="center"/>
          </w:tcPr>
          <w:p w:rsidR="00B12CED" w:rsidRDefault="008D7E62">
            <w:pPr>
              <w:jc w:val="right"/>
            </w:pPr>
            <w:r>
              <w:rPr>
                <w:rFonts w:eastAsiaTheme="minorEastAsia"/>
                <w:color w:val="000000" w:themeColor="text1"/>
                <w:szCs w:val="21"/>
              </w:rPr>
              <w:t>4.04%</w:t>
            </w:r>
          </w:p>
        </w:tc>
        <w:tc>
          <w:tcPr>
            <w:tcW w:w="1291" w:type="dxa"/>
            <w:vAlign w:val="center"/>
          </w:tcPr>
          <w:p w:rsidR="00B12CED" w:rsidRDefault="008D7E62">
            <w:pPr>
              <w:jc w:val="right"/>
            </w:pPr>
            <w:r>
              <w:rPr>
                <w:rFonts w:eastAsiaTheme="minorEastAsia"/>
                <w:color w:val="000000" w:themeColor="text1"/>
                <w:szCs w:val="21"/>
              </w:rPr>
              <w:t>0.73%</w:t>
            </w:r>
          </w:p>
        </w:tc>
        <w:tc>
          <w:tcPr>
            <w:tcW w:w="1291" w:type="dxa"/>
            <w:vAlign w:val="center"/>
          </w:tcPr>
          <w:p w:rsidR="00B12CED" w:rsidRDefault="008D7E62">
            <w:pPr>
              <w:jc w:val="right"/>
            </w:pPr>
            <w:r>
              <w:rPr>
                <w:rFonts w:eastAsiaTheme="minorEastAsia"/>
                <w:color w:val="000000" w:themeColor="text1"/>
                <w:szCs w:val="21"/>
              </w:rPr>
              <w:t>0.36%</w:t>
            </w:r>
          </w:p>
        </w:tc>
        <w:tc>
          <w:tcPr>
            <w:tcW w:w="1291" w:type="dxa"/>
            <w:vAlign w:val="center"/>
          </w:tcPr>
          <w:p w:rsidR="00B12CED" w:rsidRDefault="008D7E62">
            <w:pPr>
              <w:jc w:val="right"/>
            </w:pPr>
            <w:r>
              <w:rPr>
                <w:rFonts w:eastAsiaTheme="minorEastAsia"/>
                <w:color w:val="000000" w:themeColor="text1"/>
                <w:szCs w:val="21"/>
              </w:rPr>
              <w:t>0.18%</w:t>
            </w:r>
          </w:p>
        </w:tc>
      </w:tr>
      <w:tr w:rsidR="00B12CED">
        <w:tc>
          <w:tcPr>
            <w:tcW w:w="1290" w:type="dxa"/>
            <w:vAlign w:val="center"/>
          </w:tcPr>
          <w:p w:rsidR="00B12CED" w:rsidRDefault="008D7E62">
            <w:pPr>
              <w:jc w:val="left"/>
            </w:pPr>
            <w:r>
              <w:rPr>
                <w:rFonts w:eastAsiaTheme="minorEastAsia"/>
                <w:color w:val="000000" w:themeColor="text1"/>
                <w:szCs w:val="21"/>
              </w:rPr>
              <w:t>过去六个月</w:t>
            </w:r>
          </w:p>
        </w:tc>
        <w:tc>
          <w:tcPr>
            <w:tcW w:w="1291" w:type="dxa"/>
            <w:vAlign w:val="center"/>
          </w:tcPr>
          <w:p w:rsidR="00B12CED" w:rsidRDefault="008D7E62">
            <w:pPr>
              <w:jc w:val="right"/>
            </w:pPr>
            <w:r>
              <w:rPr>
                <w:rFonts w:eastAsiaTheme="minorEastAsia"/>
                <w:color w:val="000000" w:themeColor="text1"/>
                <w:szCs w:val="21"/>
              </w:rPr>
              <w:t>2.32%</w:t>
            </w:r>
          </w:p>
        </w:tc>
        <w:tc>
          <w:tcPr>
            <w:tcW w:w="1291" w:type="dxa"/>
            <w:vAlign w:val="center"/>
          </w:tcPr>
          <w:p w:rsidR="00B12CED" w:rsidRDefault="008D7E62">
            <w:pPr>
              <w:jc w:val="right"/>
            </w:pPr>
            <w:r>
              <w:rPr>
                <w:rFonts w:eastAsiaTheme="minorEastAsia"/>
                <w:color w:val="000000" w:themeColor="text1"/>
                <w:szCs w:val="21"/>
              </w:rPr>
              <w:t>0.99%</w:t>
            </w:r>
          </w:p>
        </w:tc>
        <w:tc>
          <w:tcPr>
            <w:tcW w:w="1291" w:type="dxa"/>
            <w:vAlign w:val="center"/>
          </w:tcPr>
          <w:p w:rsidR="00B12CED" w:rsidRDefault="008D7E62">
            <w:pPr>
              <w:jc w:val="right"/>
            </w:pPr>
            <w:r>
              <w:rPr>
                <w:rFonts w:eastAsiaTheme="minorEastAsia"/>
                <w:color w:val="000000" w:themeColor="text1"/>
                <w:szCs w:val="21"/>
              </w:rPr>
              <w:t>5.66%</w:t>
            </w:r>
          </w:p>
        </w:tc>
        <w:tc>
          <w:tcPr>
            <w:tcW w:w="1291" w:type="dxa"/>
            <w:vAlign w:val="center"/>
          </w:tcPr>
          <w:p w:rsidR="00B12CED" w:rsidRDefault="008D7E62">
            <w:pPr>
              <w:jc w:val="right"/>
            </w:pPr>
            <w:r>
              <w:rPr>
                <w:rFonts w:eastAsiaTheme="minorEastAsia"/>
                <w:color w:val="000000" w:themeColor="text1"/>
                <w:szCs w:val="21"/>
              </w:rPr>
              <w:t>0.93%</w:t>
            </w:r>
          </w:p>
        </w:tc>
        <w:tc>
          <w:tcPr>
            <w:tcW w:w="1291" w:type="dxa"/>
            <w:vAlign w:val="center"/>
          </w:tcPr>
          <w:p w:rsidR="00B12CED" w:rsidRDefault="008D7E62">
            <w:pPr>
              <w:jc w:val="right"/>
            </w:pPr>
            <w:r>
              <w:rPr>
                <w:rFonts w:eastAsiaTheme="minorEastAsia"/>
                <w:color w:val="000000" w:themeColor="text1"/>
                <w:szCs w:val="21"/>
              </w:rPr>
              <w:t>-3.34%</w:t>
            </w:r>
          </w:p>
        </w:tc>
        <w:tc>
          <w:tcPr>
            <w:tcW w:w="1291" w:type="dxa"/>
            <w:vAlign w:val="center"/>
          </w:tcPr>
          <w:p w:rsidR="00B12CED" w:rsidRDefault="008D7E62">
            <w:pPr>
              <w:jc w:val="right"/>
            </w:pPr>
            <w:r>
              <w:rPr>
                <w:rFonts w:eastAsiaTheme="minorEastAsia"/>
                <w:color w:val="000000" w:themeColor="text1"/>
                <w:szCs w:val="21"/>
              </w:rPr>
              <w:t>0.06%</w:t>
            </w:r>
          </w:p>
        </w:tc>
      </w:tr>
      <w:tr w:rsidR="00B12CED">
        <w:tc>
          <w:tcPr>
            <w:tcW w:w="1290" w:type="dxa"/>
            <w:vAlign w:val="center"/>
          </w:tcPr>
          <w:p w:rsidR="00B12CED" w:rsidRDefault="008D7E62">
            <w:pPr>
              <w:jc w:val="left"/>
            </w:pPr>
            <w:r>
              <w:rPr>
                <w:rFonts w:eastAsiaTheme="minorEastAsia"/>
                <w:color w:val="000000" w:themeColor="text1"/>
                <w:szCs w:val="21"/>
              </w:rPr>
              <w:t>过去一年</w:t>
            </w:r>
          </w:p>
        </w:tc>
        <w:tc>
          <w:tcPr>
            <w:tcW w:w="1291" w:type="dxa"/>
            <w:vAlign w:val="center"/>
          </w:tcPr>
          <w:p w:rsidR="00B12CED" w:rsidRDefault="008D7E62">
            <w:pPr>
              <w:jc w:val="right"/>
            </w:pPr>
            <w:r>
              <w:rPr>
                <w:rFonts w:eastAsiaTheme="minorEastAsia"/>
                <w:color w:val="000000" w:themeColor="text1"/>
                <w:szCs w:val="21"/>
              </w:rPr>
              <w:t>-13.55%</w:t>
            </w:r>
          </w:p>
        </w:tc>
        <w:tc>
          <w:tcPr>
            <w:tcW w:w="1291" w:type="dxa"/>
            <w:vAlign w:val="center"/>
          </w:tcPr>
          <w:p w:rsidR="00B12CED" w:rsidRDefault="008D7E62">
            <w:pPr>
              <w:jc w:val="right"/>
            </w:pPr>
            <w:r>
              <w:rPr>
                <w:rFonts w:eastAsiaTheme="minorEastAsia"/>
                <w:color w:val="000000" w:themeColor="text1"/>
                <w:szCs w:val="21"/>
              </w:rPr>
              <w:t>1.26%</w:t>
            </w:r>
          </w:p>
        </w:tc>
        <w:tc>
          <w:tcPr>
            <w:tcW w:w="1291" w:type="dxa"/>
            <w:vAlign w:val="center"/>
          </w:tcPr>
          <w:p w:rsidR="00B12CED" w:rsidRDefault="008D7E62">
            <w:pPr>
              <w:jc w:val="right"/>
            </w:pPr>
            <w:r>
              <w:rPr>
                <w:rFonts w:eastAsiaTheme="minorEastAsia"/>
                <w:color w:val="000000" w:themeColor="text1"/>
                <w:szCs w:val="21"/>
              </w:rPr>
              <w:t>-2.95%</w:t>
            </w:r>
          </w:p>
        </w:tc>
        <w:tc>
          <w:tcPr>
            <w:tcW w:w="1291" w:type="dxa"/>
            <w:vAlign w:val="center"/>
          </w:tcPr>
          <w:p w:rsidR="00B12CED" w:rsidRDefault="008D7E62">
            <w:pPr>
              <w:jc w:val="right"/>
            </w:pPr>
            <w:r>
              <w:rPr>
                <w:rFonts w:eastAsiaTheme="minorEastAsia"/>
                <w:color w:val="000000" w:themeColor="text1"/>
                <w:szCs w:val="21"/>
              </w:rPr>
              <w:t>0.97%</w:t>
            </w:r>
          </w:p>
        </w:tc>
        <w:tc>
          <w:tcPr>
            <w:tcW w:w="1291" w:type="dxa"/>
            <w:vAlign w:val="center"/>
          </w:tcPr>
          <w:p w:rsidR="00B12CED" w:rsidRDefault="008D7E62">
            <w:pPr>
              <w:jc w:val="right"/>
            </w:pPr>
            <w:r>
              <w:rPr>
                <w:rFonts w:eastAsiaTheme="minorEastAsia"/>
                <w:color w:val="000000" w:themeColor="text1"/>
                <w:szCs w:val="21"/>
              </w:rPr>
              <w:t>-10.60%</w:t>
            </w:r>
          </w:p>
        </w:tc>
        <w:tc>
          <w:tcPr>
            <w:tcW w:w="1291" w:type="dxa"/>
            <w:vAlign w:val="center"/>
          </w:tcPr>
          <w:p w:rsidR="00B12CED" w:rsidRDefault="008D7E62">
            <w:pPr>
              <w:jc w:val="right"/>
            </w:pPr>
            <w:r>
              <w:rPr>
                <w:rFonts w:eastAsiaTheme="minorEastAsia"/>
                <w:color w:val="000000" w:themeColor="text1"/>
                <w:szCs w:val="21"/>
              </w:rPr>
              <w:t>0.29%</w:t>
            </w:r>
          </w:p>
        </w:tc>
      </w:tr>
      <w:tr w:rsidR="00B12CED">
        <w:tc>
          <w:tcPr>
            <w:tcW w:w="1290" w:type="dxa"/>
            <w:vAlign w:val="center"/>
          </w:tcPr>
          <w:p w:rsidR="00B12CED" w:rsidRDefault="008D7E62">
            <w:pPr>
              <w:jc w:val="left"/>
            </w:pPr>
            <w:r>
              <w:rPr>
                <w:rFonts w:eastAsiaTheme="minorEastAsia"/>
                <w:color w:val="000000" w:themeColor="text1"/>
                <w:szCs w:val="21"/>
              </w:rPr>
              <w:t>过去三年</w:t>
            </w:r>
          </w:p>
        </w:tc>
        <w:tc>
          <w:tcPr>
            <w:tcW w:w="1291" w:type="dxa"/>
            <w:vAlign w:val="center"/>
          </w:tcPr>
          <w:p w:rsidR="00B12CED" w:rsidRDefault="008D7E62">
            <w:pPr>
              <w:jc w:val="right"/>
            </w:pPr>
            <w:r>
              <w:rPr>
                <w:rFonts w:eastAsiaTheme="minorEastAsia"/>
                <w:color w:val="000000" w:themeColor="text1"/>
                <w:szCs w:val="21"/>
              </w:rPr>
              <w:t>30.63%</w:t>
            </w:r>
          </w:p>
        </w:tc>
        <w:tc>
          <w:tcPr>
            <w:tcW w:w="1291" w:type="dxa"/>
            <w:vAlign w:val="center"/>
          </w:tcPr>
          <w:p w:rsidR="00B12CED" w:rsidRDefault="008D7E62">
            <w:pPr>
              <w:jc w:val="right"/>
            </w:pPr>
            <w:r>
              <w:rPr>
                <w:rFonts w:eastAsiaTheme="minorEastAsia"/>
                <w:color w:val="000000" w:themeColor="text1"/>
                <w:szCs w:val="21"/>
              </w:rPr>
              <w:t>1.32%</w:t>
            </w:r>
          </w:p>
        </w:tc>
        <w:tc>
          <w:tcPr>
            <w:tcW w:w="1291" w:type="dxa"/>
            <w:vAlign w:val="center"/>
          </w:tcPr>
          <w:p w:rsidR="00B12CED" w:rsidRDefault="008D7E62">
            <w:pPr>
              <w:jc w:val="right"/>
            </w:pPr>
            <w:r>
              <w:rPr>
                <w:rFonts w:eastAsiaTheme="minorEastAsia"/>
                <w:color w:val="000000" w:themeColor="text1"/>
                <w:szCs w:val="21"/>
              </w:rPr>
              <w:t>9.95%</w:t>
            </w:r>
          </w:p>
        </w:tc>
        <w:tc>
          <w:tcPr>
            <w:tcW w:w="1291" w:type="dxa"/>
            <w:vAlign w:val="center"/>
          </w:tcPr>
          <w:p w:rsidR="00B12CED" w:rsidRDefault="008D7E62">
            <w:pPr>
              <w:jc w:val="right"/>
            </w:pPr>
            <w:r>
              <w:rPr>
                <w:rFonts w:eastAsiaTheme="minorEastAsia"/>
                <w:color w:val="000000" w:themeColor="text1"/>
                <w:szCs w:val="21"/>
              </w:rPr>
              <w:t>1.02%</w:t>
            </w:r>
          </w:p>
        </w:tc>
        <w:tc>
          <w:tcPr>
            <w:tcW w:w="1291" w:type="dxa"/>
            <w:vAlign w:val="center"/>
          </w:tcPr>
          <w:p w:rsidR="00B12CED" w:rsidRDefault="008D7E62">
            <w:pPr>
              <w:jc w:val="right"/>
            </w:pPr>
            <w:r>
              <w:rPr>
                <w:rFonts w:eastAsiaTheme="minorEastAsia"/>
                <w:color w:val="000000" w:themeColor="text1"/>
                <w:szCs w:val="21"/>
              </w:rPr>
              <w:t>20.68%</w:t>
            </w:r>
          </w:p>
        </w:tc>
        <w:tc>
          <w:tcPr>
            <w:tcW w:w="1291" w:type="dxa"/>
            <w:vAlign w:val="center"/>
          </w:tcPr>
          <w:p w:rsidR="00B12CED" w:rsidRDefault="008D7E62">
            <w:pPr>
              <w:jc w:val="right"/>
            </w:pPr>
            <w:r>
              <w:rPr>
                <w:rFonts w:eastAsiaTheme="minorEastAsia"/>
                <w:color w:val="000000" w:themeColor="text1"/>
                <w:szCs w:val="21"/>
              </w:rPr>
              <w:t>0.30%</w:t>
            </w:r>
          </w:p>
        </w:tc>
      </w:tr>
      <w:tr w:rsidR="00B12CED">
        <w:tc>
          <w:tcPr>
            <w:tcW w:w="1290" w:type="dxa"/>
            <w:vAlign w:val="center"/>
          </w:tcPr>
          <w:p w:rsidR="00B12CED" w:rsidRDefault="008D7E62">
            <w:pPr>
              <w:jc w:val="left"/>
            </w:pPr>
            <w:r>
              <w:rPr>
                <w:rFonts w:eastAsiaTheme="minorEastAsia"/>
                <w:color w:val="000000" w:themeColor="text1"/>
                <w:szCs w:val="21"/>
              </w:rPr>
              <w:t>过去五年</w:t>
            </w:r>
          </w:p>
        </w:tc>
        <w:tc>
          <w:tcPr>
            <w:tcW w:w="1291" w:type="dxa"/>
            <w:vAlign w:val="center"/>
          </w:tcPr>
          <w:p w:rsidR="00B12CED" w:rsidRDefault="008D7E62">
            <w:pPr>
              <w:jc w:val="right"/>
            </w:pPr>
            <w:r>
              <w:rPr>
                <w:rFonts w:eastAsiaTheme="minorEastAsia"/>
                <w:color w:val="000000" w:themeColor="text1"/>
                <w:szCs w:val="21"/>
              </w:rPr>
              <w:t>44.01%</w:t>
            </w:r>
          </w:p>
        </w:tc>
        <w:tc>
          <w:tcPr>
            <w:tcW w:w="1291" w:type="dxa"/>
            <w:vAlign w:val="center"/>
          </w:tcPr>
          <w:p w:rsidR="00B12CED" w:rsidRDefault="008D7E62">
            <w:pPr>
              <w:jc w:val="right"/>
            </w:pPr>
            <w:r>
              <w:rPr>
                <w:rFonts w:eastAsiaTheme="minorEastAsia"/>
                <w:color w:val="000000" w:themeColor="text1"/>
                <w:szCs w:val="21"/>
              </w:rPr>
              <w:t>1.37%</w:t>
            </w:r>
          </w:p>
        </w:tc>
        <w:tc>
          <w:tcPr>
            <w:tcW w:w="1291" w:type="dxa"/>
            <w:vAlign w:val="center"/>
          </w:tcPr>
          <w:p w:rsidR="00B12CED" w:rsidRDefault="008D7E62">
            <w:pPr>
              <w:jc w:val="right"/>
            </w:pPr>
            <w:r>
              <w:rPr>
                <w:rFonts w:eastAsiaTheme="minorEastAsia"/>
                <w:color w:val="000000" w:themeColor="text1"/>
                <w:szCs w:val="21"/>
              </w:rPr>
              <w:t>6.73%</w:t>
            </w:r>
          </w:p>
        </w:tc>
        <w:tc>
          <w:tcPr>
            <w:tcW w:w="1291" w:type="dxa"/>
            <w:vAlign w:val="center"/>
          </w:tcPr>
          <w:p w:rsidR="00B12CED" w:rsidRDefault="008D7E62">
            <w:pPr>
              <w:jc w:val="right"/>
            </w:pPr>
            <w:r>
              <w:rPr>
                <w:rFonts w:eastAsiaTheme="minorEastAsia"/>
                <w:color w:val="000000" w:themeColor="text1"/>
                <w:szCs w:val="21"/>
              </w:rPr>
              <w:t>1.09%</w:t>
            </w:r>
          </w:p>
        </w:tc>
        <w:tc>
          <w:tcPr>
            <w:tcW w:w="1291" w:type="dxa"/>
            <w:vAlign w:val="center"/>
          </w:tcPr>
          <w:p w:rsidR="00B12CED" w:rsidRDefault="008D7E62">
            <w:pPr>
              <w:jc w:val="right"/>
            </w:pPr>
            <w:r>
              <w:rPr>
                <w:rFonts w:eastAsiaTheme="minorEastAsia"/>
                <w:color w:val="000000" w:themeColor="text1"/>
                <w:szCs w:val="21"/>
              </w:rPr>
              <w:t>37.28%</w:t>
            </w:r>
          </w:p>
        </w:tc>
        <w:tc>
          <w:tcPr>
            <w:tcW w:w="1291" w:type="dxa"/>
            <w:vAlign w:val="center"/>
          </w:tcPr>
          <w:p w:rsidR="00B12CED" w:rsidRDefault="008D7E62">
            <w:pPr>
              <w:jc w:val="right"/>
            </w:pPr>
            <w:r>
              <w:rPr>
                <w:rFonts w:eastAsiaTheme="minorEastAsia"/>
                <w:color w:val="000000" w:themeColor="text1"/>
                <w:szCs w:val="21"/>
              </w:rPr>
              <w:t>0.28%</w:t>
            </w:r>
          </w:p>
        </w:tc>
      </w:tr>
      <w:tr w:rsidR="00B12CED">
        <w:tc>
          <w:tcPr>
            <w:tcW w:w="1290" w:type="dxa"/>
            <w:vAlign w:val="center"/>
          </w:tcPr>
          <w:p w:rsidR="00B12CED" w:rsidRDefault="008D7E62">
            <w:pPr>
              <w:jc w:val="left"/>
            </w:pPr>
            <w:r>
              <w:rPr>
                <w:rFonts w:eastAsiaTheme="minorEastAsia"/>
                <w:color w:val="000000" w:themeColor="text1"/>
                <w:szCs w:val="21"/>
              </w:rPr>
              <w:t>自基金合同生效起至今</w:t>
            </w:r>
          </w:p>
        </w:tc>
        <w:tc>
          <w:tcPr>
            <w:tcW w:w="1291" w:type="dxa"/>
            <w:vAlign w:val="center"/>
          </w:tcPr>
          <w:p w:rsidR="00B12CED" w:rsidRDefault="008D7E62">
            <w:pPr>
              <w:jc w:val="right"/>
            </w:pPr>
            <w:r>
              <w:rPr>
                <w:rFonts w:eastAsiaTheme="minorEastAsia"/>
                <w:color w:val="000000" w:themeColor="text1"/>
                <w:szCs w:val="21"/>
              </w:rPr>
              <w:t>147.41%</w:t>
            </w:r>
          </w:p>
        </w:tc>
        <w:tc>
          <w:tcPr>
            <w:tcW w:w="1291" w:type="dxa"/>
            <w:vAlign w:val="center"/>
          </w:tcPr>
          <w:p w:rsidR="00B12CED" w:rsidRDefault="008D7E62">
            <w:pPr>
              <w:jc w:val="right"/>
            </w:pPr>
            <w:r>
              <w:rPr>
                <w:rFonts w:eastAsiaTheme="minorEastAsia"/>
                <w:color w:val="000000" w:themeColor="text1"/>
                <w:szCs w:val="21"/>
              </w:rPr>
              <w:t>1.46%</w:t>
            </w:r>
          </w:p>
        </w:tc>
        <w:tc>
          <w:tcPr>
            <w:tcW w:w="1291" w:type="dxa"/>
            <w:vAlign w:val="center"/>
          </w:tcPr>
          <w:p w:rsidR="00B12CED" w:rsidRDefault="008D7E62">
            <w:pPr>
              <w:jc w:val="right"/>
            </w:pPr>
            <w:r>
              <w:rPr>
                <w:rFonts w:eastAsiaTheme="minorEastAsia"/>
                <w:color w:val="000000" w:themeColor="text1"/>
                <w:szCs w:val="21"/>
              </w:rPr>
              <w:t>30.49%</w:t>
            </w:r>
          </w:p>
        </w:tc>
        <w:tc>
          <w:tcPr>
            <w:tcW w:w="1291" w:type="dxa"/>
            <w:vAlign w:val="center"/>
          </w:tcPr>
          <w:p w:rsidR="00B12CED" w:rsidRDefault="008D7E62">
            <w:pPr>
              <w:jc w:val="right"/>
            </w:pPr>
            <w:r>
              <w:rPr>
                <w:rFonts w:eastAsiaTheme="minorEastAsia"/>
                <w:color w:val="000000" w:themeColor="text1"/>
                <w:szCs w:val="21"/>
              </w:rPr>
              <w:t>1.19%</w:t>
            </w:r>
          </w:p>
        </w:tc>
        <w:tc>
          <w:tcPr>
            <w:tcW w:w="1291" w:type="dxa"/>
            <w:vAlign w:val="center"/>
          </w:tcPr>
          <w:p w:rsidR="00B12CED" w:rsidRDefault="008D7E62">
            <w:pPr>
              <w:jc w:val="right"/>
            </w:pPr>
            <w:r>
              <w:rPr>
                <w:rFonts w:eastAsiaTheme="minorEastAsia"/>
                <w:color w:val="000000" w:themeColor="text1"/>
                <w:szCs w:val="21"/>
              </w:rPr>
              <w:t>116.92%</w:t>
            </w:r>
          </w:p>
        </w:tc>
        <w:tc>
          <w:tcPr>
            <w:tcW w:w="1291" w:type="dxa"/>
            <w:vAlign w:val="center"/>
          </w:tcPr>
          <w:p w:rsidR="00B12CED" w:rsidRDefault="008D7E62">
            <w:pPr>
              <w:jc w:val="right"/>
            </w:pPr>
            <w:r>
              <w:rPr>
                <w:rFonts w:eastAsiaTheme="minorEastAsia"/>
                <w:color w:val="000000" w:themeColor="text1"/>
                <w:szCs w:val="21"/>
              </w:rPr>
              <w:t>0.27%</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摩根大盘蓝筹股票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12CED">
        <w:tc>
          <w:tcPr>
            <w:tcW w:w="1290" w:type="dxa"/>
            <w:vAlign w:val="center"/>
          </w:tcPr>
          <w:p w:rsidR="00B12CED" w:rsidRDefault="008D7E62">
            <w:pPr>
              <w:jc w:val="left"/>
            </w:pPr>
            <w:r>
              <w:rPr>
                <w:rFonts w:eastAsiaTheme="minorEastAsia"/>
                <w:color w:val="000000" w:themeColor="text1"/>
                <w:szCs w:val="21"/>
              </w:rPr>
              <w:t>过去三个月</w:t>
            </w:r>
          </w:p>
        </w:tc>
        <w:tc>
          <w:tcPr>
            <w:tcW w:w="1291" w:type="dxa"/>
            <w:vAlign w:val="center"/>
          </w:tcPr>
          <w:p w:rsidR="00B12CED" w:rsidRDefault="008D7E62">
            <w:pPr>
              <w:jc w:val="right"/>
            </w:pPr>
            <w:r>
              <w:rPr>
                <w:rFonts w:eastAsiaTheme="minorEastAsia"/>
                <w:color w:val="000000" w:themeColor="text1"/>
                <w:szCs w:val="21"/>
              </w:rPr>
              <w:t>3.51%</w:t>
            </w:r>
          </w:p>
        </w:tc>
        <w:tc>
          <w:tcPr>
            <w:tcW w:w="1291" w:type="dxa"/>
            <w:vAlign w:val="center"/>
          </w:tcPr>
          <w:p w:rsidR="00B12CED" w:rsidRDefault="008D7E62">
            <w:pPr>
              <w:jc w:val="right"/>
            </w:pPr>
            <w:r>
              <w:rPr>
                <w:rFonts w:eastAsiaTheme="minorEastAsia"/>
                <w:color w:val="000000" w:themeColor="text1"/>
                <w:szCs w:val="21"/>
              </w:rPr>
              <w:t>0.88%</w:t>
            </w:r>
          </w:p>
        </w:tc>
        <w:tc>
          <w:tcPr>
            <w:tcW w:w="1291" w:type="dxa"/>
            <w:vAlign w:val="center"/>
          </w:tcPr>
          <w:p w:rsidR="00B12CED" w:rsidRDefault="008D7E62">
            <w:pPr>
              <w:jc w:val="right"/>
            </w:pPr>
            <w:r>
              <w:rPr>
                <w:rFonts w:eastAsiaTheme="minorEastAsia"/>
                <w:color w:val="000000" w:themeColor="text1"/>
                <w:szCs w:val="21"/>
              </w:rPr>
              <w:t>4.04%</w:t>
            </w:r>
          </w:p>
        </w:tc>
        <w:tc>
          <w:tcPr>
            <w:tcW w:w="1291" w:type="dxa"/>
            <w:vAlign w:val="center"/>
          </w:tcPr>
          <w:p w:rsidR="00B12CED" w:rsidRDefault="008D7E62">
            <w:pPr>
              <w:jc w:val="right"/>
            </w:pPr>
            <w:r>
              <w:rPr>
                <w:rFonts w:eastAsiaTheme="minorEastAsia"/>
                <w:color w:val="000000" w:themeColor="text1"/>
                <w:szCs w:val="21"/>
              </w:rPr>
              <w:t>0.73%</w:t>
            </w:r>
          </w:p>
        </w:tc>
        <w:tc>
          <w:tcPr>
            <w:tcW w:w="1291" w:type="dxa"/>
            <w:vAlign w:val="center"/>
          </w:tcPr>
          <w:p w:rsidR="00B12CED" w:rsidRDefault="008D7E62">
            <w:pPr>
              <w:jc w:val="right"/>
            </w:pPr>
            <w:r>
              <w:rPr>
                <w:rFonts w:eastAsiaTheme="minorEastAsia"/>
                <w:color w:val="000000" w:themeColor="text1"/>
                <w:szCs w:val="21"/>
              </w:rPr>
              <w:t>-0.53%</w:t>
            </w:r>
          </w:p>
        </w:tc>
        <w:tc>
          <w:tcPr>
            <w:tcW w:w="1291" w:type="dxa"/>
            <w:vAlign w:val="center"/>
          </w:tcPr>
          <w:p w:rsidR="00B12CED" w:rsidRDefault="008D7E62">
            <w:pPr>
              <w:jc w:val="right"/>
            </w:pPr>
            <w:r>
              <w:rPr>
                <w:rFonts w:eastAsiaTheme="minorEastAsia"/>
                <w:color w:val="000000" w:themeColor="text1"/>
                <w:szCs w:val="21"/>
              </w:rPr>
              <w:t>0.15%</w:t>
            </w:r>
          </w:p>
        </w:tc>
      </w:tr>
      <w:tr w:rsidR="00B12CED">
        <w:tc>
          <w:tcPr>
            <w:tcW w:w="1290" w:type="dxa"/>
            <w:vAlign w:val="center"/>
          </w:tcPr>
          <w:p w:rsidR="00B12CED" w:rsidRDefault="008D7E62">
            <w:pPr>
              <w:jc w:val="left"/>
            </w:pPr>
            <w:r>
              <w:rPr>
                <w:rFonts w:eastAsiaTheme="minorEastAsia"/>
                <w:color w:val="000000" w:themeColor="text1"/>
                <w:szCs w:val="21"/>
              </w:rPr>
              <w:t>过去六个月</w:t>
            </w:r>
          </w:p>
        </w:tc>
        <w:tc>
          <w:tcPr>
            <w:tcW w:w="1291" w:type="dxa"/>
            <w:vAlign w:val="center"/>
          </w:tcPr>
          <w:p w:rsidR="00B12CED" w:rsidRDefault="008D7E62">
            <w:pPr>
              <w:jc w:val="right"/>
            </w:pPr>
            <w:r>
              <w:rPr>
                <w:rFonts w:eastAsiaTheme="minorEastAsia"/>
                <w:color w:val="000000" w:themeColor="text1"/>
                <w:szCs w:val="21"/>
              </w:rPr>
              <w:t>1.29%</w:t>
            </w:r>
          </w:p>
        </w:tc>
        <w:tc>
          <w:tcPr>
            <w:tcW w:w="1291" w:type="dxa"/>
            <w:vAlign w:val="center"/>
          </w:tcPr>
          <w:p w:rsidR="00B12CED" w:rsidRDefault="008D7E62">
            <w:pPr>
              <w:jc w:val="right"/>
            </w:pPr>
            <w:r>
              <w:rPr>
                <w:rFonts w:eastAsiaTheme="minorEastAsia"/>
                <w:color w:val="000000" w:themeColor="text1"/>
                <w:szCs w:val="21"/>
              </w:rPr>
              <w:t>0.98%</w:t>
            </w:r>
          </w:p>
        </w:tc>
        <w:tc>
          <w:tcPr>
            <w:tcW w:w="1291" w:type="dxa"/>
            <w:vAlign w:val="center"/>
          </w:tcPr>
          <w:p w:rsidR="00B12CED" w:rsidRDefault="008D7E62">
            <w:pPr>
              <w:jc w:val="right"/>
            </w:pPr>
            <w:r>
              <w:rPr>
                <w:rFonts w:eastAsiaTheme="minorEastAsia"/>
                <w:color w:val="000000" w:themeColor="text1"/>
                <w:szCs w:val="21"/>
              </w:rPr>
              <w:t>5.66%</w:t>
            </w:r>
          </w:p>
        </w:tc>
        <w:tc>
          <w:tcPr>
            <w:tcW w:w="1291" w:type="dxa"/>
            <w:vAlign w:val="center"/>
          </w:tcPr>
          <w:p w:rsidR="00B12CED" w:rsidRDefault="008D7E62">
            <w:pPr>
              <w:jc w:val="right"/>
            </w:pPr>
            <w:r>
              <w:rPr>
                <w:rFonts w:eastAsiaTheme="minorEastAsia"/>
                <w:color w:val="000000" w:themeColor="text1"/>
                <w:szCs w:val="21"/>
              </w:rPr>
              <w:t>0.93%</w:t>
            </w:r>
          </w:p>
        </w:tc>
        <w:tc>
          <w:tcPr>
            <w:tcW w:w="1291" w:type="dxa"/>
            <w:vAlign w:val="center"/>
          </w:tcPr>
          <w:p w:rsidR="00B12CED" w:rsidRDefault="008D7E62">
            <w:pPr>
              <w:jc w:val="right"/>
            </w:pPr>
            <w:r>
              <w:rPr>
                <w:rFonts w:eastAsiaTheme="minorEastAsia"/>
                <w:color w:val="000000" w:themeColor="text1"/>
                <w:szCs w:val="21"/>
              </w:rPr>
              <w:t>-4.37%</w:t>
            </w:r>
          </w:p>
        </w:tc>
        <w:tc>
          <w:tcPr>
            <w:tcW w:w="1291" w:type="dxa"/>
            <w:vAlign w:val="center"/>
          </w:tcPr>
          <w:p w:rsidR="00B12CED" w:rsidRDefault="008D7E62">
            <w:pPr>
              <w:jc w:val="right"/>
            </w:pPr>
            <w:r>
              <w:rPr>
                <w:rFonts w:eastAsiaTheme="minorEastAsia"/>
                <w:color w:val="000000" w:themeColor="text1"/>
                <w:szCs w:val="21"/>
              </w:rPr>
              <w:t>0.05%</w:t>
            </w:r>
          </w:p>
        </w:tc>
      </w:tr>
      <w:tr w:rsidR="00B12CED">
        <w:tc>
          <w:tcPr>
            <w:tcW w:w="1290" w:type="dxa"/>
            <w:vAlign w:val="center"/>
          </w:tcPr>
          <w:p w:rsidR="00B12CED" w:rsidRDefault="008D7E62">
            <w:pPr>
              <w:jc w:val="left"/>
            </w:pPr>
            <w:r>
              <w:rPr>
                <w:rFonts w:eastAsiaTheme="minorEastAsia"/>
                <w:color w:val="000000" w:themeColor="text1"/>
                <w:szCs w:val="21"/>
              </w:rPr>
              <w:t>过去一年</w:t>
            </w:r>
          </w:p>
        </w:tc>
        <w:tc>
          <w:tcPr>
            <w:tcW w:w="1291" w:type="dxa"/>
            <w:vAlign w:val="center"/>
          </w:tcPr>
          <w:p w:rsidR="00B12CED" w:rsidRDefault="008D7E62">
            <w:pPr>
              <w:jc w:val="right"/>
            </w:pPr>
            <w:r>
              <w:rPr>
                <w:rFonts w:eastAsiaTheme="minorEastAsia"/>
                <w:color w:val="000000" w:themeColor="text1"/>
                <w:szCs w:val="21"/>
              </w:rPr>
              <w:t>-</w:t>
            </w:r>
          </w:p>
        </w:tc>
        <w:tc>
          <w:tcPr>
            <w:tcW w:w="1291" w:type="dxa"/>
            <w:vAlign w:val="center"/>
          </w:tcPr>
          <w:p w:rsidR="00B12CED" w:rsidRDefault="008D7E62">
            <w:pPr>
              <w:jc w:val="right"/>
            </w:pPr>
            <w:r>
              <w:rPr>
                <w:rFonts w:eastAsiaTheme="minorEastAsia"/>
                <w:color w:val="000000" w:themeColor="text1"/>
                <w:szCs w:val="21"/>
              </w:rPr>
              <w:t>-</w:t>
            </w:r>
          </w:p>
        </w:tc>
        <w:tc>
          <w:tcPr>
            <w:tcW w:w="1291" w:type="dxa"/>
            <w:vAlign w:val="center"/>
          </w:tcPr>
          <w:p w:rsidR="00B12CED" w:rsidRDefault="008D7E62">
            <w:pPr>
              <w:jc w:val="right"/>
            </w:pPr>
            <w:r>
              <w:rPr>
                <w:rFonts w:eastAsiaTheme="minorEastAsia"/>
                <w:color w:val="000000" w:themeColor="text1"/>
                <w:szCs w:val="21"/>
              </w:rPr>
              <w:t>-</w:t>
            </w:r>
          </w:p>
        </w:tc>
        <w:tc>
          <w:tcPr>
            <w:tcW w:w="1291" w:type="dxa"/>
            <w:vAlign w:val="center"/>
          </w:tcPr>
          <w:p w:rsidR="00B12CED" w:rsidRDefault="008D7E62">
            <w:pPr>
              <w:jc w:val="right"/>
            </w:pPr>
            <w:r>
              <w:rPr>
                <w:rFonts w:eastAsiaTheme="minorEastAsia"/>
                <w:color w:val="000000" w:themeColor="text1"/>
                <w:szCs w:val="21"/>
              </w:rPr>
              <w:t>-</w:t>
            </w:r>
          </w:p>
        </w:tc>
        <w:tc>
          <w:tcPr>
            <w:tcW w:w="1291" w:type="dxa"/>
            <w:vAlign w:val="center"/>
          </w:tcPr>
          <w:p w:rsidR="00B12CED" w:rsidRDefault="008D7E62">
            <w:pPr>
              <w:jc w:val="right"/>
            </w:pPr>
            <w:r>
              <w:rPr>
                <w:rFonts w:eastAsiaTheme="minorEastAsia"/>
                <w:color w:val="000000" w:themeColor="text1"/>
                <w:szCs w:val="21"/>
              </w:rPr>
              <w:t>-</w:t>
            </w:r>
          </w:p>
        </w:tc>
        <w:tc>
          <w:tcPr>
            <w:tcW w:w="1291" w:type="dxa"/>
            <w:vAlign w:val="center"/>
          </w:tcPr>
          <w:p w:rsidR="00B12CED" w:rsidRDefault="008D7E62">
            <w:pPr>
              <w:jc w:val="right"/>
            </w:pPr>
            <w:r>
              <w:rPr>
                <w:rFonts w:eastAsiaTheme="minorEastAsia"/>
                <w:color w:val="000000" w:themeColor="text1"/>
                <w:szCs w:val="21"/>
              </w:rPr>
              <w:t>-</w:t>
            </w:r>
          </w:p>
        </w:tc>
      </w:tr>
      <w:tr w:rsidR="00B12CED">
        <w:tc>
          <w:tcPr>
            <w:tcW w:w="1290" w:type="dxa"/>
            <w:vAlign w:val="center"/>
          </w:tcPr>
          <w:p w:rsidR="00B12CED" w:rsidRDefault="008D7E62">
            <w:pPr>
              <w:jc w:val="left"/>
            </w:pPr>
            <w:r>
              <w:rPr>
                <w:rFonts w:eastAsiaTheme="minorEastAsia"/>
                <w:color w:val="000000" w:themeColor="text1"/>
                <w:szCs w:val="21"/>
              </w:rPr>
              <w:t>过去三年</w:t>
            </w:r>
          </w:p>
        </w:tc>
        <w:tc>
          <w:tcPr>
            <w:tcW w:w="1291" w:type="dxa"/>
            <w:vAlign w:val="center"/>
          </w:tcPr>
          <w:p w:rsidR="00B12CED" w:rsidRDefault="008D7E62">
            <w:pPr>
              <w:jc w:val="right"/>
            </w:pPr>
            <w:r>
              <w:rPr>
                <w:rFonts w:eastAsiaTheme="minorEastAsia"/>
                <w:color w:val="000000" w:themeColor="text1"/>
                <w:szCs w:val="21"/>
              </w:rPr>
              <w:t>-</w:t>
            </w:r>
          </w:p>
        </w:tc>
        <w:tc>
          <w:tcPr>
            <w:tcW w:w="1291" w:type="dxa"/>
            <w:vAlign w:val="center"/>
          </w:tcPr>
          <w:p w:rsidR="00B12CED" w:rsidRDefault="008D7E62">
            <w:pPr>
              <w:jc w:val="right"/>
            </w:pPr>
            <w:r>
              <w:rPr>
                <w:rFonts w:eastAsiaTheme="minorEastAsia"/>
                <w:color w:val="000000" w:themeColor="text1"/>
                <w:szCs w:val="21"/>
              </w:rPr>
              <w:t>-</w:t>
            </w:r>
          </w:p>
        </w:tc>
        <w:tc>
          <w:tcPr>
            <w:tcW w:w="1291" w:type="dxa"/>
            <w:vAlign w:val="center"/>
          </w:tcPr>
          <w:p w:rsidR="00B12CED" w:rsidRDefault="008D7E62">
            <w:pPr>
              <w:jc w:val="right"/>
            </w:pPr>
            <w:r>
              <w:rPr>
                <w:rFonts w:eastAsiaTheme="minorEastAsia"/>
                <w:color w:val="000000" w:themeColor="text1"/>
                <w:szCs w:val="21"/>
              </w:rPr>
              <w:t>-</w:t>
            </w:r>
          </w:p>
        </w:tc>
        <w:tc>
          <w:tcPr>
            <w:tcW w:w="1291" w:type="dxa"/>
            <w:vAlign w:val="center"/>
          </w:tcPr>
          <w:p w:rsidR="00B12CED" w:rsidRDefault="008D7E62">
            <w:pPr>
              <w:jc w:val="right"/>
            </w:pPr>
            <w:r>
              <w:rPr>
                <w:rFonts w:eastAsiaTheme="minorEastAsia"/>
                <w:color w:val="000000" w:themeColor="text1"/>
                <w:szCs w:val="21"/>
              </w:rPr>
              <w:t>-</w:t>
            </w:r>
          </w:p>
        </w:tc>
        <w:tc>
          <w:tcPr>
            <w:tcW w:w="1291" w:type="dxa"/>
            <w:vAlign w:val="center"/>
          </w:tcPr>
          <w:p w:rsidR="00B12CED" w:rsidRDefault="008D7E62">
            <w:pPr>
              <w:jc w:val="right"/>
            </w:pPr>
            <w:r>
              <w:rPr>
                <w:rFonts w:eastAsiaTheme="minorEastAsia"/>
                <w:color w:val="000000" w:themeColor="text1"/>
                <w:szCs w:val="21"/>
              </w:rPr>
              <w:t>-</w:t>
            </w:r>
          </w:p>
        </w:tc>
        <w:tc>
          <w:tcPr>
            <w:tcW w:w="1291" w:type="dxa"/>
            <w:vAlign w:val="center"/>
          </w:tcPr>
          <w:p w:rsidR="00B12CED" w:rsidRDefault="008D7E62">
            <w:pPr>
              <w:jc w:val="right"/>
            </w:pPr>
            <w:r>
              <w:rPr>
                <w:rFonts w:eastAsiaTheme="minorEastAsia"/>
                <w:color w:val="000000" w:themeColor="text1"/>
                <w:szCs w:val="21"/>
              </w:rPr>
              <w:t>-</w:t>
            </w:r>
          </w:p>
        </w:tc>
      </w:tr>
      <w:tr w:rsidR="00B12CED">
        <w:tc>
          <w:tcPr>
            <w:tcW w:w="1290" w:type="dxa"/>
            <w:vAlign w:val="center"/>
          </w:tcPr>
          <w:p w:rsidR="00B12CED" w:rsidRDefault="008D7E62">
            <w:pPr>
              <w:jc w:val="left"/>
            </w:pPr>
            <w:r>
              <w:rPr>
                <w:rFonts w:eastAsiaTheme="minorEastAsia"/>
                <w:color w:val="000000" w:themeColor="text1"/>
                <w:szCs w:val="21"/>
              </w:rPr>
              <w:t>过去五年</w:t>
            </w:r>
          </w:p>
        </w:tc>
        <w:tc>
          <w:tcPr>
            <w:tcW w:w="1291" w:type="dxa"/>
            <w:vAlign w:val="center"/>
          </w:tcPr>
          <w:p w:rsidR="00B12CED" w:rsidRDefault="008D7E62">
            <w:pPr>
              <w:jc w:val="right"/>
            </w:pPr>
            <w:r>
              <w:rPr>
                <w:rFonts w:eastAsiaTheme="minorEastAsia"/>
                <w:color w:val="000000" w:themeColor="text1"/>
                <w:szCs w:val="21"/>
              </w:rPr>
              <w:t>-</w:t>
            </w:r>
          </w:p>
        </w:tc>
        <w:tc>
          <w:tcPr>
            <w:tcW w:w="1291" w:type="dxa"/>
            <w:vAlign w:val="center"/>
          </w:tcPr>
          <w:p w:rsidR="00B12CED" w:rsidRDefault="008D7E62">
            <w:pPr>
              <w:jc w:val="right"/>
            </w:pPr>
            <w:r>
              <w:rPr>
                <w:rFonts w:eastAsiaTheme="minorEastAsia"/>
                <w:color w:val="000000" w:themeColor="text1"/>
                <w:szCs w:val="21"/>
              </w:rPr>
              <w:t>-</w:t>
            </w:r>
          </w:p>
        </w:tc>
        <w:tc>
          <w:tcPr>
            <w:tcW w:w="1291" w:type="dxa"/>
            <w:vAlign w:val="center"/>
          </w:tcPr>
          <w:p w:rsidR="00B12CED" w:rsidRDefault="008D7E62">
            <w:pPr>
              <w:jc w:val="right"/>
            </w:pPr>
            <w:r>
              <w:rPr>
                <w:rFonts w:eastAsiaTheme="minorEastAsia"/>
                <w:color w:val="000000" w:themeColor="text1"/>
                <w:szCs w:val="21"/>
              </w:rPr>
              <w:t>-</w:t>
            </w:r>
          </w:p>
        </w:tc>
        <w:tc>
          <w:tcPr>
            <w:tcW w:w="1291" w:type="dxa"/>
            <w:vAlign w:val="center"/>
          </w:tcPr>
          <w:p w:rsidR="00B12CED" w:rsidRDefault="008D7E62">
            <w:pPr>
              <w:jc w:val="right"/>
            </w:pPr>
            <w:r>
              <w:rPr>
                <w:rFonts w:eastAsiaTheme="minorEastAsia"/>
                <w:color w:val="000000" w:themeColor="text1"/>
                <w:szCs w:val="21"/>
              </w:rPr>
              <w:t>-</w:t>
            </w:r>
          </w:p>
        </w:tc>
        <w:tc>
          <w:tcPr>
            <w:tcW w:w="1291" w:type="dxa"/>
            <w:vAlign w:val="center"/>
          </w:tcPr>
          <w:p w:rsidR="00B12CED" w:rsidRDefault="008D7E62">
            <w:pPr>
              <w:jc w:val="right"/>
            </w:pPr>
            <w:r>
              <w:rPr>
                <w:rFonts w:eastAsiaTheme="minorEastAsia"/>
                <w:color w:val="000000" w:themeColor="text1"/>
                <w:szCs w:val="21"/>
              </w:rPr>
              <w:t>-</w:t>
            </w:r>
          </w:p>
        </w:tc>
        <w:tc>
          <w:tcPr>
            <w:tcW w:w="1291" w:type="dxa"/>
            <w:vAlign w:val="center"/>
          </w:tcPr>
          <w:p w:rsidR="00B12CED" w:rsidRDefault="008D7E62">
            <w:pPr>
              <w:jc w:val="right"/>
            </w:pPr>
            <w:r>
              <w:rPr>
                <w:rFonts w:eastAsiaTheme="minorEastAsia"/>
                <w:color w:val="000000" w:themeColor="text1"/>
                <w:szCs w:val="21"/>
              </w:rPr>
              <w:t>-</w:t>
            </w:r>
          </w:p>
        </w:tc>
      </w:tr>
      <w:tr w:rsidR="00B12CED">
        <w:tc>
          <w:tcPr>
            <w:tcW w:w="1290" w:type="dxa"/>
            <w:vAlign w:val="center"/>
          </w:tcPr>
          <w:p w:rsidR="00B12CED" w:rsidRDefault="008D7E62">
            <w:pPr>
              <w:jc w:val="left"/>
            </w:pPr>
            <w:r>
              <w:rPr>
                <w:rFonts w:eastAsiaTheme="minorEastAsia"/>
                <w:color w:val="000000" w:themeColor="text1"/>
                <w:szCs w:val="21"/>
              </w:rPr>
              <w:t>自基金合同生效起至今</w:t>
            </w:r>
          </w:p>
        </w:tc>
        <w:tc>
          <w:tcPr>
            <w:tcW w:w="1291" w:type="dxa"/>
            <w:vAlign w:val="center"/>
          </w:tcPr>
          <w:p w:rsidR="00B12CED" w:rsidRDefault="008D7E62">
            <w:pPr>
              <w:jc w:val="right"/>
            </w:pPr>
            <w:r>
              <w:rPr>
                <w:rFonts w:eastAsiaTheme="minorEastAsia"/>
                <w:color w:val="000000" w:themeColor="text1"/>
                <w:szCs w:val="21"/>
              </w:rPr>
              <w:t>-16.49%</w:t>
            </w:r>
          </w:p>
        </w:tc>
        <w:tc>
          <w:tcPr>
            <w:tcW w:w="1291" w:type="dxa"/>
            <w:vAlign w:val="center"/>
          </w:tcPr>
          <w:p w:rsidR="00B12CED" w:rsidRDefault="008D7E62">
            <w:pPr>
              <w:jc w:val="right"/>
            </w:pPr>
            <w:r>
              <w:rPr>
                <w:rFonts w:eastAsiaTheme="minorEastAsia"/>
                <w:color w:val="000000" w:themeColor="text1"/>
                <w:szCs w:val="21"/>
              </w:rPr>
              <w:t>1.19%</w:t>
            </w:r>
          </w:p>
        </w:tc>
        <w:tc>
          <w:tcPr>
            <w:tcW w:w="1291" w:type="dxa"/>
            <w:vAlign w:val="center"/>
          </w:tcPr>
          <w:p w:rsidR="00B12CED" w:rsidRDefault="008D7E62">
            <w:pPr>
              <w:jc w:val="right"/>
            </w:pPr>
            <w:r>
              <w:rPr>
                <w:rFonts w:eastAsiaTheme="minorEastAsia"/>
                <w:color w:val="000000" w:themeColor="text1"/>
                <w:szCs w:val="21"/>
              </w:rPr>
              <w:t>-2.41%</w:t>
            </w:r>
          </w:p>
        </w:tc>
        <w:tc>
          <w:tcPr>
            <w:tcW w:w="1291" w:type="dxa"/>
            <w:vAlign w:val="center"/>
          </w:tcPr>
          <w:p w:rsidR="00B12CED" w:rsidRDefault="008D7E62">
            <w:pPr>
              <w:jc w:val="right"/>
            </w:pPr>
            <w:r>
              <w:rPr>
                <w:rFonts w:eastAsiaTheme="minorEastAsia"/>
                <w:color w:val="000000" w:themeColor="text1"/>
                <w:szCs w:val="21"/>
              </w:rPr>
              <w:t>0.90%</w:t>
            </w:r>
          </w:p>
        </w:tc>
        <w:tc>
          <w:tcPr>
            <w:tcW w:w="1291" w:type="dxa"/>
            <w:vAlign w:val="center"/>
          </w:tcPr>
          <w:p w:rsidR="00B12CED" w:rsidRDefault="008D7E62">
            <w:pPr>
              <w:jc w:val="right"/>
            </w:pPr>
            <w:r>
              <w:rPr>
                <w:rFonts w:eastAsiaTheme="minorEastAsia"/>
                <w:color w:val="000000" w:themeColor="text1"/>
                <w:szCs w:val="21"/>
              </w:rPr>
              <w:t>-14.08%</w:t>
            </w:r>
          </w:p>
        </w:tc>
        <w:tc>
          <w:tcPr>
            <w:tcW w:w="1291" w:type="dxa"/>
            <w:vAlign w:val="center"/>
          </w:tcPr>
          <w:p w:rsidR="00B12CED" w:rsidRDefault="008D7E62">
            <w:pPr>
              <w:jc w:val="right"/>
            </w:pPr>
            <w:r>
              <w:rPr>
                <w:rFonts w:eastAsiaTheme="minorEastAsia"/>
                <w:color w:val="000000" w:themeColor="text1"/>
                <w:szCs w:val="21"/>
              </w:rPr>
              <w:t>0.29%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摩根大盘蓝筹股票型证券投资基金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(2010</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20</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．摩根大盘蓝筹股票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．摩根大盘蓝筹股票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B12CED">
        <w:tc>
          <w:tcPr>
            <w:tcW w:w="952" w:type="dxa"/>
            <w:vAlign w:val="center"/>
          </w:tcPr>
          <w:p w:rsidR="00B12CED" w:rsidRDefault="008D7E62">
            <w:pPr>
              <w:jc w:val="center"/>
            </w:pPr>
            <w:r>
              <w:rPr>
                <w:rFonts w:eastAsiaTheme="minorEastAsia"/>
                <w:color w:val="000000" w:themeColor="text1"/>
                <w:szCs w:val="21"/>
              </w:rPr>
              <w:t>朱晓龙</w:t>
            </w:r>
          </w:p>
        </w:tc>
        <w:tc>
          <w:tcPr>
            <w:tcW w:w="930" w:type="dxa"/>
            <w:vAlign w:val="center"/>
          </w:tcPr>
          <w:p w:rsidR="00B12CED" w:rsidRDefault="008D7E62">
            <w:pPr>
              <w:jc w:val="center"/>
            </w:pPr>
            <w:r>
              <w:rPr>
                <w:rFonts w:eastAsiaTheme="minorEastAsia"/>
                <w:color w:val="000000" w:themeColor="text1"/>
                <w:szCs w:val="21"/>
              </w:rPr>
              <w:t>本基金基金经理、研究部总监</w:t>
            </w:r>
          </w:p>
        </w:tc>
        <w:tc>
          <w:tcPr>
            <w:tcW w:w="1210" w:type="dxa"/>
            <w:vAlign w:val="center"/>
          </w:tcPr>
          <w:p w:rsidR="00B12CED" w:rsidRDefault="008D7E62">
            <w:pPr>
              <w:jc w:val="center"/>
            </w:pPr>
            <w:r>
              <w:rPr>
                <w:rFonts w:eastAsiaTheme="minorEastAsia"/>
                <w:color w:val="000000" w:themeColor="text1"/>
                <w:szCs w:val="21"/>
              </w:rPr>
              <w:t>2019-07-19</w:t>
            </w:r>
          </w:p>
        </w:tc>
        <w:tc>
          <w:tcPr>
            <w:tcW w:w="1309" w:type="dxa"/>
            <w:vAlign w:val="center"/>
          </w:tcPr>
          <w:p w:rsidR="00B12CED" w:rsidRDefault="008D7E62">
            <w:pPr>
              <w:jc w:val="center"/>
            </w:pPr>
            <w:r>
              <w:rPr>
                <w:rFonts w:eastAsiaTheme="minorEastAsia"/>
                <w:color w:val="000000" w:themeColor="text1"/>
                <w:szCs w:val="21"/>
              </w:rPr>
              <w:t>-</w:t>
            </w:r>
          </w:p>
        </w:tc>
        <w:tc>
          <w:tcPr>
            <w:tcW w:w="1254" w:type="dxa"/>
            <w:vAlign w:val="center"/>
          </w:tcPr>
          <w:p w:rsidR="00B12CED" w:rsidRDefault="008D7E62">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B12CED" w:rsidRDefault="008D7E62">
            <w:r>
              <w:rPr>
                <w:rFonts w:eastAsiaTheme="minorEastAsia"/>
                <w:color w:val="000000" w:themeColor="text1"/>
                <w:szCs w:val="21"/>
              </w:rPr>
              <w:t>朱晓龙先生曾任平安资产管理有限责任公司研究员。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月起加入摩根基金管理（中国）有限公司（原上投摩根基金管理有限公司），历任行业专家、研究部副总监兼研究基助、研究部总监兼基金经理助理，现任研究部总监兼基金经理。</w:t>
            </w:r>
          </w:p>
        </w:tc>
      </w:tr>
    </w:tbl>
    <w:p w:rsidR="00B12CED" w:rsidRDefault="008D7E6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w:t>
      </w:r>
      <w:r>
        <w:rPr>
          <w:rFonts w:eastAsiaTheme="minorEastAsia"/>
          <w:color w:val="000000" w:themeColor="text1"/>
          <w:szCs w:val="21"/>
        </w:rPr>
        <w:lastRenderedPageBreak/>
        <w:t>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年第一季度，</w:t>
      </w:r>
      <w:r>
        <w:rPr>
          <w:rFonts w:eastAsiaTheme="minorEastAsia"/>
          <w:color w:val="000000" w:themeColor="text1"/>
          <w:szCs w:val="21"/>
        </w:rPr>
        <w:t>A</w:t>
      </w:r>
      <w:r>
        <w:rPr>
          <w:rFonts w:eastAsiaTheme="minorEastAsia"/>
          <w:color w:val="000000" w:themeColor="text1"/>
          <w:szCs w:val="21"/>
        </w:rPr>
        <w:t>股整体呈现震荡走高，以申万行业分类统计来看，计算机、电子、传媒、通信、建筑装饰等行业表现相对靠前；商贸零售、房地产、银行、电力设备、美容护理等行业表现相对落后。</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基本面：地产风险和疫情风险是</w:t>
      </w:r>
      <w:r>
        <w:rPr>
          <w:rFonts w:eastAsiaTheme="minorEastAsia"/>
          <w:color w:val="000000" w:themeColor="text1"/>
          <w:szCs w:val="21"/>
        </w:rPr>
        <w:t>2022</w:t>
      </w:r>
      <w:r>
        <w:rPr>
          <w:rFonts w:eastAsiaTheme="minorEastAsia"/>
          <w:color w:val="000000" w:themeColor="text1"/>
          <w:szCs w:val="21"/>
        </w:rPr>
        <w:t>年压制</w:t>
      </w:r>
      <w:r>
        <w:rPr>
          <w:rFonts w:eastAsiaTheme="minorEastAsia"/>
          <w:color w:val="000000" w:themeColor="text1"/>
          <w:szCs w:val="21"/>
        </w:rPr>
        <w:t>A</w:t>
      </w:r>
      <w:r>
        <w:rPr>
          <w:rFonts w:eastAsiaTheme="minorEastAsia"/>
          <w:color w:val="000000" w:themeColor="text1"/>
          <w:szCs w:val="21"/>
        </w:rPr>
        <w:t>股盈利预期和风险偏好的两大因素。当前，地产在信用端的政策频发、防疫政策优化、政策对于部分产业的纠偏信号明显，宏观不确定性大幅下行，推动</w:t>
      </w:r>
      <w:r>
        <w:rPr>
          <w:rFonts w:eastAsiaTheme="minorEastAsia"/>
          <w:color w:val="000000" w:themeColor="text1"/>
          <w:szCs w:val="21"/>
        </w:rPr>
        <w:t>A</w:t>
      </w:r>
      <w:r>
        <w:rPr>
          <w:rFonts w:eastAsiaTheme="minorEastAsia"/>
          <w:color w:val="000000" w:themeColor="text1"/>
          <w:szCs w:val="21"/>
        </w:rPr>
        <w:t>股整体估值水平抬升。</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资金面：一是美元和美债利率均进入筑顶阶段，推动外部金融条件改善；二是压制信用传导的地产和疫情问题均有所改善，有望推动内部信用边</w:t>
      </w:r>
      <w:r>
        <w:rPr>
          <w:rFonts w:eastAsiaTheme="minorEastAsia"/>
          <w:color w:val="000000" w:themeColor="text1"/>
          <w:szCs w:val="21"/>
        </w:rPr>
        <w:t>际扩张。但两者均需要经历几个阶段，并非一蹴而就的过程。人民币汇率企稳回升，内外金融条件改善，也将助推</w:t>
      </w:r>
      <w:r>
        <w:rPr>
          <w:rFonts w:eastAsiaTheme="minorEastAsia"/>
          <w:color w:val="000000" w:themeColor="text1"/>
          <w:szCs w:val="21"/>
        </w:rPr>
        <w:t>A</w:t>
      </w:r>
      <w:r>
        <w:rPr>
          <w:rFonts w:eastAsiaTheme="minorEastAsia"/>
          <w:color w:val="000000" w:themeColor="text1"/>
          <w:szCs w:val="21"/>
        </w:rPr>
        <w:t>股估值修复。</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展望未来，内需有望贡献更多力量。今年经济增长目标</w:t>
      </w:r>
      <w:r>
        <w:rPr>
          <w:rFonts w:eastAsiaTheme="minorEastAsia"/>
          <w:color w:val="000000" w:themeColor="text1"/>
          <w:szCs w:val="21"/>
        </w:rPr>
        <w:t>5%</w:t>
      </w:r>
      <w:r>
        <w:rPr>
          <w:rFonts w:eastAsiaTheme="minorEastAsia"/>
          <w:color w:val="000000" w:themeColor="text1"/>
          <w:szCs w:val="21"/>
        </w:rPr>
        <w:t>左右的定调，确定了今年经济将处于稳步复苏的态势，受益于经济复苏的产业链值得重点关注；在复苏主线之外，高端制造、技术创新依然是值得长期关注的方向，这两条线索是我国经济长期增长的重要动力源，对这两个领域我们将保持持续关注并在组合中占有一定的配置权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关于基金运作，在个股配置方面，未来本基金将加大各行业中成长性与估值相对匹配的公司进行配置。在行业配置上，我们坚持较为均衡的行业配置思路，追求通过选股获取合理的超额收益。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lastRenderedPageBreak/>
        <w:t>4.4.2</w:t>
      </w:r>
      <w:r w:rsidRPr="00B27A29">
        <w:rPr>
          <w:rFonts w:eastAsiaTheme="minorEastAsia"/>
          <w:color w:val="000000" w:themeColor="text1"/>
          <w:szCs w:val="21"/>
        </w:rPr>
        <w:t>报告期内基金的业绩表现</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:4.40%</w:t>
      </w:r>
      <w:r>
        <w:rPr>
          <w:rFonts w:eastAsiaTheme="minorEastAsia"/>
          <w:color w:val="000000" w:themeColor="text1"/>
          <w:szCs w:val="21"/>
        </w:rPr>
        <w:t>，同期业绩比较基准收益率为</w:t>
      </w:r>
      <w:r>
        <w:rPr>
          <w:rFonts w:eastAsiaTheme="minorEastAsia"/>
          <w:color w:val="000000" w:themeColor="text1"/>
          <w:szCs w:val="21"/>
        </w:rPr>
        <w:t>:4.04%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:3.51%</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:4.04%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200,074,671.55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88.07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200,074,671.55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88.07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26,738,090.83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11.77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359,207.83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227,171,970.21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w:t>
            </w:r>
            <w:r w:rsidRPr="00B27A29">
              <w:rPr>
                <w:rFonts w:eastAsiaTheme="minorEastAsia"/>
                <w:color w:val="000000" w:themeColor="text1"/>
                <w:szCs w:val="21"/>
              </w:rPr>
              <w:lastRenderedPageBreak/>
              <w:t>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61,286.40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0.03</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129,630,961.41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57.38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9,303,162.60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9,042,877.28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3,475,107.00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16,118.86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19,502,385.00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29,042,773.00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12.86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200,074,671.55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88.57</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B12CED">
        <w:tc>
          <w:tcPr>
            <w:tcW w:w="817" w:type="dxa"/>
            <w:vAlign w:val="center"/>
          </w:tcPr>
          <w:p w:rsidR="00B12CED" w:rsidRDefault="008D7E62">
            <w:pPr>
              <w:jc w:val="center"/>
            </w:pPr>
            <w:r>
              <w:rPr>
                <w:rFonts w:eastAsiaTheme="minorEastAsia"/>
                <w:kern w:val="0"/>
                <w:szCs w:val="21"/>
              </w:rPr>
              <w:t>1</w:t>
            </w:r>
          </w:p>
        </w:tc>
        <w:tc>
          <w:tcPr>
            <w:tcW w:w="1276" w:type="dxa"/>
            <w:vAlign w:val="center"/>
          </w:tcPr>
          <w:p w:rsidR="00B12CED" w:rsidRDefault="008D7E62">
            <w:pPr>
              <w:jc w:val="center"/>
            </w:pPr>
            <w:r>
              <w:rPr>
                <w:rFonts w:eastAsiaTheme="minorEastAsia"/>
                <w:kern w:val="0"/>
                <w:szCs w:val="21"/>
              </w:rPr>
              <w:t>002605</w:t>
            </w:r>
          </w:p>
        </w:tc>
        <w:tc>
          <w:tcPr>
            <w:tcW w:w="1701" w:type="dxa"/>
            <w:vAlign w:val="center"/>
          </w:tcPr>
          <w:p w:rsidR="00B12CED" w:rsidRDefault="008D7E62">
            <w:pPr>
              <w:jc w:val="center"/>
            </w:pPr>
            <w:r>
              <w:rPr>
                <w:rFonts w:eastAsiaTheme="minorEastAsia"/>
                <w:kern w:val="0"/>
                <w:szCs w:val="21"/>
              </w:rPr>
              <w:t>姚记科技</w:t>
            </w:r>
          </w:p>
        </w:tc>
        <w:tc>
          <w:tcPr>
            <w:tcW w:w="1276" w:type="dxa"/>
            <w:vAlign w:val="center"/>
          </w:tcPr>
          <w:p w:rsidR="00B12CED" w:rsidRDefault="008D7E62">
            <w:pPr>
              <w:jc w:val="right"/>
            </w:pPr>
            <w:r>
              <w:rPr>
                <w:rFonts w:eastAsiaTheme="minorEastAsia"/>
                <w:kern w:val="0"/>
                <w:szCs w:val="21"/>
              </w:rPr>
              <w:t>335,200</w:t>
            </w:r>
          </w:p>
        </w:tc>
        <w:tc>
          <w:tcPr>
            <w:tcW w:w="1842" w:type="dxa"/>
            <w:vAlign w:val="center"/>
          </w:tcPr>
          <w:p w:rsidR="00B12CED" w:rsidRDefault="008D7E62">
            <w:pPr>
              <w:jc w:val="right"/>
            </w:pPr>
            <w:r>
              <w:rPr>
                <w:rFonts w:eastAsiaTheme="minorEastAsia"/>
                <w:kern w:val="0"/>
                <w:szCs w:val="21"/>
              </w:rPr>
              <w:t>8,829,168.00</w:t>
            </w:r>
          </w:p>
        </w:tc>
        <w:tc>
          <w:tcPr>
            <w:tcW w:w="1616" w:type="dxa"/>
            <w:vAlign w:val="center"/>
          </w:tcPr>
          <w:p w:rsidR="00B12CED" w:rsidRDefault="008D7E62">
            <w:pPr>
              <w:jc w:val="right"/>
            </w:pPr>
            <w:r>
              <w:rPr>
                <w:rFonts w:eastAsiaTheme="minorEastAsia"/>
                <w:kern w:val="0"/>
                <w:szCs w:val="21"/>
              </w:rPr>
              <w:t>3.91</w:t>
            </w:r>
          </w:p>
        </w:tc>
      </w:tr>
      <w:tr w:rsidR="00B12CED">
        <w:tc>
          <w:tcPr>
            <w:tcW w:w="817" w:type="dxa"/>
            <w:vAlign w:val="center"/>
          </w:tcPr>
          <w:p w:rsidR="00B12CED" w:rsidRDefault="008D7E62">
            <w:pPr>
              <w:jc w:val="center"/>
            </w:pPr>
            <w:r>
              <w:rPr>
                <w:rFonts w:eastAsiaTheme="minorEastAsia"/>
                <w:kern w:val="0"/>
                <w:szCs w:val="21"/>
              </w:rPr>
              <w:t>2</w:t>
            </w:r>
          </w:p>
        </w:tc>
        <w:tc>
          <w:tcPr>
            <w:tcW w:w="1276" w:type="dxa"/>
            <w:vAlign w:val="center"/>
          </w:tcPr>
          <w:p w:rsidR="00B12CED" w:rsidRDefault="008D7E62">
            <w:pPr>
              <w:jc w:val="center"/>
            </w:pPr>
            <w:r>
              <w:rPr>
                <w:rFonts w:eastAsiaTheme="minorEastAsia"/>
                <w:kern w:val="0"/>
                <w:szCs w:val="21"/>
              </w:rPr>
              <w:t>600557</w:t>
            </w:r>
          </w:p>
        </w:tc>
        <w:tc>
          <w:tcPr>
            <w:tcW w:w="1701" w:type="dxa"/>
            <w:vAlign w:val="center"/>
          </w:tcPr>
          <w:p w:rsidR="00B12CED" w:rsidRDefault="008D7E62">
            <w:pPr>
              <w:jc w:val="center"/>
            </w:pPr>
            <w:r>
              <w:rPr>
                <w:rFonts w:eastAsiaTheme="minorEastAsia"/>
                <w:kern w:val="0"/>
                <w:szCs w:val="21"/>
              </w:rPr>
              <w:t>康缘药业</w:t>
            </w:r>
          </w:p>
        </w:tc>
        <w:tc>
          <w:tcPr>
            <w:tcW w:w="1276" w:type="dxa"/>
            <w:vAlign w:val="center"/>
          </w:tcPr>
          <w:p w:rsidR="00B12CED" w:rsidRDefault="008D7E62">
            <w:pPr>
              <w:jc w:val="right"/>
            </w:pPr>
            <w:r>
              <w:rPr>
                <w:rFonts w:eastAsiaTheme="minorEastAsia"/>
                <w:kern w:val="0"/>
                <w:szCs w:val="21"/>
              </w:rPr>
              <w:t>262,500</w:t>
            </w:r>
          </w:p>
        </w:tc>
        <w:tc>
          <w:tcPr>
            <w:tcW w:w="1842" w:type="dxa"/>
            <w:vAlign w:val="center"/>
          </w:tcPr>
          <w:p w:rsidR="00B12CED" w:rsidRDefault="008D7E62">
            <w:pPr>
              <w:jc w:val="right"/>
            </w:pPr>
            <w:r>
              <w:rPr>
                <w:rFonts w:eastAsiaTheme="minorEastAsia"/>
                <w:kern w:val="0"/>
                <w:szCs w:val="21"/>
              </w:rPr>
              <w:t>8,407,875.00</w:t>
            </w:r>
          </w:p>
        </w:tc>
        <w:tc>
          <w:tcPr>
            <w:tcW w:w="1616" w:type="dxa"/>
            <w:vAlign w:val="center"/>
          </w:tcPr>
          <w:p w:rsidR="00B12CED" w:rsidRDefault="008D7E62">
            <w:pPr>
              <w:jc w:val="right"/>
            </w:pPr>
            <w:r>
              <w:rPr>
                <w:rFonts w:eastAsiaTheme="minorEastAsia"/>
                <w:kern w:val="0"/>
                <w:szCs w:val="21"/>
              </w:rPr>
              <w:t>3.72</w:t>
            </w:r>
          </w:p>
        </w:tc>
      </w:tr>
      <w:tr w:rsidR="00B12CED">
        <w:tc>
          <w:tcPr>
            <w:tcW w:w="817" w:type="dxa"/>
            <w:vAlign w:val="center"/>
          </w:tcPr>
          <w:p w:rsidR="00B12CED" w:rsidRDefault="008D7E62">
            <w:pPr>
              <w:jc w:val="center"/>
            </w:pPr>
            <w:r>
              <w:rPr>
                <w:rFonts w:eastAsiaTheme="minorEastAsia"/>
                <w:kern w:val="0"/>
                <w:szCs w:val="21"/>
              </w:rPr>
              <w:t>3</w:t>
            </w:r>
          </w:p>
        </w:tc>
        <w:tc>
          <w:tcPr>
            <w:tcW w:w="1276" w:type="dxa"/>
            <w:vAlign w:val="center"/>
          </w:tcPr>
          <w:p w:rsidR="00B12CED" w:rsidRDefault="008D7E62">
            <w:pPr>
              <w:jc w:val="center"/>
            </w:pPr>
            <w:r>
              <w:rPr>
                <w:rFonts w:eastAsiaTheme="minorEastAsia"/>
                <w:kern w:val="0"/>
                <w:szCs w:val="21"/>
              </w:rPr>
              <w:t>000951</w:t>
            </w:r>
          </w:p>
        </w:tc>
        <w:tc>
          <w:tcPr>
            <w:tcW w:w="1701" w:type="dxa"/>
            <w:vAlign w:val="center"/>
          </w:tcPr>
          <w:p w:rsidR="00B12CED" w:rsidRDefault="008D7E62">
            <w:pPr>
              <w:jc w:val="center"/>
            </w:pPr>
            <w:r>
              <w:rPr>
                <w:rFonts w:eastAsiaTheme="minorEastAsia"/>
                <w:kern w:val="0"/>
                <w:szCs w:val="21"/>
              </w:rPr>
              <w:t>中国重汽</w:t>
            </w:r>
          </w:p>
        </w:tc>
        <w:tc>
          <w:tcPr>
            <w:tcW w:w="1276" w:type="dxa"/>
            <w:vAlign w:val="center"/>
          </w:tcPr>
          <w:p w:rsidR="00B12CED" w:rsidRDefault="008D7E62">
            <w:pPr>
              <w:jc w:val="right"/>
            </w:pPr>
            <w:r>
              <w:rPr>
                <w:rFonts w:eastAsiaTheme="minorEastAsia"/>
                <w:kern w:val="0"/>
                <w:szCs w:val="21"/>
              </w:rPr>
              <w:t>495,400</w:t>
            </w:r>
          </w:p>
        </w:tc>
        <w:tc>
          <w:tcPr>
            <w:tcW w:w="1842" w:type="dxa"/>
            <w:vAlign w:val="center"/>
          </w:tcPr>
          <w:p w:rsidR="00B12CED" w:rsidRDefault="008D7E62">
            <w:pPr>
              <w:jc w:val="right"/>
            </w:pPr>
            <w:r>
              <w:rPr>
                <w:rFonts w:eastAsiaTheme="minorEastAsia"/>
                <w:kern w:val="0"/>
                <w:szCs w:val="21"/>
              </w:rPr>
              <w:t>8,367,306.00</w:t>
            </w:r>
          </w:p>
        </w:tc>
        <w:tc>
          <w:tcPr>
            <w:tcW w:w="1616" w:type="dxa"/>
            <w:vAlign w:val="center"/>
          </w:tcPr>
          <w:p w:rsidR="00B12CED" w:rsidRDefault="008D7E62">
            <w:pPr>
              <w:jc w:val="right"/>
            </w:pPr>
            <w:r>
              <w:rPr>
                <w:rFonts w:eastAsiaTheme="minorEastAsia"/>
                <w:kern w:val="0"/>
                <w:szCs w:val="21"/>
              </w:rPr>
              <w:t>3.70</w:t>
            </w:r>
          </w:p>
        </w:tc>
      </w:tr>
      <w:tr w:rsidR="00B12CED">
        <w:tc>
          <w:tcPr>
            <w:tcW w:w="817" w:type="dxa"/>
            <w:vAlign w:val="center"/>
          </w:tcPr>
          <w:p w:rsidR="00B12CED" w:rsidRDefault="008D7E62">
            <w:pPr>
              <w:jc w:val="center"/>
            </w:pPr>
            <w:r>
              <w:rPr>
                <w:rFonts w:eastAsiaTheme="minorEastAsia"/>
                <w:kern w:val="0"/>
                <w:szCs w:val="21"/>
              </w:rPr>
              <w:t>4</w:t>
            </w:r>
          </w:p>
        </w:tc>
        <w:tc>
          <w:tcPr>
            <w:tcW w:w="1276" w:type="dxa"/>
            <w:vAlign w:val="center"/>
          </w:tcPr>
          <w:p w:rsidR="00B12CED" w:rsidRDefault="008D7E62">
            <w:pPr>
              <w:jc w:val="center"/>
            </w:pPr>
            <w:r>
              <w:rPr>
                <w:rFonts w:eastAsiaTheme="minorEastAsia"/>
                <w:kern w:val="0"/>
                <w:szCs w:val="21"/>
              </w:rPr>
              <w:t>000338</w:t>
            </w:r>
          </w:p>
        </w:tc>
        <w:tc>
          <w:tcPr>
            <w:tcW w:w="1701" w:type="dxa"/>
            <w:vAlign w:val="center"/>
          </w:tcPr>
          <w:p w:rsidR="00B12CED" w:rsidRDefault="008D7E62">
            <w:pPr>
              <w:jc w:val="center"/>
            </w:pPr>
            <w:r>
              <w:rPr>
                <w:rFonts w:eastAsiaTheme="minorEastAsia"/>
                <w:kern w:val="0"/>
                <w:szCs w:val="21"/>
              </w:rPr>
              <w:t>潍柴动力</w:t>
            </w:r>
          </w:p>
        </w:tc>
        <w:tc>
          <w:tcPr>
            <w:tcW w:w="1276" w:type="dxa"/>
            <w:vAlign w:val="center"/>
          </w:tcPr>
          <w:p w:rsidR="00B12CED" w:rsidRDefault="008D7E62">
            <w:pPr>
              <w:jc w:val="right"/>
            </w:pPr>
            <w:r>
              <w:rPr>
                <w:rFonts w:eastAsiaTheme="minorEastAsia"/>
                <w:kern w:val="0"/>
                <w:szCs w:val="21"/>
              </w:rPr>
              <w:t>603,000</w:t>
            </w:r>
          </w:p>
        </w:tc>
        <w:tc>
          <w:tcPr>
            <w:tcW w:w="1842" w:type="dxa"/>
            <w:vAlign w:val="center"/>
          </w:tcPr>
          <w:p w:rsidR="00B12CED" w:rsidRDefault="008D7E62">
            <w:pPr>
              <w:jc w:val="right"/>
            </w:pPr>
            <w:r>
              <w:rPr>
                <w:rFonts w:eastAsiaTheme="minorEastAsia"/>
                <w:kern w:val="0"/>
                <w:szCs w:val="21"/>
              </w:rPr>
              <w:t>7,603,830.00</w:t>
            </w:r>
          </w:p>
        </w:tc>
        <w:tc>
          <w:tcPr>
            <w:tcW w:w="1616" w:type="dxa"/>
            <w:vAlign w:val="center"/>
          </w:tcPr>
          <w:p w:rsidR="00B12CED" w:rsidRDefault="008D7E62">
            <w:pPr>
              <w:jc w:val="right"/>
            </w:pPr>
            <w:r>
              <w:rPr>
                <w:rFonts w:eastAsiaTheme="minorEastAsia"/>
                <w:kern w:val="0"/>
                <w:szCs w:val="21"/>
              </w:rPr>
              <w:t>3.37</w:t>
            </w:r>
          </w:p>
        </w:tc>
      </w:tr>
      <w:tr w:rsidR="00B12CED">
        <w:tc>
          <w:tcPr>
            <w:tcW w:w="817" w:type="dxa"/>
            <w:vAlign w:val="center"/>
          </w:tcPr>
          <w:p w:rsidR="00B12CED" w:rsidRDefault="008D7E62">
            <w:pPr>
              <w:jc w:val="center"/>
            </w:pPr>
            <w:r>
              <w:rPr>
                <w:rFonts w:eastAsiaTheme="minorEastAsia"/>
                <w:kern w:val="0"/>
                <w:szCs w:val="21"/>
              </w:rPr>
              <w:t>5</w:t>
            </w:r>
          </w:p>
        </w:tc>
        <w:tc>
          <w:tcPr>
            <w:tcW w:w="1276" w:type="dxa"/>
            <w:vAlign w:val="center"/>
          </w:tcPr>
          <w:p w:rsidR="00B12CED" w:rsidRDefault="008D7E62">
            <w:pPr>
              <w:jc w:val="center"/>
            </w:pPr>
            <w:r>
              <w:rPr>
                <w:rFonts w:eastAsiaTheme="minorEastAsia"/>
                <w:kern w:val="0"/>
                <w:szCs w:val="21"/>
              </w:rPr>
              <w:t>000425</w:t>
            </w:r>
          </w:p>
        </w:tc>
        <w:tc>
          <w:tcPr>
            <w:tcW w:w="1701" w:type="dxa"/>
            <w:vAlign w:val="center"/>
          </w:tcPr>
          <w:p w:rsidR="00B12CED" w:rsidRDefault="008D7E62">
            <w:pPr>
              <w:jc w:val="center"/>
            </w:pPr>
            <w:r>
              <w:rPr>
                <w:rFonts w:eastAsiaTheme="minorEastAsia"/>
                <w:kern w:val="0"/>
                <w:szCs w:val="21"/>
              </w:rPr>
              <w:t>徐工机械</w:t>
            </w:r>
          </w:p>
        </w:tc>
        <w:tc>
          <w:tcPr>
            <w:tcW w:w="1276" w:type="dxa"/>
            <w:vAlign w:val="center"/>
          </w:tcPr>
          <w:p w:rsidR="00B12CED" w:rsidRDefault="008D7E62">
            <w:pPr>
              <w:jc w:val="right"/>
            </w:pPr>
            <w:r>
              <w:rPr>
                <w:rFonts w:eastAsiaTheme="minorEastAsia"/>
                <w:kern w:val="0"/>
                <w:szCs w:val="21"/>
              </w:rPr>
              <w:t>1,096,700</w:t>
            </w:r>
          </w:p>
        </w:tc>
        <w:tc>
          <w:tcPr>
            <w:tcW w:w="1842" w:type="dxa"/>
            <w:vAlign w:val="center"/>
          </w:tcPr>
          <w:p w:rsidR="00B12CED" w:rsidRDefault="008D7E62">
            <w:pPr>
              <w:jc w:val="right"/>
            </w:pPr>
            <w:r>
              <w:rPr>
                <w:rFonts w:eastAsiaTheme="minorEastAsia"/>
                <w:kern w:val="0"/>
                <w:szCs w:val="21"/>
              </w:rPr>
              <w:t>7,600,131.00</w:t>
            </w:r>
          </w:p>
        </w:tc>
        <w:tc>
          <w:tcPr>
            <w:tcW w:w="1616" w:type="dxa"/>
            <w:vAlign w:val="center"/>
          </w:tcPr>
          <w:p w:rsidR="00B12CED" w:rsidRDefault="008D7E62">
            <w:pPr>
              <w:jc w:val="right"/>
            </w:pPr>
            <w:r>
              <w:rPr>
                <w:rFonts w:eastAsiaTheme="minorEastAsia"/>
                <w:kern w:val="0"/>
                <w:szCs w:val="21"/>
              </w:rPr>
              <w:t>3.36</w:t>
            </w:r>
          </w:p>
        </w:tc>
      </w:tr>
      <w:tr w:rsidR="00B12CED">
        <w:tc>
          <w:tcPr>
            <w:tcW w:w="817" w:type="dxa"/>
            <w:vAlign w:val="center"/>
          </w:tcPr>
          <w:p w:rsidR="00B12CED" w:rsidRDefault="008D7E62">
            <w:pPr>
              <w:jc w:val="center"/>
            </w:pPr>
            <w:r>
              <w:rPr>
                <w:rFonts w:eastAsiaTheme="minorEastAsia"/>
                <w:kern w:val="0"/>
                <w:szCs w:val="21"/>
              </w:rPr>
              <w:t>6</w:t>
            </w:r>
          </w:p>
        </w:tc>
        <w:tc>
          <w:tcPr>
            <w:tcW w:w="1276" w:type="dxa"/>
            <w:vAlign w:val="center"/>
          </w:tcPr>
          <w:p w:rsidR="00B12CED" w:rsidRDefault="008D7E62">
            <w:pPr>
              <w:jc w:val="center"/>
            </w:pPr>
            <w:r>
              <w:rPr>
                <w:rFonts w:eastAsiaTheme="minorEastAsia"/>
                <w:kern w:val="0"/>
                <w:szCs w:val="21"/>
              </w:rPr>
              <w:t>000651</w:t>
            </w:r>
          </w:p>
        </w:tc>
        <w:tc>
          <w:tcPr>
            <w:tcW w:w="1701" w:type="dxa"/>
            <w:vAlign w:val="center"/>
          </w:tcPr>
          <w:p w:rsidR="00B12CED" w:rsidRDefault="008D7E62">
            <w:pPr>
              <w:jc w:val="center"/>
            </w:pPr>
            <w:r>
              <w:rPr>
                <w:rFonts w:eastAsiaTheme="minorEastAsia"/>
                <w:kern w:val="0"/>
                <w:szCs w:val="21"/>
              </w:rPr>
              <w:t>格力电器</w:t>
            </w:r>
          </w:p>
        </w:tc>
        <w:tc>
          <w:tcPr>
            <w:tcW w:w="1276" w:type="dxa"/>
            <w:vAlign w:val="center"/>
          </w:tcPr>
          <w:p w:rsidR="00B12CED" w:rsidRDefault="008D7E62">
            <w:pPr>
              <w:jc w:val="right"/>
            </w:pPr>
            <w:r>
              <w:rPr>
                <w:rFonts w:eastAsiaTheme="minorEastAsia"/>
                <w:kern w:val="0"/>
                <w:szCs w:val="21"/>
              </w:rPr>
              <w:t>195,800</w:t>
            </w:r>
          </w:p>
        </w:tc>
        <w:tc>
          <w:tcPr>
            <w:tcW w:w="1842" w:type="dxa"/>
            <w:vAlign w:val="center"/>
          </w:tcPr>
          <w:p w:rsidR="00B12CED" w:rsidRDefault="008D7E62">
            <w:pPr>
              <w:jc w:val="right"/>
            </w:pPr>
            <w:r>
              <w:rPr>
                <w:rFonts w:eastAsiaTheme="minorEastAsia"/>
                <w:kern w:val="0"/>
                <w:szCs w:val="21"/>
              </w:rPr>
              <w:t>7,195,650.00</w:t>
            </w:r>
          </w:p>
        </w:tc>
        <w:tc>
          <w:tcPr>
            <w:tcW w:w="1616" w:type="dxa"/>
            <w:vAlign w:val="center"/>
          </w:tcPr>
          <w:p w:rsidR="00B12CED" w:rsidRDefault="008D7E62">
            <w:pPr>
              <w:jc w:val="right"/>
            </w:pPr>
            <w:r>
              <w:rPr>
                <w:rFonts w:eastAsiaTheme="minorEastAsia"/>
                <w:kern w:val="0"/>
                <w:szCs w:val="21"/>
              </w:rPr>
              <w:t>3.19</w:t>
            </w:r>
          </w:p>
        </w:tc>
      </w:tr>
      <w:tr w:rsidR="00B12CED">
        <w:tc>
          <w:tcPr>
            <w:tcW w:w="817" w:type="dxa"/>
            <w:vAlign w:val="center"/>
          </w:tcPr>
          <w:p w:rsidR="00B12CED" w:rsidRDefault="008D7E62">
            <w:pPr>
              <w:jc w:val="center"/>
            </w:pPr>
            <w:r>
              <w:rPr>
                <w:rFonts w:eastAsiaTheme="minorEastAsia"/>
                <w:kern w:val="0"/>
                <w:szCs w:val="21"/>
              </w:rPr>
              <w:t>7</w:t>
            </w:r>
          </w:p>
        </w:tc>
        <w:tc>
          <w:tcPr>
            <w:tcW w:w="1276" w:type="dxa"/>
            <w:vAlign w:val="center"/>
          </w:tcPr>
          <w:p w:rsidR="00B12CED" w:rsidRDefault="008D7E62">
            <w:pPr>
              <w:jc w:val="center"/>
            </w:pPr>
            <w:r>
              <w:rPr>
                <w:rFonts w:eastAsiaTheme="minorEastAsia"/>
                <w:kern w:val="0"/>
                <w:szCs w:val="21"/>
              </w:rPr>
              <w:t>600519</w:t>
            </w:r>
          </w:p>
        </w:tc>
        <w:tc>
          <w:tcPr>
            <w:tcW w:w="1701" w:type="dxa"/>
            <w:vAlign w:val="center"/>
          </w:tcPr>
          <w:p w:rsidR="00B12CED" w:rsidRDefault="008D7E62">
            <w:pPr>
              <w:jc w:val="center"/>
            </w:pPr>
            <w:r>
              <w:rPr>
                <w:rFonts w:eastAsiaTheme="minorEastAsia"/>
                <w:kern w:val="0"/>
                <w:szCs w:val="21"/>
              </w:rPr>
              <w:t>贵州茅台</w:t>
            </w:r>
          </w:p>
        </w:tc>
        <w:tc>
          <w:tcPr>
            <w:tcW w:w="1276" w:type="dxa"/>
            <w:vAlign w:val="center"/>
          </w:tcPr>
          <w:p w:rsidR="00B12CED" w:rsidRDefault="008D7E62">
            <w:pPr>
              <w:jc w:val="right"/>
            </w:pPr>
            <w:r>
              <w:rPr>
                <w:rFonts w:eastAsiaTheme="minorEastAsia"/>
                <w:kern w:val="0"/>
                <w:szCs w:val="21"/>
              </w:rPr>
              <w:t>3,914</w:t>
            </w:r>
          </w:p>
        </w:tc>
        <w:tc>
          <w:tcPr>
            <w:tcW w:w="1842" w:type="dxa"/>
            <w:vAlign w:val="center"/>
          </w:tcPr>
          <w:p w:rsidR="00B12CED" w:rsidRDefault="008D7E62">
            <w:pPr>
              <w:jc w:val="right"/>
            </w:pPr>
            <w:r>
              <w:rPr>
                <w:rFonts w:eastAsiaTheme="minorEastAsia"/>
                <w:kern w:val="0"/>
                <w:szCs w:val="21"/>
              </w:rPr>
              <w:t>7,123,480.00</w:t>
            </w:r>
          </w:p>
        </w:tc>
        <w:tc>
          <w:tcPr>
            <w:tcW w:w="1616" w:type="dxa"/>
            <w:vAlign w:val="center"/>
          </w:tcPr>
          <w:p w:rsidR="00B12CED" w:rsidRDefault="008D7E62">
            <w:pPr>
              <w:jc w:val="right"/>
            </w:pPr>
            <w:r>
              <w:rPr>
                <w:rFonts w:eastAsiaTheme="minorEastAsia"/>
                <w:kern w:val="0"/>
                <w:szCs w:val="21"/>
              </w:rPr>
              <w:t>3.15</w:t>
            </w:r>
          </w:p>
        </w:tc>
      </w:tr>
      <w:tr w:rsidR="00B12CED">
        <w:tc>
          <w:tcPr>
            <w:tcW w:w="817" w:type="dxa"/>
            <w:vAlign w:val="center"/>
          </w:tcPr>
          <w:p w:rsidR="00B12CED" w:rsidRDefault="008D7E62">
            <w:pPr>
              <w:jc w:val="center"/>
            </w:pPr>
            <w:r>
              <w:rPr>
                <w:rFonts w:eastAsiaTheme="minorEastAsia"/>
                <w:kern w:val="0"/>
                <w:szCs w:val="21"/>
              </w:rPr>
              <w:t>8</w:t>
            </w:r>
          </w:p>
        </w:tc>
        <w:tc>
          <w:tcPr>
            <w:tcW w:w="1276" w:type="dxa"/>
            <w:vAlign w:val="center"/>
          </w:tcPr>
          <w:p w:rsidR="00B12CED" w:rsidRDefault="008D7E62">
            <w:pPr>
              <w:jc w:val="center"/>
            </w:pPr>
            <w:r>
              <w:rPr>
                <w:rFonts w:eastAsiaTheme="minorEastAsia"/>
                <w:kern w:val="0"/>
                <w:szCs w:val="21"/>
              </w:rPr>
              <w:t>688297</w:t>
            </w:r>
          </w:p>
        </w:tc>
        <w:tc>
          <w:tcPr>
            <w:tcW w:w="1701" w:type="dxa"/>
            <w:vAlign w:val="center"/>
          </w:tcPr>
          <w:p w:rsidR="00B12CED" w:rsidRDefault="008D7E62">
            <w:pPr>
              <w:jc w:val="center"/>
            </w:pPr>
            <w:r>
              <w:rPr>
                <w:rFonts w:eastAsiaTheme="minorEastAsia"/>
                <w:kern w:val="0"/>
                <w:szCs w:val="21"/>
              </w:rPr>
              <w:t>中无人机</w:t>
            </w:r>
          </w:p>
        </w:tc>
        <w:tc>
          <w:tcPr>
            <w:tcW w:w="1276" w:type="dxa"/>
            <w:vAlign w:val="center"/>
          </w:tcPr>
          <w:p w:rsidR="00B12CED" w:rsidRDefault="008D7E62">
            <w:pPr>
              <w:jc w:val="right"/>
            </w:pPr>
            <w:r>
              <w:rPr>
                <w:rFonts w:eastAsiaTheme="minorEastAsia"/>
                <w:kern w:val="0"/>
                <w:szCs w:val="21"/>
              </w:rPr>
              <w:t>117,662</w:t>
            </w:r>
          </w:p>
        </w:tc>
        <w:tc>
          <w:tcPr>
            <w:tcW w:w="1842" w:type="dxa"/>
            <w:vAlign w:val="center"/>
          </w:tcPr>
          <w:p w:rsidR="00B12CED" w:rsidRDefault="008D7E62">
            <w:pPr>
              <w:jc w:val="right"/>
            </w:pPr>
            <w:r>
              <w:rPr>
                <w:rFonts w:eastAsiaTheme="minorEastAsia"/>
                <w:kern w:val="0"/>
                <w:szCs w:val="21"/>
              </w:rPr>
              <w:t>6,670,258.78</w:t>
            </w:r>
          </w:p>
        </w:tc>
        <w:tc>
          <w:tcPr>
            <w:tcW w:w="1616" w:type="dxa"/>
            <w:vAlign w:val="center"/>
          </w:tcPr>
          <w:p w:rsidR="00B12CED" w:rsidRDefault="008D7E62">
            <w:pPr>
              <w:jc w:val="right"/>
            </w:pPr>
            <w:r>
              <w:rPr>
                <w:rFonts w:eastAsiaTheme="minorEastAsia"/>
                <w:kern w:val="0"/>
                <w:szCs w:val="21"/>
              </w:rPr>
              <w:t>2.95</w:t>
            </w:r>
          </w:p>
        </w:tc>
      </w:tr>
      <w:tr w:rsidR="00B12CED">
        <w:tc>
          <w:tcPr>
            <w:tcW w:w="817" w:type="dxa"/>
            <w:vAlign w:val="center"/>
          </w:tcPr>
          <w:p w:rsidR="00B12CED" w:rsidRDefault="008D7E62">
            <w:pPr>
              <w:jc w:val="center"/>
            </w:pPr>
            <w:r>
              <w:rPr>
                <w:rFonts w:eastAsiaTheme="minorEastAsia"/>
                <w:kern w:val="0"/>
                <w:szCs w:val="21"/>
              </w:rPr>
              <w:lastRenderedPageBreak/>
              <w:t>9</w:t>
            </w:r>
          </w:p>
        </w:tc>
        <w:tc>
          <w:tcPr>
            <w:tcW w:w="1276" w:type="dxa"/>
            <w:vAlign w:val="center"/>
          </w:tcPr>
          <w:p w:rsidR="00B12CED" w:rsidRDefault="008D7E62">
            <w:pPr>
              <w:jc w:val="center"/>
            </w:pPr>
            <w:r>
              <w:rPr>
                <w:rFonts w:eastAsiaTheme="minorEastAsia"/>
                <w:kern w:val="0"/>
                <w:szCs w:val="21"/>
              </w:rPr>
              <w:t>603986</w:t>
            </w:r>
          </w:p>
        </w:tc>
        <w:tc>
          <w:tcPr>
            <w:tcW w:w="1701" w:type="dxa"/>
            <w:vAlign w:val="center"/>
          </w:tcPr>
          <w:p w:rsidR="00B12CED" w:rsidRDefault="008D7E62">
            <w:pPr>
              <w:jc w:val="center"/>
            </w:pPr>
            <w:r>
              <w:rPr>
                <w:rFonts w:eastAsiaTheme="minorEastAsia"/>
                <w:kern w:val="0"/>
                <w:szCs w:val="21"/>
              </w:rPr>
              <w:t>兆易创新</w:t>
            </w:r>
          </w:p>
        </w:tc>
        <w:tc>
          <w:tcPr>
            <w:tcW w:w="1276" w:type="dxa"/>
            <w:vAlign w:val="center"/>
          </w:tcPr>
          <w:p w:rsidR="00B12CED" w:rsidRDefault="008D7E62">
            <w:pPr>
              <w:jc w:val="right"/>
            </w:pPr>
            <w:r>
              <w:rPr>
                <w:rFonts w:eastAsiaTheme="minorEastAsia"/>
                <w:kern w:val="0"/>
                <w:szCs w:val="21"/>
              </w:rPr>
              <w:t>54,500</w:t>
            </w:r>
          </w:p>
        </w:tc>
        <w:tc>
          <w:tcPr>
            <w:tcW w:w="1842" w:type="dxa"/>
            <w:vAlign w:val="center"/>
          </w:tcPr>
          <w:p w:rsidR="00B12CED" w:rsidRDefault="008D7E62">
            <w:pPr>
              <w:jc w:val="right"/>
            </w:pPr>
            <w:r>
              <w:rPr>
                <w:rFonts w:eastAsiaTheme="minorEastAsia"/>
                <w:kern w:val="0"/>
                <w:szCs w:val="21"/>
              </w:rPr>
              <w:t>6,649,000.00</w:t>
            </w:r>
          </w:p>
        </w:tc>
        <w:tc>
          <w:tcPr>
            <w:tcW w:w="1616" w:type="dxa"/>
            <w:vAlign w:val="center"/>
          </w:tcPr>
          <w:p w:rsidR="00B12CED" w:rsidRDefault="008D7E62">
            <w:pPr>
              <w:jc w:val="right"/>
            </w:pPr>
            <w:r>
              <w:rPr>
                <w:rFonts w:eastAsiaTheme="minorEastAsia"/>
                <w:kern w:val="0"/>
                <w:szCs w:val="21"/>
              </w:rPr>
              <w:t>2.94</w:t>
            </w:r>
          </w:p>
        </w:tc>
      </w:tr>
      <w:tr w:rsidR="00B12CED">
        <w:tc>
          <w:tcPr>
            <w:tcW w:w="817" w:type="dxa"/>
            <w:vAlign w:val="center"/>
          </w:tcPr>
          <w:p w:rsidR="00B12CED" w:rsidRDefault="008D7E62">
            <w:pPr>
              <w:jc w:val="center"/>
            </w:pPr>
            <w:r>
              <w:rPr>
                <w:rFonts w:eastAsiaTheme="minorEastAsia"/>
                <w:kern w:val="0"/>
                <w:szCs w:val="21"/>
              </w:rPr>
              <w:t>10</w:t>
            </w:r>
          </w:p>
        </w:tc>
        <w:tc>
          <w:tcPr>
            <w:tcW w:w="1276" w:type="dxa"/>
            <w:vAlign w:val="center"/>
          </w:tcPr>
          <w:p w:rsidR="00B12CED" w:rsidRDefault="008D7E62">
            <w:pPr>
              <w:jc w:val="center"/>
            </w:pPr>
            <w:r>
              <w:rPr>
                <w:rFonts w:eastAsiaTheme="minorEastAsia"/>
                <w:kern w:val="0"/>
                <w:szCs w:val="21"/>
              </w:rPr>
              <w:t>603027</w:t>
            </w:r>
          </w:p>
        </w:tc>
        <w:tc>
          <w:tcPr>
            <w:tcW w:w="1701" w:type="dxa"/>
            <w:vAlign w:val="center"/>
          </w:tcPr>
          <w:p w:rsidR="00B12CED" w:rsidRDefault="008D7E62">
            <w:pPr>
              <w:jc w:val="center"/>
            </w:pPr>
            <w:r>
              <w:rPr>
                <w:rFonts w:eastAsiaTheme="minorEastAsia"/>
                <w:kern w:val="0"/>
                <w:szCs w:val="21"/>
              </w:rPr>
              <w:t>千禾味业</w:t>
            </w:r>
          </w:p>
        </w:tc>
        <w:tc>
          <w:tcPr>
            <w:tcW w:w="1276" w:type="dxa"/>
            <w:vAlign w:val="center"/>
          </w:tcPr>
          <w:p w:rsidR="00B12CED" w:rsidRDefault="008D7E62">
            <w:pPr>
              <w:jc w:val="right"/>
            </w:pPr>
            <w:r>
              <w:rPr>
                <w:rFonts w:eastAsiaTheme="minorEastAsia"/>
                <w:kern w:val="0"/>
                <w:szCs w:val="21"/>
              </w:rPr>
              <w:t>274,780</w:t>
            </w:r>
          </w:p>
        </w:tc>
        <w:tc>
          <w:tcPr>
            <w:tcW w:w="1842" w:type="dxa"/>
            <w:vAlign w:val="center"/>
          </w:tcPr>
          <w:p w:rsidR="00B12CED" w:rsidRDefault="008D7E62">
            <w:pPr>
              <w:jc w:val="right"/>
            </w:pPr>
            <w:r>
              <w:rPr>
                <w:rFonts w:eastAsiaTheme="minorEastAsia"/>
                <w:kern w:val="0"/>
                <w:szCs w:val="21"/>
              </w:rPr>
              <w:t>6,578,233.20</w:t>
            </w:r>
          </w:p>
        </w:tc>
        <w:tc>
          <w:tcPr>
            <w:tcW w:w="1616" w:type="dxa"/>
            <w:vAlign w:val="center"/>
          </w:tcPr>
          <w:p w:rsidR="00B12CED" w:rsidRDefault="008D7E62">
            <w:pPr>
              <w:jc w:val="right"/>
            </w:pPr>
            <w:r>
              <w:rPr>
                <w:rFonts w:eastAsiaTheme="minorEastAsia"/>
                <w:kern w:val="0"/>
                <w:szCs w:val="21"/>
              </w:rPr>
              <w:t>2.91</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107,716.57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251,491.26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359,207.83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摩根大盘蓝筹股票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摩根大盘蓝筹股票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91,801,190.71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30,618.89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2,034,072.15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2,265,377.43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2,582,797.89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2,241,725.23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91,252,464.97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54,271.09</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中国证监会批准本基金募集的文件</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摩根大盘蓝筹股票型证券投资基金基金合同</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摩根大盘蓝筹股票型证券投资基金托管协议</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B12CED" w:rsidRDefault="008D7E6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 xml:space="preserve">)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D7E62">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D7E62">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D7E62">
      <w:rPr>
        <w:rStyle w:val="af6"/>
        <w:noProof/>
      </w:rPr>
      <w:t>11</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摩根大盘蓝筹股票型证券投资基金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D7E62"/>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2CED"/>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A9AD5A-95D4-4EB5-8031-7CC35DB8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13</Pages>
  <Words>1107</Words>
  <Characters>6315</Characters>
  <Application>Microsoft Office Word</Application>
  <DocSecurity>0</DocSecurity>
  <Lines>52</Lines>
  <Paragraphs>14</Paragraphs>
  <ScaleCrop>false</ScaleCrop>
  <Company>TRT. Ltd. Co.</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219</cp:revision>
  <cp:lastPrinted>2007-07-19T00:46:00Z</cp:lastPrinted>
  <dcterms:created xsi:type="dcterms:W3CDTF">2013-06-21T06:56:00Z</dcterms:created>
  <dcterms:modified xsi:type="dcterms:W3CDTF">2023-04-20T05:35:00Z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