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上投摩根大盘蓝筹股票型证券投资基金</w:t>
      </w:r>
    </w:p>
    <w:p w:rsidR="00045D33" w:rsidRDefault="00F26628">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2</w:t>
      </w:r>
      <w:r>
        <w:rPr>
          <w:rFonts w:asciiTheme="minorEastAsia" w:eastAsiaTheme="minorEastAsia" w:hAnsiTheme="minorEastAsia" w:hint="eastAsia"/>
          <w:b/>
          <w:color w:val="000000" w:themeColor="text1"/>
          <w:sz w:val="36"/>
          <w:szCs w:val="36"/>
        </w:rPr>
        <w:t>季度报告</w:t>
      </w:r>
    </w:p>
    <w:p w:rsidR="00045D33" w:rsidRDefault="00F26628">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6</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jc w:val="center"/>
        <w:rPr>
          <w:rFonts w:asciiTheme="minorEastAsia" w:eastAsiaTheme="minorEastAsia" w:hAnsiTheme="minorEastAsia"/>
          <w:b/>
          <w:bCs/>
          <w:color w:val="000000" w:themeColor="text1"/>
          <w:sz w:val="24"/>
          <w:szCs w:val="24"/>
        </w:rPr>
      </w:pPr>
    </w:p>
    <w:p w:rsidR="00045D33" w:rsidRDefault="00045D33">
      <w:pPr>
        <w:spacing w:line="360" w:lineRule="auto"/>
        <w:rPr>
          <w:rFonts w:asciiTheme="minorEastAsia" w:eastAsiaTheme="minorEastAsia" w:hAnsiTheme="minorEastAsia"/>
          <w:b/>
          <w:bCs/>
          <w:color w:val="000000" w:themeColor="text1"/>
          <w:sz w:val="24"/>
          <w:szCs w:val="24"/>
        </w:rPr>
      </w:pPr>
    </w:p>
    <w:p w:rsidR="00045D33" w:rsidRDefault="00F26628">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045D33" w:rsidRDefault="00F26628">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045D33" w:rsidRDefault="00F26628">
      <w:pPr>
        <w:spacing w:line="360" w:lineRule="auto"/>
        <w:ind w:firstLineChars="900" w:firstLine="2168"/>
        <w:rPr>
          <w:rFonts w:asciiTheme="minorEastAsia" w:eastAsiaTheme="minorEastAsia" w:hAnsiTheme="minorEastAsia"/>
          <w:b/>
          <w:color w:val="000000" w:themeColor="text1"/>
          <w:sz w:val="24"/>
          <w:szCs w:val="24"/>
        </w:rPr>
        <w:sectPr w:rsidR="00045D33">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二〇二〇年七月二十一日</w:t>
      </w:r>
    </w:p>
    <w:p w:rsidR="00045D33" w:rsidRDefault="00F26628">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上投摩根大盘蓝筹股票</w:t>
            </w:r>
          </w:p>
        </w:tc>
      </w:tr>
      <w:tr w:rsidR="00045D33">
        <w:tc>
          <w:tcPr>
            <w:tcW w:w="2835" w:type="dxa"/>
            <w:tcBorders>
              <w:top w:val="single" w:sz="4" w:space="0" w:color="auto"/>
              <w:left w:val="single" w:sz="4" w:space="0" w:color="auto"/>
              <w:bottom w:val="single" w:sz="4" w:space="0" w:color="auto"/>
              <w:right w:val="single" w:sz="4" w:space="0" w:color="auto"/>
            </w:tcBorders>
            <w:vAlign w:val="center"/>
          </w:tcPr>
          <w:p w:rsidR="00045D33" w:rsidRDefault="00F26628">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376510</w:t>
            </w:r>
          </w:p>
        </w:tc>
      </w:tr>
      <w:tr w:rsidR="00045D33">
        <w:tc>
          <w:tcPr>
            <w:tcW w:w="2835" w:type="dxa"/>
            <w:tcBorders>
              <w:top w:val="single" w:sz="4" w:space="0" w:color="auto"/>
              <w:left w:val="single" w:sz="4" w:space="0" w:color="auto"/>
              <w:bottom w:val="single" w:sz="4" w:space="0" w:color="auto"/>
              <w:right w:val="single" w:sz="4" w:space="0" w:color="auto"/>
            </w:tcBorders>
            <w:vAlign w:val="center"/>
          </w:tcPr>
          <w:p w:rsidR="00045D33" w:rsidRDefault="00F26628">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376510</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2010</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20</w:t>
            </w:r>
            <w:r>
              <w:rPr>
                <w:rFonts w:asciiTheme="minorEastAsia" w:eastAsiaTheme="minorEastAsia" w:hAnsiTheme="minorEastAsia"/>
                <w:color w:val="000000" w:themeColor="text1"/>
                <w:kern w:val="0"/>
              </w:rPr>
              <w:t>日</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137,079,095.43</w:t>
            </w:r>
            <w:r>
              <w:rPr>
                <w:rFonts w:asciiTheme="minorEastAsia" w:eastAsiaTheme="minorEastAsia" w:hAnsiTheme="minorEastAsia" w:hint="eastAsia"/>
                <w:color w:val="000000" w:themeColor="text1"/>
                <w:kern w:val="0"/>
              </w:rPr>
              <w:t>份</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通过投资大盘蓝筹股票，力争最大程度的分享中国经济持续发展带来的中长期收益。在有效控制风险的前提下，追求基金资产的长期稳健增值。</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的精选个股，重点投资于在行业内占有领先地位、业绩良好且稳定增长、价值相对低估的大盘蓝筹上市公司。同时结合宏观经济运行状况和金融</w:t>
            </w:r>
            <w:r>
              <w:rPr>
                <w:rFonts w:asciiTheme="minorEastAsia" w:eastAsiaTheme="minorEastAsia" w:hAnsiTheme="minorEastAsia"/>
                <w:color w:val="000000" w:themeColor="text1"/>
                <w:kern w:val="0"/>
              </w:rPr>
              <w:lastRenderedPageBreak/>
              <w:t>市场运行分析趋势的市场研判，对相关资产类别的预期收益进行监控，动态调整股票、债券等大类资产配置。</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上证国债指数收益率</w:t>
            </w:r>
            <w:r>
              <w:rPr>
                <w:rFonts w:asciiTheme="minorEastAsia" w:eastAsiaTheme="minorEastAsia" w:hAnsiTheme="minorEastAsia"/>
                <w:color w:val="000000" w:themeColor="text1"/>
                <w:kern w:val="0"/>
              </w:rPr>
              <w:t>×15%</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本基金属于股票型基金产品，在开放式基金中，其预期风险和收益水平高于混合型基金、债券型基金和货币市场基金，属于风险水平较高的基金产品。</w:t>
            </w:r>
            <w:r>
              <w:rPr>
                <w:rFonts w:asciiTheme="minorEastAsia" w:eastAsiaTheme="minorEastAsia" w:hAnsiTheme="minorEastAsia"/>
                <w:color w:val="000000" w:themeColor="text1"/>
                <w:kern w:val="0"/>
              </w:rPr>
              <w:t xml:space="preserve"> </w:t>
            </w:r>
          </w:p>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w:t>
            </w:r>
            <w:r>
              <w:rPr>
                <w:rFonts w:asciiTheme="minorEastAsia" w:eastAsiaTheme="minorEastAsia" w:hAnsiTheme="minorEastAsia"/>
                <w:color w:val="000000" w:themeColor="text1"/>
                <w:kern w:val="0"/>
              </w:rPr>
              <w:t>2017</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7</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045D33">
        <w:tc>
          <w:tcPr>
            <w:tcW w:w="2835"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26628" w:rsidTr="00F26628">
        <w:tc>
          <w:tcPr>
            <w:tcW w:w="3402" w:type="dxa"/>
            <w:vAlign w:val="center"/>
          </w:tcPr>
          <w:p w:rsidR="00045D33" w:rsidRDefault="00F26628">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045D33" w:rsidRDefault="00F26628">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045D33" w:rsidRDefault="00F26628">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4</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6</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F26628" w:rsidTr="00F26628">
        <w:tc>
          <w:tcPr>
            <w:tcW w:w="3402"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045D33" w:rsidRDefault="00F26628">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11,780,150.51</w:t>
            </w:r>
          </w:p>
        </w:tc>
      </w:tr>
      <w:tr w:rsidR="00F26628" w:rsidTr="00F26628">
        <w:tc>
          <w:tcPr>
            <w:tcW w:w="3402"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045D33" w:rsidRDefault="00F26628">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48,017,690.31</w:t>
            </w:r>
          </w:p>
        </w:tc>
      </w:tr>
      <w:tr w:rsidR="00F26628" w:rsidTr="00F26628">
        <w:tc>
          <w:tcPr>
            <w:tcW w:w="3402"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045D33" w:rsidRDefault="00F26628">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0.3406</w:t>
            </w:r>
          </w:p>
        </w:tc>
      </w:tr>
      <w:tr w:rsidR="00F26628" w:rsidTr="00F26628">
        <w:tc>
          <w:tcPr>
            <w:tcW w:w="3402"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045D33" w:rsidRDefault="00F26628">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306,486,908.82</w:t>
            </w:r>
          </w:p>
        </w:tc>
      </w:tr>
      <w:tr w:rsidR="00F26628" w:rsidTr="00F26628">
        <w:trPr>
          <w:trHeight w:val="158"/>
        </w:trPr>
        <w:tc>
          <w:tcPr>
            <w:tcW w:w="3402" w:type="dxa"/>
            <w:vAlign w:val="center"/>
          </w:tcPr>
          <w:p w:rsidR="00045D33" w:rsidRDefault="00F26628">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045D33" w:rsidRDefault="00F26628">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2.236</w:t>
            </w:r>
          </w:p>
        </w:tc>
      </w:tr>
    </w:tbl>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w:t>
      </w:r>
      <w:r>
        <w:rPr>
          <w:rFonts w:asciiTheme="minorEastAsia" w:eastAsiaTheme="minorEastAsia" w:hAnsiTheme="minorEastAsia"/>
          <w:color w:val="000000" w:themeColor="text1"/>
        </w:rPr>
        <w:lastRenderedPageBreak/>
        <w:t>费、红利再投资费、基金转换费等），计入费用后实际收益水平要低于所列数字。</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045D33" w:rsidRDefault="00F26628">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045D33">
        <w:tc>
          <w:tcPr>
            <w:tcW w:w="1395"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过去三个月</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18.06%</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0.89%</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11.11%</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0.76%</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6.95%</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0.13%</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过去六个月</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15.73%</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1.52%</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1.83%</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1.29%</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13.90%</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0.23%</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过去一年</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37.77%</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1.24%</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8.31%</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1.04%</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29.46%</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0.20%</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过去三年</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37.26%</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1.36%</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13.58%</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1.07%</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23.68%</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0.29%</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过去五年</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33.25%</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1.58%</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-2.59%</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1.23%</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35.84%</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0.35%</w:t>
            </w:r>
          </w:p>
        </w:tc>
      </w:tr>
      <w:tr w:rsidR="00045D33">
        <w:tc>
          <w:tcPr>
            <w:tcW w:w="1395" w:type="dxa"/>
            <w:vAlign w:val="center"/>
          </w:tcPr>
          <w:p w:rsidR="00045D33" w:rsidRDefault="00F26628">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045D33" w:rsidRDefault="00F26628">
            <w:pPr>
              <w:jc w:val="center"/>
            </w:pPr>
            <w:r>
              <w:rPr>
                <w:rFonts w:asciiTheme="minorEastAsia" w:eastAsiaTheme="minorEastAsia" w:hAnsiTheme="minorEastAsia"/>
                <w:color w:val="000000" w:themeColor="text1"/>
                <w:kern w:val="0"/>
              </w:rPr>
              <w:t>123.60%</w:t>
            </w:r>
          </w:p>
        </w:tc>
        <w:tc>
          <w:tcPr>
            <w:tcW w:w="1161" w:type="dxa"/>
            <w:vAlign w:val="center"/>
          </w:tcPr>
          <w:p w:rsidR="00045D33" w:rsidRDefault="00F26628">
            <w:pPr>
              <w:jc w:val="center"/>
            </w:pPr>
            <w:r>
              <w:rPr>
                <w:rFonts w:asciiTheme="minorEastAsia" w:eastAsiaTheme="minorEastAsia" w:hAnsiTheme="minorEastAsia"/>
                <w:color w:val="000000" w:themeColor="text1"/>
                <w:kern w:val="0"/>
              </w:rPr>
              <w:t>1.49%</w:t>
            </w:r>
          </w:p>
        </w:tc>
        <w:tc>
          <w:tcPr>
            <w:tcW w:w="1181" w:type="dxa"/>
            <w:vAlign w:val="center"/>
          </w:tcPr>
          <w:p w:rsidR="00045D33" w:rsidRDefault="00F26628">
            <w:pPr>
              <w:jc w:val="center"/>
            </w:pPr>
            <w:r>
              <w:rPr>
                <w:rFonts w:asciiTheme="minorEastAsia" w:eastAsiaTheme="minorEastAsia" w:hAnsiTheme="minorEastAsia"/>
                <w:color w:val="000000" w:themeColor="text1"/>
                <w:kern w:val="0"/>
              </w:rPr>
              <w:t>31.39%</w:t>
            </w:r>
          </w:p>
        </w:tc>
        <w:tc>
          <w:tcPr>
            <w:tcW w:w="1188" w:type="dxa"/>
            <w:vAlign w:val="center"/>
          </w:tcPr>
          <w:p w:rsidR="00045D33" w:rsidRDefault="00F26628">
            <w:pPr>
              <w:jc w:val="center"/>
            </w:pPr>
            <w:r>
              <w:rPr>
                <w:rFonts w:asciiTheme="minorEastAsia" w:eastAsiaTheme="minorEastAsia" w:hAnsiTheme="minorEastAsia"/>
                <w:color w:val="000000" w:themeColor="text1"/>
                <w:kern w:val="0"/>
              </w:rPr>
              <w:t>1.23%</w:t>
            </w:r>
          </w:p>
        </w:tc>
        <w:tc>
          <w:tcPr>
            <w:tcW w:w="1199" w:type="dxa"/>
            <w:vAlign w:val="center"/>
          </w:tcPr>
          <w:p w:rsidR="00045D33" w:rsidRDefault="00F26628">
            <w:pPr>
              <w:jc w:val="center"/>
            </w:pPr>
            <w:r>
              <w:rPr>
                <w:rFonts w:asciiTheme="minorEastAsia" w:eastAsiaTheme="minorEastAsia" w:hAnsiTheme="minorEastAsia"/>
                <w:color w:val="000000" w:themeColor="text1"/>
                <w:kern w:val="0"/>
              </w:rPr>
              <w:t>92.21%</w:t>
            </w:r>
          </w:p>
        </w:tc>
        <w:tc>
          <w:tcPr>
            <w:tcW w:w="1204" w:type="dxa"/>
            <w:vAlign w:val="center"/>
          </w:tcPr>
          <w:p w:rsidR="00045D33" w:rsidRDefault="00F26628">
            <w:pPr>
              <w:jc w:val="center"/>
            </w:pPr>
            <w:r>
              <w:rPr>
                <w:rFonts w:asciiTheme="minorEastAsia" w:eastAsiaTheme="minorEastAsia" w:hAnsiTheme="minorEastAsia"/>
                <w:color w:val="000000" w:themeColor="text1"/>
                <w:kern w:val="0"/>
              </w:rPr>
              <w:t>0.26%</w:t>
            </w:r>
          </w:p>
        </w:tc>
      </w:tr>
    </w:tbl>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045D33" w:rsidRDefault="00F26628">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上投摩根大盘蓝筹股票型证券投资基金</w:t>
      </w:r>
    </w:p>
    <w:p w:rsidR="00045D33" w:rsidRDefault="00F26628">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045D33" w:rsidRDefault="00F26628">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2020</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045D33" w:rsidRDefault="00F26628">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注：本基金建仓期自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19</w:t>
      </w:r>
      <w:r>
        <w:rPr>
          <w:rFonts w:asciiTheme="minorEastAsia" w:eastAsiaTheme="minorEastAsia" w:hAnsiTheme="minorEastAsia"/>
          <w:color w:val="000000" w:themeColor="text1"/>
        </w:rPr>
        <w:t>日，建仓期结束时资产配置比例符合本基金基金合同规定。</w:t>
      </w:r>
      <w:r>
        <w:rPr>
          <w:rFonts w:asciiTheme="minorEastAsia" w:eastAsiaTheme="minorEastAsia" w:hAnsiTheme="minorEastAsia"/>
          <w:color w:val="000000" w:themeColor="text1"/>
        </w:rPr>
        <w:t xml:space="preserve"> </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045D33" w:rsidRDefault="00045D33">
      <w:pPr>
        <w:tabs>
          <w:tab w:val="left" w:pos="1800"/>
        </w:tabs>
        <w:spacing w:line="360" w:lineRule="auto"/>
        <w:rPr>
          <w:rFonts w:asciiTheme="minorEastAsia" w:eastAsiaTheme="minorEastAsia" w:hAnsiTheme="minorEastAsia"/>
          <w:color w:val="000000" w:themeColor="text1"/>
          <w:sz w:val="24"/>
          <w:szCs w:val="24"/>
        </w:rPr>
      </w:pPr>
    </w:p>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045D33">
        <w:trPr>
          <w:cantSplit/>
          <w:trHeight w:val="292"/>
        </w:trPr>
        <w:tc>
          <w:tcPr>
            <w:tcW w:w="851" w:type="dxa"/>
            <w:vMerge w:val="restart"/>
            <w:vAlign w:val="center"/>
          </w:tcPr>
          <w:p w:rsidR="00045D33" w:rsidRDefault="00F26628">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045D33" w:rsidRDefault="00F26628">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045D33" w:rsidRDefault="00F26628">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045D33">
        <w:trPr>
          <w:cantSplit/>
        </w:trPr>
        <w:tc>
          <w:tcPr>
            <w:tcW w:w="851" w:type="dxa"/>
            <w:vMerge/>
            <w:vAlign w:val="center"/>
          </w:tcPr>
          <w:p w:rsidR="00045D33" w:rsidRDefault="00045D33">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045D33" w:rsidRDefault="00045D33">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045D33" w:rsidRDefault="00045D33">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045D33" w:rsidRDefault="00045D33">
            <w:pPr>
              <w:widowControl/>
              <w:spacing w:line="360" w:lineRule="auto"/>
              <w:jc w:val="left"/>
              <w:rPr>
                <w:rFonts w:asciiTheme="minorEastAsia" w:eastAsiaTheme="minorEastAsia" w:hAnsiTheme="minorEastAsia"/>
                <w:color w:val="000000" w:themeColor="text1"/>
                <w:kern w:val="0"/>
              </w:rPr>
            </w:pPr>
          </w:p>
        </w:tc>
      </w:tr>
      <w:tr w:rsidR="00045D33">
        <w:tc>
          <w:tcPr>
            <w:tcW w:w="851" w:type="dxa"/>
            <w:vAlign w:val="center"/>
          </w:tcPr>
          <w:p w:rsidR="00045D33" w:rsidRDefault="00F26628">
            <w:pPr>
              <w:jc w:val="center"/>
            </w:pPr>
            <w:r>
              <w:rPr>
                <w:rFonts w:asciiTheme="minorEastAsia" w:eastAsiaTheme="minorEastAsia" w:hAnsiTheme="minorEastAsia"/>
                <w:color w:val="000000" w:themeColor="text1"/>
              </w:rPr>
              <w:t>朱晓龙</w:t>
            </w:r>
          </w:p>
        </w:tc>
        <w:tc>
          <w:tcPr>
            <w:tcW w:w="850" w:type="dxa"/>
            <w:vAlign w:val="center"/>
          </w:tcPr>
          <w:p w:rsidR="00045D33" w:rsidRDefault="00F26628">
            <w:pPr>
              <w:jc w:val="center"/>
            </w:pPr>
            <w:r>
              <w:rPr>
                <w:rFonts w:asciiTheme="minorEastAsia" w:eastAsiaTheme="minorEastAsia" w:hAnsiTheme="minorEastAsia"/>
                <w:color w:val="000000" w:themeColor="text1"/>
              </w:rPr>
              <w:t>本基金基金经理、研究部总监</w:t>
            </w:r>
          </w:p>
        </w:tc>
        <w:tc>
          <w:tcPr>
            <w:tcW w:w="1560" w:type="dxa"/>
            <w:vAlign w:val="center"/>
          </w:tcPr>
          <w:p w:rsidR="00045D33" w:rsidRDefault="00F26628">
            <w:pPr>
              <w:jc w:val="center"/>
            </w:pPr>
            <w:r>
              <w:rPr>
                <w:rFonts w:asciiTheme="minorEastAsia" w:eastAsiaTheme="minorEastAsia" w:hAnsiTheme="minorEastAsia"/>
                <w:color w:val="000000" w:themeColor="text1"/>
              </w:rPr>
              <w:t>2019-07-19</w:t>
            </w:r>
          </w:p>
        </w:tc>
        <w:tc>
          <w:tcPr>
            <w:tcW w:w="1559" w:type="dxa"/>
            <w:vAlign w:val="center"/>
          </w:tcPr>
          <w:p w:rsidR="00045D33" w:rsidRDefault="00F26628">
            <w:pPr>
              <w:jc w:val="center"/>
            </w:pPr>
            <w:r>
              <w:rPr>
                <w:rFonts w:asciiTheme="minorEastAsia" w:eastAsiaTheme="minorEastAsia" w:hAnsiTheme="minorEastAsia"/>
                <w:color w:val="000000" w:themeColor="text1"/>
              </w:rPr>
              <w:t>-</w:t>
            </w:r>
          </w:p>
        </w:tc>
        <w:tc>
          <w:tcPr>
            <w:tcW w:w="1417" w:type="dxa"/>
            <w:vAlign w:val="center"/>
          </w:tcPr>
          <w:p w:rsidR="00045D33" w:rsidRDefault="00F26628">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045D33" w:rsidRDefault="00F26628">
            <w:r>
              <w:rPr>
                <w:rFonts w:asciiTheme="minorEastAsia" w:eastAsiaTheme="minorEastAsia" w:hAnsiTheme="minorEastAsia"/>
                <w:color w:val="000000" w:themeColor="text1"/>
              </w:rPr>
              <w:t>朱晓龙先生，自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月在平安资产管理有限责任公司担任研究员；自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月起加入上投摩根基金管理有限公司，历任行业专家、研究部副总监兼基金经理助理，现任研究部总监兼基金经理。自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月起担任上投摩根策略精选灵活配置混合型证券投资基金基金经理，自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月起同时担任上投摩根大盘蓝筹股票型证券投资基金基金经理，自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月起同时担任上投摩根成长先锋混合型证券投资基金基金经理，自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月起同时担任上投摩根研究驱动股票型证券投资基金基金经理。</w:t>
            </w:r>
          </w:p>
        </w:tc>
      </w:tr>
    </w:tbl>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w:t>
      </w:r>
      <w:r>
        <w:rPr>
          <w:rFonts w:asciiTheme="minorEastAsia" w:eastAsiaTheme="minorEastAsia" w:hAnsiTheme="minorEastAsia"/>
          <w:color w:val="000000" w:themeColor="text1"/>
        </w:rPr>
        <w:lastRenderedPageBreak/>
        <w:t>摩根大盘蓝筹股票型证券投资基金基金合同》的规定。除以下情况外，基金经理对个股和投资组合的比例遵循了投资决策委员会的授权限制，基金投资比例符合基金合同和法律法规的要求</w:t>
      </w:r>
      <w:r>
        <w:rPr>
          <w:rFonts w:asciiTheme="minorEastAsia" w:eastAsiaTheme="minorEastAsia" w:hAnsiTheme="minorEastAsia"/>
          <w:color w:val="000000" w:themeColor="text1"/>
        </w:rPr>
        <w:t>：本基金曾出现个别由于市场原因引起的投资组合的投资指标被动偏离相关比例要求的情形，但已在规定时间内调整完毕。</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w:t>
      </w:r>
      <w:r>
        <w:rPr>
          <w:rFonts w:asciiTheme="minorEastAsia" w:eastAsiaTheme="minorEastAsia" w:hAnsiTheme="minorEastAsia"/>
          <w:color w:val="000000" w:themeColor="text1"/>
        </w:rPr>
        <w:t>公平对待。</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w:t>
      </w:r>
      <w:r>
        <w:rPr>
          <w:rFonts w:asciiTheme="minorEastAsia" w:eastAsiaTheme="minorEastAsia" w:hAnsiTheme="minorEastAsia" w:hint="eastAsia"/>
          <w:color w:val="000000" w:themeColor="text1"/>
          <w:sz w:val="24"/>
          <w:szCs w:val="24"/>
        </w:rPr>
        <w:t>交易行为的专项说明</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045D33" w:rsidRDefault="00045D33">
      <w:pPr>
        <w:spacing w:line="360" w:lineRule="auto"/>
        <w:ind w:firstLineChars="200" w:firstLine="480"/>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年第二季度，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股整体录得了不错的受益，以申万行业分类统计来看，休闲服务、医药、食品饮料、电子、传媒等行业表现相对突出；建筑装饰、采掘、纺织服装、银行、公用事业表现落后。</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第二季度，随着前期国内疫情得到较好的控制，政策引导各行业分批复产，国内经济开始走出低谷。工业增加值率先转正，但考虑到出口订单疲弱、库存有一定累积。财政政策发力，</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月地方专项债集中发行</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万亿、</w:t>
      </w:r>
      <w:r>
        <w:rPr>
          <w:rFonts w:asciiTheme="minorEastAsia" w:eastAsiaTheme="minorEastAsia" w:hAnsiTheme="minorEastAsia"/>
          <w:color w:val="000000" w:themeColor="text1"/>
        </w:rPr>
        <w:t>6-7</w:t>
      </w:r>
      <w:r>
        <w:rPr>
          <w:rFonts w:asciiTheme="minorEastAsia" w:eastAsiaTheme="minorEastAsia" w:hAnsiTheme="minorEastAsia"/>
          <w:color w:val="000000" w:themeColor="text1"/>
        </w:rPr>
        <w:t>月预计将完成另外</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万亿特别国债的发行，从资金端上解决部分基建项目以及稳市场主体的资金来源。近日，国内外疫情有局部反复，疫情完全消除前对经济活动的抑制仍在，意味着经济将需要更长时间走出经济</w:t>
      </w:r>
      <w:r>
        <w:rPr>
          <w:rFonts w:asciiTheme="minorEastAsia" w:eastAsiaTheme="minorEastAsia" w:hAnsiTheme="minorEastAsia"/>
          <w:color w:val="000000" w:themeColor="text1"/>
        </w:rPr>
        <w:t>V</w:t>
      </w:r>
      <w:r>
        <w:rPr>
          <w:rFonts w:asciiTheme="minorEastAsia" w:eastAsiaTheme="minorEastAsia" w:hAnsiTheme="minorEastAsia"/>
          <w:color w:val="000000" w:themeColor="text1"/>
        </w:rPr>
        <w:t>型底。</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政策基调方面，两会明确今年不设经济增长目标，以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六保</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政策为主，强调底线思维。财政政策方面，确认赤字率上调至</w:t>
      </w:r>
      <w:r>
        <w:rPr>
          <w:rFonts w:asciiTheme="minorEastAsia" w:eastAsiaTheme="minorEastAsia" w:hAnsiTheme="minorEastAsia"/>
          <w:color w:val="000000" w:themeColor="text1"/>
        </w:rPr>
        <w:t>3.6%</w:t>
      </w:r>
      <w:r>
        <w:rPr>
          <w:rFonts w:asciiTheme="minorEastAsia" w:eastAsiaTheme="minorEastAsia" w:hAnsiTheme="minorEastAsia"/>
          <w:color w:val="000000" w:themeColor="text1"/>
        </w:rPr>
        <w:t>以上</w:t>
      </w:r>
      <w:r>
        <w:rPr>
          <w:rFonts w:asciiTheme="minorEastAsia" w:eastAsiaTheme="minorEastAsia" w:hAnsiTheme="minorEastAsia"/>
          <w:color w:val="000000" w:themeColor="text1"/>
        </w:rPr>
        <w:t>，专项债</w:t>
      </w:r>
      <w:r>
        <w:rPr>
          <w:rFonts w:asciiTheme="minorEastAsia" w:eastAsiaTheme="minorEastAsia" w:hAnsiTheme="minorEastAsia"/>
          <w:color w:val="000000" w:themeColor="text1"/>
        </w:rPr>
        <w:t>3.75</w:t>
      </w:r>
      <w:r>
        <w:rPr>
          <w:rFonts w:asciiTheme="minorEastAsia" w:eastAsiaTheme="minorEastAsia" w:hAnsiTheme="minorEastAsia"/>
          <w:color w:val="000000" w:themeColor="text1"/>
        </w:rPr>
        <w:t>万亿与特别国债</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万亿，但相对其它国家应对疫情的财政扩张规模，我们更加有序。货币政策方面，</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月以来的央行公开市场操作以回笼流动性为主，未体现应对政府债券密集发行背景下的对冲，操作节奏上存在防</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套利</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下的阶段性收缩；但货币政策总基调表述未变，仍有宽松空间。</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展望未来，我们认为国内经济逐步复苏的态势基本确定，但复苏的节奏受国际整体疫情的升级影响，接下来一段时间，我们会保持对市场影响较大的两个信号密切关注：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、全球疫情拐点的到来时点；</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、国内经济复苏节奏及货币刺激政策未来可能的逐步退出节奏。整体而言</w:t>
      </w:r>
      <w:r>
        <w:rPr>
          <w:rFonts w:asciiTheme="minorEastAsia" w:eastAsiaTheme="minorEastAsia" w:hAnsiTheme="minorEastAsia"/>
          <w:color w:val="000000" w:themeColor="text1"/>
        </w:rPr>
        <w:t>，我们认为</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股估值吸引力仍旧存在，国内优质公司成长的基本盘仍在。</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关于基金运作，在个股配置方面，未来各个行业的优质公司仍将是本基金关注的重点，在行业配置上，我们坚持较为均衡的行业配置思路，追求重点通过选股争取合理的超额收益。</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本报告期上投摩根大盘蓝筹股票份额净值增长率为</w:t>
      </w:r>
      <w:r>
        <w:rPr>
          <w:rFonts w:asciiTheme="minorEastAsia" w:eastAsiaTheme="minorEastAsia" w:hAnsiTheme="minorEastAsia"/>
          <w:color w:val="000000" w:themeColor="text1"/>
        </w:rPr>
        <w:t>:18.06%</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:11.11%</w:t>
      </w:r>
      <w:r>
        <w:rPr>
          <w:rFonts w:asciiTheme="minorEastAsia" w:eastAsiaTheme="minorEastAsia" w:hAnsiTheme="minorEastAsia"/>
          <w:color w:val="000000" w:themeColor="text1"/>
        </w:rPr>
        <w:t>。</w:t>
      </w:r>
    </w:p>
    <w:p w:rsidR="00045D33" w:rsidRDefault="00045D33">
      <w:pPr>
        <w:spacing w:line="360" w:lineRule="auto"/>
        <w:ind w:firstLineChars="200" w:firstLine="480"/>
        <w:rPr>
          <w:rFonts w:asciiTheme="minorEastAsia" w:eastAsiaTheme="minorEastAsia" w:hAnsiTheme="minorEastAsia"/>
          <w:color w:val="000000" w:themeColor="text1"/>
          <w:sz w:val="24"/>
          <w:szCs w:val="24"/>
        </w:rPr>
      </w:pP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274,603,215.63</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87.51</w:t>
            </w:r>
          </w:p>
        </w:tc>
      </w:tr>
      <w:tr w:rsidR="00045D33">
        <w:trPr>
          <w:jc w:val="center"/>
        </w:trPr>
        <w:tc>
          <w:tcPr>
            <w:tcW w:w="720" w:type="dxa"/>
            <w:vAlign w:val="center"/>
          </w:tcPr>
          <w:p w:rsidR="00045D33" w:rsidRDefault="00045D3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274,603,215.63</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87.51</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045D3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045D3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45D33" w:rsidRDefault="00F26628">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045D33" w:rsidRDefault="00F26628">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045D33" w:rsidRDefault="00F26628">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045D33">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045D33" w:rsidRDefault="00F26628">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37,932,555.47</w:t>
            </w:r>
          </w:p>
        </w:tc>
        <w:tc>
          <w:tcPr>
            <w:tcW w:w="1843" w:type="dxa"/>
            <w:vAlign w:val="center"/>
          </w:tcPr>
          <w:p w:rsidR="00045D33" w:rsidRDefault="00F26628">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12.09</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045D33" w:rsidRDefault="00F26628">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1,277,089.32</w:t>
            </w:r>
          </w:p>
        </w:tc>
        <w:tc>
          <w:tcPr>
            <w:tcW w:w="1843" w:type="dxa"/>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0.41</w:t>
            </w:r>
          </w:p>
        </w:tc>
      </w:tr>
      <w:tr w:rsidR="00045D33">
        <w:trPr>
          <w:jc w:val="center"/>
        </w:trPr>
        <w:tc>
          <w:tcPr>
            <w:tcW w:w="720" w:type="dxa"/>
            <w:vAlign w:val="center"/>
          </w:tcPr>
          <w:p w:rsidR="00045D33" w:rsidRDefault="00F26628">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045D33" w:rsidRDefault="00F26628">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313,812,860.42</w:t>
            </w:r>
          </w:p>
        </w:tc>
        <w:tc>
          <w:tcPr>
            <w:tcW w:w="1843" w:type="dxa"/>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045D33" w:rsidRDefault="00045D33">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045D33" w:rsidRDefault="00F26628">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045D33">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2,044,052.64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0.67</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7,849,545.00</w:t>
            </w:r>
          </w:p>
          <w:p w:rsidR="00045D33" w:rsidRDefault="00045D33">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2.56</w:t>
            </w:r>
          </w:p>
          <w:p w:rsidR="00045D33" w:rsidRDefault="00045D33">
            <w:pPr>
              <w:jc w:val="right"/>
              <w:rPr>
                <w:rFonts w:asciiTheme="minorEastAsia" w:eastAsiaTheme="minorEastAsia" w:hAnsiTheme="minorEastAsia" w:cs="宋体"/>
                <w:color w:val="000000" w:themeColor="text1"/>
                <w:kern w:val="0"/>
              </w:rPr>
            </w:pP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165,026,431.02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53.84</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12,766.32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2,976,491.00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0.97</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7,776,383.57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2.54</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69,252,219.70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22.60</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9,418,837.38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3.07</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4,174,213.00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1.36</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6,072,276.00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1.98</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045D33">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045D33">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045D33" w:rsidRDefault="00F26628">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274,603,215.63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45D33" w:rsidRDefault="00F26628">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89.60</w:t>
            </w:r>
          </w:p>
        </w:tc>
      </w:tr>
    </w:tbl>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045D33">
        <w:tc>
          <w:tcPr>
            <w:tcW w:w="817"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045D33" w:rsidRDefault="00F26628">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1</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601318</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中国平安</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239,951</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17,132,501.40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5.59</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2</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600519</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贵州茅台</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11,674</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17,077,661.12</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5.57</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3</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600036</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招商银行</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425,375</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14,343,645.00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4.68</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4</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000333</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美的集团</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188,984</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11,299,353.36</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3.69</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5</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000858</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粮</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液</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53,300</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9,120,696.00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2.98</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6</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002142</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宁波银行</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328,120</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8,619,712.40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2.81</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7</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600030</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中信证券</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331,590</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7,994,634.90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2.61</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8</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000661</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长春高新</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17,882</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7,784,034.60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2.54</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9</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002475</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立讯精密</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149,324</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7,667,787.40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2.50</w:t>
            </w:r>
          </w:p>
        </w:tc>
      </w:tr>
      <w:tr w:rsidR="00045D33">
        <w:tc>
          <w:tcPr>
            <w:tcW w:w="817" w:type="dxa"/>
            <w:vAlign w:val="center"/>
          </w:tcPr>
          <w:p w:rsidR="00045D33" w:rsidRDefault="00F26628">
            <w:pPr>
              <w:jc w:val="center"/>
            </w:pPr>
            <w:r>
              <w:rPr>
                <w:rFonts w:asciiTheme="minorEastAsia" w:eastAsiaTheme="minorEastAsia" w:hAnsiTheme="minorEastAsia" w:cs="宋体"/>
                <w:color w:val="000000" w:themeColor="text1"/>
                <w:kern w:val="0"/>
              </w:rPr>
              <w:t>10</w:t>
            </w:r>
          </w:p>
        </w:tc>
        <w:tc>
          <w:tcPr>
            <w:tcW w:w="1276" w:type="dxa"/>
            <w:vAlign w:val="center"/>
          </w:tcPr>
          <w:p w:rsidR="00045D33" w:rsidRDefault="00F26628">
            <w:pPr>
              <w:jc w:val="center"/>
            </w:pPr>
            <w:r>
              <w:rPr>
                <w:rFonts w:asciiTheme="minorEastAsia" w:eastAsiaTheme="minorEastAsia" w:hAnsiTheme="minorEastAsia" w:cs="宋体"/>
                <w:color w:val="000000" w:themeColor="text1"/>
                <w:kern w:val="0"/>
              </w:rPr>
              <w:t>600031</w:t>
            </w:r>
          </w:p>
        </w:tc>
        <w:tc>
          <w:tcPr>
            <w:tcW w:w="1701" w:type="dxa"/>
            <w:vAlign w:val="center"/>
          </w:tcPr>
          <w:p w:rsidR="00045D33" w:rsidRDefault="00F26628">
            <w:pPr>
              <w:jc w:val="center"/>
            </w:pPr>
            <w:r>
              <w:rPr>
                <w:rFonts w:asciiTheme="minorEastAsia" w:eastAsiaTheme="minorEastAsia" w:hAnsiTheme="minorEastAsia" w:cs="宋体"/>
                <w:color w:val="000000" w:themeColor="text1"/>
                <w:kern w:val="0"/>
              </w:rPr>
              <w:t>三一重工</w:t>
            </w:r>
          </w:p>
        </w:tc>
        <w:tc>
          <w:tcPr>
            <w:tcW w:w="1276" w:type="dxa"/>
            <w:vAlign w:val="center"/>
          </w:tcPr>
          <w:p w:rsidR="00045D33" w:rsidRDefault="00F26628">
            <w:pPr>
              <w:jc w:val="right"/>
            </w:pPr>
            <w:r>
              <w:rPr>
                <w:rFonts w:asciiTheme="minorEastAsia" w:eastAsiaTheme="minorEastAsia" w:hAnsiTheme="minorEastAsia" w:cs="宋体"/>
                <w:color w:val="000000" w:themeColor="text1"/>
                <w:kern w:val="0"/>
              </w:rPr>
              <w:t>405,390</w:t>
            </w:r>
          </w:p>
        </w:tc>
        <w:tc>
          <w:tcPr>
            <w:tcW w:w="1842" w:type="dxa"/>
            <w:vAlign w:val="center"/>
          </w:tcPr>
          <w:p w:rsidR="00045D33" w:rsidRDefault="00F26628">
            <w:pPr>
              <w:jc w:val="right"/>
            </w:pPr>
            <w:r>
              <w:rPr>
                <w:rFonts w:asciiTheme="minorEastAsia" w:eastAsiaTheme="minorEastAsia" w:hAnsiTheme="minorEastAsia" w:cs="宋体"/>
                <w:color w:val="000000" w:themeColor="text1"/>
                <w:kern w:val="0"/>
              </w:rPr>
              <w:t>7,605,116.40</w:t>
            </w:r>
          </w:p>
        </w:tc>
        <w:tc>
          <w:tcPr>
            <w:tcW w:w="1616" w:type="dxa"/>
            <w:vAlign w:val="center"/>
          </w:tcPr>
          <w:p w:rsidR="00045D33" w:rsidRDefault="00F26628">
            <w:pPr>
              <w:jc w:val="right"/>
            </w:pPr>
            <w:r>
              <w:rPr>
                <w:rFonts w:asciiTheme="minorEastAsia" w:eastAsiaTheme="minorEastAsia" w:hAnsiTheme="minorEastAsia" w:cs="宋体"/>
                <w:color w:val="000000" w:themeColor="text1"/>
                <w:kern w:val="0"/>
              </w:rPr>
              <w:t>2.48</w:t>
            </w:r>
          </w:p>
        </w:tc>
      </w:tr>
    </w:tbl>
    <w:p w:rsidR="00045D33" w:rsidRDefault="00045D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045D33" w:rsidRDefault="00045D3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045D33" w:rsidRDefault="00F26628">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045D33" w:rsidRDefault="00045D33">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045D33" w:rsidRDefault="00045D33">
      <w:pPr>
        <w:adjustRightInd w:val="0"/>
        <w:snapToGrid w:val="0"/>
        <w:spacing w:line="360" w:lineRule="exact"/>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045D33" w:rsidRDefault="00F26628">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045D33">
        <w:tc>
          <w:tcPr>
            <w:tcW w:w="1235"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045D33" w:rsidRDefault="00F26628">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153,560.96</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8,080.01</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1,115,448.35</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045D33">
        <w:tc>
          <w:tcPr>
            <w:tcW w:w="1235" w:type="dxa"/>
            <w:vAlign w:val="center"/>
          </w:tcPr>
          <w:p w:rsidR="00045D33" w:rsidRDefault="00F26628">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045D33" w:rsidRDefault="00F26628">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1,277,089.32</w:t>
            </w:r>
          </w:p>
        </w:tc>
      </w:tr>
    </w:tbl>
    <w:p w:rsidR="00045D33" w:rsidRDefault="00045D33">
      <w:pPr>
        <w:autoSpaceDE w:val="0"/>
        <w:autoSpaceDN w:val="0"/>
        <w:adjustRightInd w:val="0"/>
        <w:spacing w:line="360" w:lineRule="auto"/>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045D33" w:rsidRDefault="00045D33">
      <w:pPr>
        <w:autoSpaceDE w:val="0"/>
        <w:autoSpaceDN w:val="0"/>
        <w:adjustRightInd w:val="0"/>
        <w:spacing w:line="360" w:lineRule="auto"/>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045D33" w:rsidRDefault="00045D33">
      <w:pPr>
        <w:autoSpaceDE w:val="0"/>
        <w:autoSpaceDN w:val="0"/>
        <w:adjustRightInd w:val="0"/>
        <w:spacing w:line="360" w:lineRule="auto"/>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045D33" w:rsidRDefault="00F26628">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045D33">
        <w:tc>
          <w:tcPr>
            <w:tcW w:w="4609"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141,400,798.55</w:t>
            </w:r>
          </w:p>
        </w:tc>
      </w:tr>
      <w:tr w:rsidR="00045D33">
        <w:tc>
          <w:tcPr>
            <w:tcW w:w="4609"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11,723,058.08</w:t>
            </w:r>
          </w:p>
        </w:tc>
      </w:tr>
      <w:tr w:rsidR="00045D33">
        <w:tc>
          <w:tcPr>
            <w:tcW w:w="4609"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16,044,761.20</w:t>
            </w:r>
          </w:p>
        </w:tc>
      </w:tr>
      <w:tr w:rsidR="00045D33">
        <w:tc>
          <w:tcPr>
            <w:tcW w:w="4609"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045D33">
        <w:tc>
          <w:tcPr>
            <w:tcW w:w="4609"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045D33" w:rsidRDefault="00F26628">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137,079,095.43</w:t>
            </w:r>
          </w:p>
        </w:tc>
      </w:tr>
    </w:tbl>
    <w:p w:rsidR="00045D33" w:rsidRDefault="00F26628">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045D33" w:rsidRDefault="00F26628">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045D33" w:rsidRDefault="00F26628">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045D33" w:rsidRDefault="00045D33">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045D33" w:rsidRDefault="00F26628">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中国证监会批准上投摩根大盘蓝筹股票型证券投资基金设立的文件；</w:t>
      </w:r>
      <w:r>
        <w:rPr>
          <w:rFonts w:asciiTheme="minorEastAsia" w:eastAsiaTheme="minorEastAsia" w:hAnsiTheme="minorEastAsia" w:hint="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《上投摩根大盘蓝筹股票型证券投资基金基金合同》；</w:t>
      </w:r>
      <w:r>
        <w:rPr>
          <w:rFonts w:asciiTheme="minorEastAsia" w:eastAsiaTheme="minorEastAsia" w:hAnsiTheme="minorEastAsia" w:hint="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《上投摩根大盘蓝筹股票型证券投资基金托管协议》；</w:t>
      </w:r>
      <w:r>
        <w:rPr>
          <w:rFonts w:asciiTheme="minorEastAsia" w:eastAsiaTheme="minorEastAsia" w:hAnsiTheme="minorEastAsia" w:hint="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045D33" w:rsidRDefault="00045D33">
      <w:pPr>
        <w:spacing w:line="360" w:lineRule="auto"/>
        <w:ind w:firstLineChars="200" w:firstLine="480"/>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045D33" w:rsidRDefault="00045D33">
      <w:pPr>
        <w:spacing w:line="360" w:lineRule="auto"/>
        <w:ind w:firstLineChars="200" w:firstLine="480"/>
        <w:rPr>
          <w:rFonts w:asciiTheme="minorEastAsia" w:eastAsiaTheme="minorEastAsia" w:hAnsiTheme="minorEastAsia"/>
          <w:color w:val="000000" w:themeColor="text1"/>
          <w:sz w:val="24"/>
          <w:szCs w:val="24"/>
        </w:rPr>
      </w:pPr>
    </w:p>
    <w:p w:rsidR="00045D33" w:rsidRDefault="00F2662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045D33" w:rsidRDefault="00F26628">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045D33">
      <w:pPr>
        <w:spacing w:line="360" w:lineRule="auto"/>
        <w:ind w:left="840"/>
        <w:jc w:val="right"/>
        <w:rPr>
          <w:rFonts w:asciiTheme="minorEastAsia" w:eastAsiaTheme="minorEastAsia" w:hAnsiTheme="minorEastAsia"/>
          <w:color w:val="000000" w:themeColor="text1"/>
          <w:sz w:val="24"/>
          <w:szCs w:val="24"/>
        </w:rPr>
      </w:pPr>
    </w:p>
    <w:p w:rsidR="00045D33" w:rsidRDefault="00F26628">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045D33" w:rsidRDefault="00F26628">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二〇二〇年七月二十一日</w:t>
      </w:r>
    </w:p>
    <w:p w:rsidR="00045D33" w:rsidRDefault="00045D33">
      <w:pPr>
        <w:spacing w:line="360" w:lineRule="auto"/>
        <w:ind w:left="840"/>
        <w:jc w:val="right"/>
        <w:rPr>
          <w:rFonts w:asciiTheme="minorEastAsia" w:eastAsiaTheme="minorEastAsia" w:hAnsiTheme="minorEastAsia"/>
          <w:b/>
          <w:bCs/>
          <w:color w:val="000000" w:themeColor="text1"/>
          <w:sz w:val="24"/>
          <w:szCs w:val="24"/>
        </w:rPr>
      </w:pPr>
    </w:p>
    <w:p w:rsidR="00045D33" w:rsidRDefault="00045D33">
      <w:pPr>
        <w:rPr>
          <w:rFonts w:asciiTheme="minorEastAsia" w:eastAsiaTheme="minorEastAsia" w:hAnsiTheme="minorEastAsia"/>
          <w:color w:val="000000" w:themeColor="text1"/>
          <w:sz w:val="24"/>
          <w:szCs w:val="24"/>
        </w:rPr>
      </w:pPr>
    </w:p>
    <w:sectPr w:rsidR="00045D33">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26628">
      <w:r>
        <w:separator/>
      </w:r>
    </w:p>
  </w:endnote>
  <w:endnote w:type="continuationSeparator" w:id="0">
    <w:p w:rsidR="00000000" w:rsidRDefault="00F2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33" w:rsidRDefault="00F26628">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F2662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33" w:rsidRDefault="00F26628">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045D33" w:rsidRDefault="00045D3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26628">
      <w:r>
        <w:separator/>
      </w:r>
    </w:p>
  </w:footnote>
  <w:footnote w:type="continuationSeparator" w:id="0">
    <w:p w:rsidR="00000000" w:rsidRDefault="00F2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33" w:rsidRDefault="00F26628">
    <w:pPr>
      <w:pStyle w:val="af6"/>
      <w:pBdr>
        <w:bottom w:val="single" w:sz="6" w:space="0" w:color="auto"/>
      </w:pBdr>
      <w:jc w:val="right"/>
    </w:pPr>
    <w:r>
      <w:rPr>
        <w:rFonts w:hint="eastAsia"/>
      </w:rPr>
      <w:t>上投摩根大盘蓝筹股票型证券投资基金</w:t>
    </w:r>
    <w:r>
      <w:rPr>
        <w:rFonts w:hint="eastAsia"/>
      </w:rPr>
      <w:t>2020</w:t>
    </w:r>
    <w:r>
      <w:rPr>
        <w:rFonts w:hint="eastAsia"/>
      </w:rPr>
      <w:t>年第</w:t>
    </w:r>
    <w:r>
      <w:rPr>
        <w:rFonts w:hint="eastAsia"/>
      </w:rPr>
      <w:t>2</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5D33"/>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6628"/>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6434C-6390-42CB-AB41-2028F854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73774F-5E82-4431-BADB-5996837A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1002</Words>
  <Characters>5713</Characters>
  <Application>Microsoft Office Word</Application>
  <DocSecurity>0</DocSecurity>
  <Lines>47</Lines>
  <Paragraphs>13</Paragraphs>
  <ScaleCrop>false</ScaleCrop>
  <Company>Cifm</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2020-07-20T08:45:00Z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