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上投摩根大盘蓝筹股票型证券投资基金</w:t>
      </w:r>
    </w:p>
    <w:p w:rsidR="00045D33" w:rsidRDefault="00F26628">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2020</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2</w:t>
      </w:r>
      <w:r>
        <w:rPr>
          <w:rFonts w:asciiTheme="minorEastAsia" w:eastAsiaTheme="minorEastAsia" w:hAnsiTheme="minorEastAsia" w:hint="eastAsia"/>
          <w:b/>
          <w:color w:val="000000" w:themeColor="text1"/>
          <w:sz w:val="36"/>
          <w:szCs w:val="36"/>
        </w:rPr>
        <w:t>季度报告</w:t>
      </w:r>
    </w:p>
    <w:p w:rsidR="00045D33" w:rsidRDefault="00F26628">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2020</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6</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jc w:val="center"/>
        <w:rPr>
          <w:rFonts w:asciiTheme="minorEastAsia" w:eastAsiaTheme="minorEastAsia" w:hAnsiTheme="minorEastAsia"/>
          <w:b/>
          <w:bCs/>
          <w:color w:val="000000" w:themeColor="text1"/>
          <w:sz w:val="24"/>
          <w:szCs w:val="24"/>
        </w:rPr>
      </w:pPr>
    </w:p>
    <w:p w:rsidR="00045D33" w:rsidRDefault="00045D33">
      <w:pPr>
        <w:spacing w:line="360" w:lineRule="auto"/>
        <w:rPr>
          <w:rFonts w:asciiTheme="minorEastAsia" w:eastAsiaTheme="minorEastAsia" w:hAnsiTheme="minorEastAsia"/>
          <w:b/>
          <w:bCs/>
          <w:color w:val="000000" w:themeColor="text1"/>
          <w:sz w:val="24"/>
          <w:szCs w:val="24"/>
        </w:rPr>
      </w:pPr>
    </w:p>
    <w:p w:rsidR="00045D33" w:rsidRDefault="00F26628">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045D33" w:rsidRDefault="00F26628">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045D33" w:rsidRDefault="00F26628">
      <w:pPr>
        <w:spacing w:line="360" w:lineRule="auto"/>
        <w:ind w:firstLineChars="900" w:firstLine="2168"/>
        <w:rPr>
          <w:rFonts w:asciiTheme="minorEastAsia" w:eastAsiaTheme="minorEastAsia" w:hAnsiTheme="minorEastAsia"/>
          <w:b/>
          <w:color w:val="000000" w:themeColor="text1"/>
          <w:sz w:val="24"/>
          <w:szCs w:val="24"/>
        </w:rPr>
        <w:sectPr w:rsidR="00045D33">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二〇二〇年七月二十一日</w:t>
      </w:r>
    </w:p>
    <w:p w:rsidR="00045D33" w:rsidRDefault="00F26628">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基金托管人中国建设银行股份有限公司根据本基金合同规定，于</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045D33" w:rsidRDefault="00F2662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上投摩根大盘蓝筹股票</w:t>
            </w:r>
          </w:p>
        </w:tc>
      </w:tr>
      <w:tr w:rsidR="00045D33">
        <w:tc>
          <w:tcPr>
            <w:tcW w:w="2835" w:type="dxa"/>
            <w:tcBorders>
              <w:top w:val="single" w:sz="4" w:space="0" w:color="auto"/>
              <w:left w:val="single" w:sz="4" w:space="0" w:color="auto"/>
              <w:bottom w:val="single" w:sz="4" w:space="0" w:color="auto"/>
              <w:right w:val="single" w:sz="4" w:space="0" w:color="auto"/>
            </w:tcBorders>
            <w:vAlign w:val="center"/>
          </w:tcPr>
          <w:p w:rsidR="00045D33" w:rsidRDefault="00F26628">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376510</w:t>
            </w:r>
          </w:p>
        </w:tc>
      </w:tr>
      <w:tr w:rsidR="00045D33">
        <w:tc>
          <w:tcPr>
            <w:tcW w:w="2835" w:type="dxa"/>
            <w:tcBorders>
              <w:top w:val="single" w:sz="4" w:space="0" w:color="auto"/>
              <w:left w:val="single" w:sz="4" w:space="0" w:color="auto"/>
              <w:bottom w:val="single" w:sz="4" w:space="0" w:color="auto"/>
              <w:right w:val="single" w:sz="4" w:space="0" w:color="auto"/>
            </w:tcBorders>
            <w:vAlign w:val="center"/>
          </w:tcPr>
          <w:p w:rsidR="00045D33" w:rsidRDefault="00F26628">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376510</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2010</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12</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20</w:t>
            </w:r>
            <w:r>
              <w:rPr>
                <w:rFonts w:asciiTheme="minorEastAsia" w:eastAsiaTheme="minorEastAsia" w:hAnsiTheme="minorEastAsia"/>
                <w:color w:val="000000" w:themeColor="text1"/>
                <w:kern w:val="0"/>
              </w:rPr>
              <w:t>日</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137,079,095.43</w:t>
            </w:r>
            <w:r>
              <w:rPr>
                <w:rFonts w:asciiTheme="minorEastAsia" w:eastAsiaTheme="minorEastAsia" w:hAnsiTheme="minorEastAsia" w:hint="eastAsia"/>
                <w:color w:val="000000" w:themeColor="text1"/>
                <w:kern w:val="0"/>
              </w:rPr>
              <w:t>份</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通过投资大盘蓝筹股票，力争最大程度的分享中国经济持续发展带来的中长期收益。在有效控制风险的前提下，追求基金资产的长期稳健增值。</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本基金充分借鉴摩根资产管理集团全球行之有效的投资理念和技术，</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自下而上</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的精选个股，重点投资于在行业内占有领先地位、业绩良好且稳定增长、价值相对低估的大盘蓝筹上市公司。同时结合宏观经济运行状况和金融</w:t>
            </w:r>
            <w:r>
              <w:rPr>
                <w:rFonts w:asciiTheme="minorEastAsia" w:eastAsiaTheme="minorEastAsia" w:hAnsiTheme="minorEastAsia"/>
                <w:color w:val="000000" w:themeColor="text1"/>
                <w:kern w:val="0"/>
              </w:rPr>
              <w:lastRenderedPageBreak/>
              <w:t>市场运行分析趋势的市场研判，对相关资产类别的预期收益进行监控，动态调整股票、债券等大类资产配置。</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×85%+</w:t>
            </w:r>
            <w:r>
              <w:rPr>
                <w:rFonts w:asciiTheme="minorEastAsia" w:eastAsiaTheme="minorEastAsia" w:hAnsiTheme="minorEastAsia"/>
                <w:color w:val="000000" w:themeColor="text1"/>
                <w:kern w:val="0"/>
              </w:rPr>
              <w:t>上证国债指数收益率</w:t>
            </w:r>
            <w:r>
              <w:rPr>
                <w:rFonts w:asciiTheme="minorEastAsia" w:eastAsiaTheme="minorEastAsia" w:hAnsiTheme="minorEastAsia"/>
                <w:color w:val="000000" w:themeColor="text1"/>
                <w:kern w:val="0"/>
              </w:rPr>
              <w:t>×15%</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本基金属于股票型基金产品，在开放式基金中，其预期风险和收益水平高于混合型基金、债券型基金和货币市场基金，属于风险水平较高的基金产品。</w:t>
            </w:r>
            <w:r>
              <w:rPr>
                <w:rFonts w:asciiTheme="minorEastAsia" w:eastAsiaTheme="minorEastAsia" w:hAnsiTheme="minorEastAsia"/>
                <w:color w:val="000000" w:themeColor="text1"/>
                <w:kern w:val="0"/>
              </w:rPr>
              <w:t xml:space="preserve"> </w:t>
            </w:r>
          </w:p>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w:t>
            </w:r>
            <w:r>
              <w:rPr>
                <w:rFonts w:asciiTheme="minorEastAsia" w:eastAsiaTheme="minorEastAsia" w:hAnsiTheme="minorEastAsia"/>
                <w:color w:val="000000" w:themeColor="text1"/>
                <w:kern w:val="0"/>
              </w:rPr>
              <w:t>2017</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7</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045D33">
        <w:tc>
          <w:tcPr>
            <w:tcW w:w="2835"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045D33" w:rsidRDefault="00F2662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F26628" w:rsidTr="00F26628">
        <w:tc>
          <w:tcPr>
            <w:tcW w:w="3402" w:type="dxa"/>
            <w:vAlign w:val="center"/>
          </w:tcPr>
          <w:p w:rsidR="00045D33" w:rsidRDefault="00F26628">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045D33" w:rsidRDefault="00F26628">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045D33" w:rsidRDefault="00F26628">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2020</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4</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-2020</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6</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F26628" w:rsidTr="00F26628">
        <w:tc>
          <w:tcPr>
            <w:tcW w:w="3402"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045D33" w:rsidRDefault="00F2662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11,780,150.51</w:t>
            </w:r>
          </w:p>
        </w:tc>
      </w:tr>
      <w:tr w:rsidR="00F26628" w:rsidTr="00F26628">
        <w:tc>
          <w:tcPr>
            <w:tcW w:w="3402"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045D33" w:rsidRDefault="00F2662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48,017,690.31</w:t>
            </w:r>
          </w:p>
        </w:tc>
      </w:tr>
      <w:tr w:rsidR="00F26628" w:rsidTr="00F26628">
        <w:tc>
          <w:tcPr>
            <w:tcW w:w="3402"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045D33" w:rsidRDefault="00F2662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0.3406</w:t>
            </w:r>
          </w:p>
        </w:tc>
      </w:tr>
      <w:tr w:rsidR="00F26628" w:rsidTr="00F26628">
        <w:tc>
          <w:tcPr>
            <w:tcW w:w="3402"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045D33" w:rsidRDefault="00F2662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306,486,908.82</w:t>
            </w:r>
          </w:p>
        </w:tc>
      </w:tr>
      <w:tr w:rsidR="00F26628" w:rsidTr="00F26628">
        <w:trPr>
          <w:trHeight w:val="158"/>
        </w:trPr>
        <w:tc>
          <w:tcPr>
            <w:tcW w:w="3402" w:type="dxa"/>
            <w:vAlign w:val="center"/>
          </w:tcPr>
          <w:p w:rsidR="00045D33" w:rsidRDefault="00F26628">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045D33" w:rsidRDefault="00F26628">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2.236</w:t>
            </w:r>
          </w:p>
        </w:tc>
      </w:tr>
    </w:tbl>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w:t>
      </w:r>
      <w:r>
        <w:rPr>
          <w:rFonts w:asciiTheme="minorEastAsia" w:eastAsiaTheme="minorEastAsia" w:hAnsiTheme="minorEastAsia"/>
          <w:color w:val="000000" w:themeColor="text1"/>
        </w:rPr>
        <w:lastRenderedPageBreak/>
        <w:t>费、红利再投资费、基金转换费等），计入费用后实际收益水平要低于所列数字。</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045D33" w:rsidRDefault="00F26628">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045D33">
        <w:tc>
          <w:tcPr>
            <w:tcW w:w="1395"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045D33">
        <w:tc>
          <w:tcPr>
            <w:tcW w:w="1395" w:type="dxa"/>
            <w:vAlign w:val="center"/>
          </w:tcPr>
          <w:p w:rsidR="00045D33" w:rsidRDefault="00F26628">
            <w:pPr>
              <w:jc w:val="left"/>
            </w:pPr>
            <w:r>
              <w:rPr>
                <w:rFonts w:asciiTheme="minorEastAsia" w:eastAsiaTheme="minorEastAsia" w:hAnsiTheme="minorEastAsia"/>
                <w:color w:val="000000" w:themeColor="text1"/>
                <w:kern w:val="0"/>
              </w:rPr>
              <w:t>过去三个月</w:t>
            </w:r>
          </w:p>
        </w:tc>
        <w:tc>
          <w:tcPr>
            <w:tcW w:w="1092" w:type="dxa"/>
            <w:vAlign w:val="center"/>
          </w:tcPr>
          <w:p w:rsidR="00045D33" w:rsidRDefault="00F26628">
            <w:pPr>
              <w:jc w:val="center"/>
            </w:pPr>
            <w:r>
              <w:rPr>
                <w:rFonts w:asciiTheme="minorEastAsia" w:eastAsiaTheme="minorEastAsia" w:hAnsiTheme="minorEastAsia"/>
                <w:color w:val="000000" w:themeColor="text1"/>
                <w:kern w:val="0"/>
              </w:rPr>
              <w:t>18.06%</w:t>
            </w:r>
          </w:p>
        </w:tc>
        <w:tc>
          <w:tcPr>
            <w:tcW w:w="1161" w:type="dxa"/>
            <w:vAlign w:val="center"/>
          </w:tcPr>
          <w:p w:rsidR="00045D33" w:rsidRDefault="00F26628">
            <w:pPr>
              <w:jc w:val="center"/>
            </w:pPr>
            <w:r>
              <w:rPr>
                <w:rFonts w:asciiTheme="minorEastAsia" w:eastAsiaTheme="minorEastAsia" w:hAnsiTheme="minorEastAsia"/>
                <w:color w:val="000000" w:themeColor="text1"/>
                <w:kern w:val="0"/>
              </w:rPr>
              <w:t>0.89%</w:t>
            </w:r>
          </w:p>
        </w:tc>
        <w:tc>
          <w:tcPr>
            <w:tcW w:w="1181" w:type="dxa"/>
            <w:vAlign w:val="center"/>
          </w:tcPr>
          <w:p w:rsidR="00045D33" w:rsidRDefault="00F26628">
            <w:pPr>
              <w:jc w:val="center"/>
            </w:pPr>
            <w:r>
              <w:rPr>
                <w:rFonts w:asciiTheme="minorEastAsia" w:eastAsiaTheme="minorEastAsia" w:hAnsiTheme="minorEastAsia"/>
                <w:color w:val="000000" w:themeColor="text1"/>
                <w:kern w:val="0"/>
              </w:rPr>
              <w:t>11.11%</w:t>
            </w:r>
          </w:p>
        </w:tc>
        <w:tc>
          <w:tcPr>
            <w:tcW w:w="1188" w:type="dxa"/>
            <w:vAlign w:val="center"/>
          </w:tcPr>
          <w:p w:rsidR="00045D33" w:rsidRDefault="00F26628">
            <w:pPr>
              <w:jc w:val="center"/>
            </w:pPr>
            <w:r>
              <w:rPr>
                <w:rFonts w:asciiTheme="minorEastAsia" w:eastAsiaTheme="minorEastAsia" w:hAnsiTheme="minorEastAsia"/>
                <w:color w:val="000000" w:themeColor="text1"/>
                <w:kern w:val="0"/>
              </w:rPr>
              <w:t>0.76%</w:t>
            </w:r>
          </w:p>
        </w:tc>
        <w:tc>
          <w:tcPr>
            <w:tcW w:w="1199" w:type="dxa"/>
            <w:vAlign w:val="center"/>
          </w:tcPr>
          <w:p w:rsidR="00045D33" w:rsidRDefault="00F26628">
            <w:pPr>
              <w:jc w:val="center"/>
            </w:pPr>
            <w:r>
              <w:rPr>
                <w:rFonts w:asciiTheme="minorEastAsia" w:eastAsiaTheme="minorEastAsia" w:hAnsiTheme="minorEastAsia"/>
                <w:color w:val="000000" w:themeColor="text1"/>
                <w:kern w:val="0"/>
              </w:rPr>
              <w:t>6.95%</w:t>
            </w:r>
          </w:p>
        </w:tc>
        <w:tc>
          <w:tcPr>
            <w:tcW w:w="1204" w:type="dxa"/>
            <w:vAlign w:val="center"/>
          </w:tcPr>
          <w:p w:rsidR="00045D33" w:rsidRDefault="00F26628">
            <w:pPr>
              <w:jc w:val="center"/>
            </w:pPr>
            <w:r>
              <w:rPr>
                <w:rFonts w:asciiTheme="minorEastAsia" w:eastAsiaTheme="minorEastAsia" w:hAnsiTheme="minorEastAsia"/>
                <w:color w:val="000000" w:themeColor="text1"/>
                <w:kern w:val="0"/>
              </w:rPr>
              <w:t>0.13%</w:t>
            </w:r>
          </w:p>
        </w:tc>
      </w:tr>
      <w:tr w:rsidR="00045D33">
        <w:tc>
          <w:tcPr>
            <w:tcW w:w="1395" w:type="dxa"/>
            <w:vAlign w:val="center"/>
          </w:tcPr>
          <w:p w:rsidR="00045D33" w:rsidRDefault="00F26628">
            <w:pPr>
              <w:jc w:val="left"/>
            </w:pPr>
            <w:r>
              <w:rPr>
                <w:rFonts w:asciiTheme="minorEastAsia" w:eastAsiaTheme="minorEastAsia" w:hAnsiTheme="minorEastAsia"/>
                <w:color w:val="000000" w:themeColor="text1"/>
                <w:kern w:val="0"/>
              </w:rPr>
              <w:t>过去六个月</w:t>
            </w:r>
          </w:p>
        </w:tc>
        <w:tc>
          <w:tcPr>
            <w:tcW w:w="1092" w:type="dxa"/>
            <w:vAlign w:val="center"/>
          </w:tcPr>
          <w:p w:rsidR="00045D33" w:rsidRDefault="00F26628">
            <w:pPr>
              <w:jc w:val="center"/>
            </w:pPr>
            <w:r>
              <w:rPr>
                <w:rFonts w:asciiTheme="minorEastAsia" w:eastAsiaTheme="minorEastAsia" w:hAnsiTheme="minorEastAsia"/>
                <w:color w:val="000000" w:themeColor="text1"/>
                <w:kern w:val="0"/>
              </w:rPr>
              <w:t>15.73%</w:t>
            </w:r>
          </w:p>
        </w:tc>
        <w:tc>
          <w:tcPr>
            <w:tcW w:w="1161" w:type="dxa"/>
            <w:vAlign w:val="center"/>
          </w:tcPr>
          <w:p w:rsidR="00045D33" w:rsidRDefault="00F26628">
            <w:pPr>
              <w:jc w:val="center"/>
            </w:pPr>
            <w:r>
              <w:rPr>
                <w:rFonts w:asciiTheme="minorEastAsia" w:eastAsiaTheme="minorEastAsia" w:hAnsiTheme="minorEastAsia"/>
                <w:color w:val="000000" w:themeColor="text1"/>
                <w:kern w:val="0"/>
              </w:rPr>
              <w:t>1.52%</w:t>
            </w:r>
          </w:p>
        </w:tc>
        <w:tc>
          <w:tcPr>
            <w:tcW w:w="1181" w:type="dxa"/>
            <w:vAlign w:val="center"/>
          </w:tcPr>
          <w:p w:rsidR="00045D33" w:rsidRDefault="00F26628">
            <w:pPr>
              <w:jc w:val="center"/>
            </w:pPr>
            <w:r>
              <w:rPr>
                <w:rFonts w:asciiTheme="minorEastAsia" w:eastAsiaTheme="minorEastAsia" w:hAnsiTheme="minorEastAsia"/>
                <w:color w:val="000000" w:themeColor="text1"/>
                <w:kern w:val="0"/>
              </w:rPr>
              <w:t>1.83%</w:t>
            </w:r>
          </w:p>
        </w:tc>
        <w:tc>
          <w:tcPr>
            <w:tcW w:w="1188" w:type="dxa"/>
            <w:vAlign w:val="center"/>
          </w:tcPr>
          <w:p w:rsidR="00045D33" w:rsidRDefault="00F26628">
            <w:pPr>
              <w:jc w:val="center"/>
            </w:pPr>
            <w:r>
              <w:rPr>
                <w:rFonts w:asciiTheme="minorEastAsia" w:eastAsiaTheme="minorEastAsia" w:hAnsiTheme="minorEastAsia"/>
                <w:color w:val="000000" w:themeColor="text1"/>
                <w:kern w:val="0"/>
              </w:rPr>
              <w:t>1.29%</w:t>
            </w:r>
          </w:p>
        </w:tc>
        <w:tc>
          <w:tcPr>
            <w:tcW w:w="1199" w:type="dxa"/>
            <w:vAlign w:val="center"/>
          </w:tcPr>
          <w:p w:rsidR="00045D33" w:rsidRDefault="00F26628">
            <w:pPr>
              <w:jc w:val="center"/>
            </w:pPr>
            <w:r>
              <w:rPr>
                <w:rFonts w:asciiTheme="minorEastAsia" w:eastAsiaTheme="minorEastAsia" w:hAnsiTheme="minorEastAsia"/>
                <w:color w:val="000000" w:themeColor="text1"/>
                <w:kern w:val="0"/>
              </w:rPr>
              <w:t>13.90%</w:t>
            </w:r>
          </w:p>
        </w:tc>
        <w:tc>
          <w:tcPr>
            <w:tcW w:w="1204" w:type="dxa"/>
            <w:vAlign w:val="center"/>
          </w:tcPr>
          <w:p w:rsidR="00045D33" w:rsidRDefault="00F26628">
            <w:pPr>
              <w:jc w:val="center"/>
            </w:pPr>
            <w:r>
              <w:rPr>
                <w:rFonts w:asciiTheme="minorEastAsia" w:eastAsiaTheme="minorEastAsia" w:hAnsiTheme="minorEastAsia"/>
                <w:color w:val="000000" w:themeColor="text1"/>
                <w:kern w:val="0"/>
              </w:rPr>
              <w:t>0.23%</w:t>
            </w:r>
          </w:p>
        </w:tc>
      </w:tr>
      <w:tr w:rsidR="00045D33">
        <w:tc>
          <w:tcPr>
            <w:tcW w:w="1395" w:type="dxa"/>
            <w:vAlign w:val="center"/>
          </w:tcPr>
          <w:p w:rsidR="00045D33" w:rsidRDefault="00F26628">
            <w:pPr>
              <w:jc w:val="left"/>
            </w:pPr>
            <w:r>
              <w:rPr>
                <w:rFonts w:asciiTheme="minorEastAsia" w:eastAsiaTheme="minorEastAsia" w:hAnsiTheme="minorEastAsia"/>
                <w:color w:val="000000" w:themeColor="text1"/>
                <w:kern w:val="0"/>
              </w:rPr>
              <w:t>过去一年</w:t>
            </w:r>
          </w:p>
        </w:tc>
        <w:tc>
          <w:tcPr>
            <w:tcW w:w="1092" w:type="dxa"/>
            <w:vAlign w:val="center"/>
          </w:tcPr>
          <w:p w:rsidR="00045D33" w:rsidRDefault="00F26628">
            <w:pPr>
              <w:jc w:val="center"/>
            </w:pPr>
            <w:r>
              <w:rPr>
                <w:rFonts w:asciiTheme="minorEastAsia" w:eastAsiaTheme="minorEastAsia" w:hAnsiTheme="minorEastAsia"/>
                <w:color w:val="000000" w:themeColor="text1"/>
                <w:kern w:val="0"/>
              </w:rPr>
              <w:t>37.77%</w:t>
            </w:r>
          </w:p>
        </w:tc>
        <w:tc>
          <w:tcPr>
            <w:tcW w:w="1161" w:type="dxa"/>
            <w:vAlign w:val="center"/>
          </w:tcPr>
          <w:p w:rsidR="00045D33" w:rsidRDefault="00F26628">
            <w:pPr>
              <w:jc w:val="center"/>
            </w:pPr>
            <w:r>
              <w:rPr>
                <w:rFonts w:asciiTheme="minorEastAsia" w:eastAsiaTheme="minorEastAsia" w:hAnsiTheme="minorEastAsia"/>
                <w:color w:val="000000" w:themeColor="text1"/>
                <w:kern w:val="0"/>
              </w:rPr>
              <w:t>1.24%</w:t>
            </w:r>
          </w:p>
        </w:tc>
        <w:tc>
          <w:tcPr>
            <w:tcW w:w="1181" w:type="dxa"/>
            <w:vAlign w:val="center"/>
          </w:tcPr>
          <w:p w:rsidR="00045D33" w:rsidRDefault="00F26628">
            <w:pPr>
              <w:jc w:val="center"/>
            </w:pPr>
            <w:r>
              <w:rPr>
                <w:rFonts w:asciiTheme="minorEastAsia" w:eastAsiaTheme="minorEastAsia" w:hAnsiTheme="minorEastAsia"/>
                <w:color w:val="000000" w:themeColor="text1"/>
                <w:kern w:val="0"/>
              </w:rPr>
              <w:t>8.31%</w:t>
            </w:r>
          </w:p>
        </w:tc>
        <w:tc>
          <w:tcPr>
            <w:tcW w:w="1188" w:type="dxa"/>
            <w:vAlign w:val="center"/>
          </w:tcPr>
          <w:p w:rsidR="00045D33" w:rsidRDefault="00F26628">
            <w:pPr>
              <w:jc w:val="center"/>
            </w:pPr>
            <w:r>
              <w:rPr>
                <w:rFonts w:asciiTheme="minorEastAsia" w:eastAsiaTheme="minorEastAsia" w:hAnsiTheme="minorEastAsia"/>
                <w:color w:val="000000" w:themeColor="text1"/>
                <w:kern w:val="0"/>
              </w:rPr>
              <w:t>1.04%</w:t>
            </w:r>
          </w:p>
        </w:tc>
        <w:tc>
          <w:tcPr>
            <w:tcW w:w="1199" w:type="dxa"/>
            <w:vAlign w:val="center"/>
          </w:tcPr>
          <w:p w:rsidR="00045D33" w:rsidRDefault="00F26628">
            <w:pPr>
              <w:jc w:val="center"/>
            </w:pPr>
            <w:r>
              <w:rPr>
                <w:rFonts w:asciiTheme="minorEastAsia" w:eastAsiaTheme="minorEastAsia" w:hAnsiTheme="minorEastAsia"/>
                <w:color w:val="000000" w:themeColor="text1"/>
                <w:kern w:val="0"/>
              </w:rPr>
              <w:t>29.46%</w:t>
            </w:r>
          </w:p>
        </w:tc>
        <w:tc>
          <w:tcPr>
            <w:tcW w:w="1204" w:type="dxa"/>
            <w:vAlign w:val="center"/>
          </w:tcPr>
          <w:p w:rsidR="00045D33" w:rsidRDefault="00F26628">
            <w:pPr>
              <w:jc w:val="center"/>
            </w:pPr>
            <w:r>
              <w:rPr>
                <w:rFonts w:asciiTheme="minorEastAsia" w:eastAsiaTheme="minorEastAsia" w:hAnsiTheme="minorEastAsia"/>
                <w:color w:val="000000" w:themeColor="text1"/>
                <w:kern w:val="0"/>
              </w:rPr>
              <w:t>0.20%</w:t>
            </w:r>
          </w:p>
        </w:tc>
      </w:tr>
      <w:tr w:rsidR="00045D33">
        <w:tc>
          <w:tcPr>
            <w:tcW w:w="1395" w:type="dxa"/>
            <w:vAlign w:val="center"/>
          </w:tcPr>
          <w:p w:rsidR="00045D33" w:rsidRDefault="00F26628">
            <w:pPr>
              <w:jc w:val="left"/>
            </w:pPr>
            <w:r>
              <w:rPr>
                <w:rFonts w:asciiTheme="minorEastAsia" w:eastAsiaTheme="minorEastAsia" w:hAnsiTheme="minorEastAsia"/>
                <w:color w:val="000000" w:themeColor="text1"/>
                <w:kern w:val="0"/>
              </w:rPr>
              <w:t>过去三年</w:t>
            </w:r>
          </w:p>
        </w:tc>
        <w:tc>
          <w:tcPr>
            <w:tcW w:w="1092" w:type="dxa"/>
            <w:vAlign w:val="center"/>
          </w:tcPr>
          <w:p w:rsidR="00045D33" w:rsidRDefault="00F26628">
            <w:pPr>
              <w:jc w:val="center"/>
            </w:pPr>
            <w:r>
              <w:rPr>
                <w:rFonts w:asciiTheme="minorEastAsia" w:eastAsiaTheme="minorEastAsia" w:hAnsiTheme="minorEastAsia"/>
                <w:color w:val="000000" w:themeColor="text1"/>
                <w:kern w:val="0"/>
              </w:rPr>
              <w:t>37.26%</w:t>
            </w:r>
          </w:p>
        </w:tc>
        <w:tc>
          <w:tcPr>
            <w:tcW w:w="1161" w:type="dxa"/>
            <w:vAlign w:val="center"/>
          </w:tcPr>
          <w:p w:rsidR="00045D33" w:rsidRDefault="00F26628">
            <w:pPr>
              <w:jc w:val="center"/>
            </w:pPr>
            <w:r>
              <w:rPr>
                <w:rFonts w:asciiTheme="minorEastAsia" w:eastAsiaTheme="minorEastAsia" w:hAnsiTheme="minorEastAsia"/>
                <w:color w:val="000000" w:themeColor="text1"/>
                <w:kern w:val="0"/>
              </w:rPr>
              <w:t>1.36%</w:t>
            </w:r>
          </w:p>
        </w:tc>
        <w:tc>
          <w:tcPr>
            <w:tcW w:w="1181" w:type="dxa"/>
            <w:vAlign w:val="center"/>
          </w:tcPr>
          <w:p w:rsidR="00045D33" w:rsidRDefault="00F26628">
            <w:pPr>
              <w:jc w:val="center"/>
            </w:pPr>
            <w:r>
              <w:rPr>
                <w:rFonts w:asciiTheme="minorEastAsia" w:eastAsiaTheme="minorEastAsia" w:hAnsiTheme="minorEastAsia"/>
                <w:color w:val="000000" w:themeColor="text1"/>
                <w:kern w:val="0"/>
              </w:rPr>
              <w:t>13.58%</w:t>
            </w:r>
          </w:p>
        </w:tc>
        <w:tc>
          <w:tcPr>
            <w:tcW w:w="1188" w:type="dxa"/>
            <w:vAlign w:val="center"/>
          </w:tcPr>
          <w:p w:rsidR="00045D33" w:rsidRDefault="00F26628">
            <w:pPr>
              <w:jc w:val="center"/>
            </w:pPr>
            <w:r>
              <w:rPr>
                <w:rFonts w:asciiTheme="minorEastAsia" w:eastAsiaTheme="minorEastAsia" w:hAnsiTheme="minorEastAsia"/>
                <w:color w:val="000000" w:themeColor="text1"/>
                <w:kern w:val="0"/>
              </w:rPr>
              <w:t>1.07%</w:t>
            </w:r>
          </w:p>
        </w:tc>
        <w:tc>
          <w:tcPr>
            <w:tcW w:w="1199" w:type="dxa"/>
            <w:vAlign w:val="center"/>
          </w:tcPr>
          <w:p w:rsidR="00045D33" w:rsidRDefault="00F26628">
            <w:pPr>
              <w:jc w:val="center"/>
            </w:pPr>
            <w:r>
              <w:rPr>
                <w:rFonts w:asciiTheme="minorEastAsia" w:eastAsiaTheme="minorEastAsia" w:hAnsiTheme="minorEastAsia"/>
                <w:color w:val="000000" w:themeColor="text1"/>
                <w:kern w:val="0"/>
              </w:rPr>
              <w:t>23.68%</w:t>
            </w:r>
          </w:p>
        </w:tc>
        <w:tc>
          <w:tcPr>
            <w:tcW w:w="1204" w:type="dxa"/>
            <w:vAlign w:val="center"/>
          </w:tcPr>
          <w:p w:rsidR="00045D33" w:rsidRDefault="00F26628">
            <w:pPr>
              <w:jc w:val="center"/>
            </w:pPr>
            <w:r>
              <w:rPr>
                <w:rFonts w:asciiTheme="minorEastAsia" w:eastAsiaTheme="minorEastAsia" w:hAnsiTheme="minorEastAsia"/>
                <w:color w:val="000000" w:themeColor="text1"/>
                <w:kern w:val="0"/>
              </w:rPr>
              <w:t>0.29%</w:t>
            </w:r>
          </w:p>
        </w:tc>
      </w:tr>
      <w:tr w:rsidR="00045D33">
        <w:tc>
          <w:tcPr>
            <w:tcW w:w="1395" w:type="dxa"/>
            <w:vAlign w:val="center"/>
          </w:tcPr>
          <w:p w:rsidR="00045D33" w:rsidRDefault="00F26628">
            <w:pPr>
              <w:jc w:val="left"/>
            </w:pPr>
            <w:r>
              <w:rPr>
                <w:rFonts w:asciiTheme="minorEastAsia" w:eastAsiaTheme="minorEastAsia" w:hAnsiTheme="minorEastAsia"/>
                <w:color w:val="000000" w:themeColor="text1"/>
                <w:kern w:val="0"/>
              </w:rPr>
              <w:t>过去五年</w:t>
            </w:r>
          </w:p>
        </w:tc>
        <w:tc>
          <w:tcPr>
            <w:tcW w:w="1092" w:type="dxa"/>
            <w:vAlign w:val="center"/>
          </w:tcPr>
          <w:p w:rsidR="00045D33" w:rsidRDefault="00F26628">
            <w:pPr>
              <w:jc w:val="center"/>
            </w:pPr>
            <w:r>
              <w:rPr>
                <w:rFonts w:asciiTheme="minorEastAsia" w:eastAsiaTheme="minorEastAsia" w:hAnsiTheme="minorEastAsia"/>
                <w:color w:val="000000" w:themeColor="text1"/>
                <w:kern w:val="0"/>
              </w:rPr>
              <w:t>33.25%</w:t>
            </w:r>
          </w:p>
        </w:tc>
        <w:tc>
          <w:tcPr>
            <w:tcW w:w="1161" w:type="dxa"/>
            <w:vAlign w:val="center"/>
          </w:tcPr>
          <w:p w:rsidR="00045D33" w:rsidRDefault="00F26628">
            <w:pPr>
              <w:jc w:val="center"/>
            </w:pPr>
            <w:r>
              <w:rPr>
                <w:rFonts w:asciiTheme="minorEastAsia" w:eastAsiaTheme="minorEastAsia" w:hAnsiTheme="minorEastAsia"/>
                <w:color w:val="000000" w:themeColor="text1"/>
                <w:kern w:val="0"/>
              </w:rPr>
              <w:t>1.58%</w:t>
            </w:r>
          </w:p>
        </w:tc>
        <w:tc>
          <w:tcPr>
            <w:tcW w:w="1181" w:type="dxa"/>
            <w:vAlign w:val="center"/>
          </w:tcPr>
          <w:p w:rsidR="00045D33" w:rsidRDefault="00F26628">
            <w:pPr>
              <w:jc w:val="center"/>
            </w:pPr>
            <w:r>
              <w:rPr>
                <w:rFonts w:asciiTheme="minorEastAsia" w:eastAsiaTheme="minorEastAsia" w:hAnsiTheme="minorEastAsia"/>
                <w:color w:val="000000" w:themeColor="text1"/>
                <w:kern w:val="0"/>
              </w:rPr>
              <w:t>-2.59%</w:t>
            </w:r>
          </w:p>
        </w:tc>
        <w:tc>
          <w:tcPr>
            <w:tcW w:w="1188" w:type="dxa"/>
            <w:vAlign w:val="center"/>
          </w:tcPr>
          <w:p w:rsidR="00045D33" w:rsidRDefault="00F26628">
            <w:pPr>
              <w:jc w:val="center"/>
            </w:pPr>
            <w:r>
              <w:rPr>
                <w:rFonts w:asciiTheme="minorEastAsia" w:eastAsiaTheme="minorEastAsia" w:hAnsiTheme="minorEastAsia"/>
                <w:color w:val="000000" w:themeColor="text1"/>
                <w:kern w:val="0"/>
              </w:rPr>
              <w:t>1.23%</w:t>
            </w:r>
          </w:p>
        </w:tc>
        <w:tc>
          <w:tcPr>
            <w:tcW w:w="1199" w:type="dxa"/>
            <w:vAlign w:val="center"/>
          </w:tcPr>
          <w:p w:rsidR="00045D33" w:rsidRDefault="00F26628">
            <w:pPr>
              <w:jc w:val="center"/>
            </w:pPr>
            <w:r>
              <w:rPr>
                <w:rFonts w:asciiTheme="minorEastAsia" w:eastAsiaTheme="minorEastAsia" w:hAnsiTheme="minorEastAsia"/>
                <w:color w:val="000000" w:themeColor="text1"/>
                <w:kern w:val="0"/>
              </w:rPr>
              <w:t>35.84%</w:t>
            </w:r>
          </w:p>
        </w:tc>
        <w:tc>
          <w:tcPr>
            <w:tcW w:w="1204" w:type="dxa"/>
            <w:vAlign w:val="center"/>
          </w:tcPr>
          <w:p w:rsidR="00045D33" w:rsidRDefault="00F26628">
            <w:pPr>
              <w:jc w:val="center"/>
            </w:pPr>
            <w:r>
              <w:rPr>
                <w:rFonts w:asciiTheme="minorEastAsia" w:eastAsiaTheme="minorEastAsia" w:hAnsiTheme="minorEastAsia"/>
                <w:color w:val="000000" w:themeColor="text1"/>
                <w:kern w:val="0"/>
              </w:rPr>
              <w:t>0.35%</w:t>
            </w:r>
          </w:p>
        </w:tc>
      </w:tr>
      <w:tr w:rsidR="00045D33">
        <w:tc>
          <w:tcPr>
            <w:tcW w:w="1395" w:type="dxa"/>
            <w:vAlign w:val="center"/>
          </w:tcPr>
          <w:p w:rsidR="00045D33" w:rsidRDefault="00F26628">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045D33" w:rsidRDefault="00F26628">
            <w:pPr>
              <w:jc w:val="center"/>
            </w:pPr>
            <w:r>
              <w:rPr>
                <w:rFonts w:asciiTheme="minorEastAsia" w:eastAsiaTheme="minorEastAsia" w:hAnsiTheme="minorEastAsia"/>
                <w:color w:val="000000" w:themeColor="text1"/>
                <w:kern w:val="0"/>
              </w:rPr>
              <w:t>123.60%</w:t>
            </w:r>
          </w:p>
        </w:tc>
        <w:tc>
          <w:tcPr>
            <w:tcW w:w="1161" w:type="dxa"/>
            <w:vAlign w:val="center"/>
          </w:tcPr>
          <w:p w:rsidR="00045D33" w:rsidRDefault="00F26628">
            <w:pPr>
              <w:jc w:val="center"/>
            </w:pPr>
            <w:r>
              <w:rPr>
                <w:rFonts w:asciiTheme="minorEastAsia" w:eastAsiaTheme="minorEastAsia" w:hAnsiTheme="minorEastAsia"/>
                <w:color w:val="000000" w:themeColor="text1"/>
                <w:kern w:val="0"/>
              </w:rPr>
              <w:t>1.49%</w:t>
            </w:r>
          </w:p>
        </w:tc>
        <w:tc>
          <w:tcPr>
            <w:tcW w:w="1181" w:type="dxa"/>
            <w:vAlign w:val="center"/>
          </w:tcPr>
          <w:p w:rsidR="00045D33" w:rsidRDefault="00F26628">
            <w:pPr>
              <w:jc w:val="center"/>
            </w:pPr>
            <w:r>
              <w:rPr>
                <w:rFonts w:asciiTheme="minorEastAsia" w:eastAsiaTheme="minorEastAsia" w:hAnsiTheme="minorEastAsia"/>
                <w:color w:val="000000" w:themeColor="text1"/>
                <w:kern w:val="0"/>
              </w:rPr>
              <w:t>31.39%</w:t>
            </w:r>
          </w:p>
        </w:tc>
        <w:tc>
          <w:tcPr>
            <w:tcW w:w="1188" w:type="dxa"/>
            <w:vAlign w:val="center"/>
          </w:tcPr>
          <w:p w:rsidR="00045D33" w:rsidRDefault="00F26628">
            <w:pPr>
              <w:jc w:val="center"/>
            </w:pPr>
            <w:r>
              <w:rPr>
                <w:rFonts w:asciiTheme="minorEastAsia" w:eastAsiaTheme="minorEastAsia" w:hAnsiTheme="minorEastAsia"/>
                <w:color w:val="000000" w:themeColor="text1"/>
                <w:kern w:val="0"/>
              </w:rPr>
              <w:t>1.23%</w:t>
            </w:r>
          </w:p>
        </w:tc>
        <w:tc>
          <w:tcPr>
            <w:tcW w:w="1199" w:type="dxa"/>
            <w:vAlign w:val="center"/>
          </w:tcPr>
          <w:p w:rsidR="00045D33" w:rsidRDefault="00F26628">
            <w:pPr>
              <w:jc w:val="center"/>
            </w:pPr>
            <w:r>
              <w:rPr>
                <w:rFonts w:asciiTheme="minorEastAsia" w:eastAsiaTheme="minorEastAsia" w:hAnsiTheme="minorEastAsia"/>
                <w:color w:val="000000" w:themeColor="text1"/>
                <w:kern w:val="0"/>
              </w:rPr>
              <w:t>92.21%</w:t>
            </w:r>
          </w:p>
        </w:tc>
        <w:tc>
          <w:tcPr>
            <w:tcW w:w="1204" w:type="dxa"/>
            <w:vAlign w:val="center"/>
          </w:tcPr>
          <w:p w:rsidR="00045D33" w:rsidRDefault="00F26628">
            <w:pPr>
              <w:jc w:val="center"/>
            </w:pPr>
            <w:r>
              <w:rPr>
                <w:rFonts w:asciiTheme="minorEastAsia" w:eastAsiaTheme="minorEastAsia" w:hAnsiTheme="minorEastAsia"/>
                <w:color w:val="000000" w:themeColor="text1"/>
                <w:kern w:val="0"/>
              </w:rPr>
              <w:t>0.26%</w:t>
            </w:r>
          </w:p>
        </w:tc>
      </w:tr>
    </w:tbl>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045D33" w:rsidRDefault="00F26628">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上投摩根大盘蓝筹股票型证券投资基金</w:t>
      </w:r>
    </w:p>
    <w:p w:rsidR="00045D33" w:rsidRDefault="00F26628">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045D33" w:rsidRDefault="00F26628">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2020</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045D33" w:rsidRDefault="00F26628">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注：本基金建仓期自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19</w:t>
      </w:r>
      <w:r>
        <w:rPr>
          <w:rFonts w:asciiTheme="minorEastAsia" w:eastAsiaTheme="minorEastAsia" w:hAnsiTheme="minorEastAsia"/>
          <w:color w:val="000000" w:themeColor="text1"/>
        </w:rPr>
        <w:t>日，建仓期结束时资产配置比例符合本基金基金合同规定。</w:t>
      </w:r>
      <w:r>
        <w:rPr>
          <w:rFonts w:asciiTheme="minorEastAsia" w:eastAsiaTheme="minorEastAsia" w:hAnsiTheme="minorEastAsia"/>
          <w:color w:val="000000" w:themeColor="text1"/>
        </w:rPr>
        <w:t xml:space="preserve"> </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本基金合同生效日为</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045D33" w:rsidRDefault="00045D33">
      <w:pPr>
        <w:tabs>
          <w:tab w:val="left" w:pos="1800"/>
        </w:tabs>
        <w:spacing w:line="360" w:lineRule="auto"/>
        <w:rPr>
          <w:rFonts w:asciiTheme="minorEastAsia" w:eastAsiaTheme="minorEastAsia" w:hAnsiTheme="minorEastAsia"/>
          <w:color w:val="000000" w:themeColor="text1"/>
          <w:sz w:val="24"/>
          <w:szCs w:val="24"/>
        </w:rPr>
      </w:pPr>
    </w:p>
    <w:p w:rsidR="00045D33" w:rsidRDefault="00F2662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045D33">
        <w:trPr>
          <w:cantSplit/>
          <w:trHeight w:val="292"/>
        </w:trPr>
        <w:tc>
          <w:tcPr>
            <w:tcW w:w="851" w:type="dxa"/>
            <w:vMerge w:val="restart"/>
            <w:vAlign w:val="center"/>
          </w:tcPr>
          <w:p w:rsidR="00045D33" w:rsidRDefault="00F26628">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045D33" w:rsidRDefault="00F26628">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045D33" w:rsidRDefault="00F26628">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045D33">
        <w:trPr>
          <w:cantSplit/>
        </w:trPr>
        <w:tc>
          <w:tcPr>
            <w:tcW w:w="851" w:type="dxa"/>
            <w:vMerge/>
            <w:vAlign w:val="center"/>
          </w:tcPr>
          <w:p w:rsidR="00045D33" w:rsidRDefault="00045D33">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045D33" w:rsidRDefault="00045D33">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045D33" w:rsidRDefault="00045D33">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045D33" w:rsidRDefault="00045D33">
            <w:pPr>
              <w:widowControl/>
              <w:spacing w:line="360" w:lineRule="auto"/>
              <w:jc w:val="left"/>
              <w:rPr>
                <w:rFonts w:asciiTheme="minorEastAsia" w:eastAsiaTheme="minorEastAsia" w:hAnsiTheme="minorEastAsia"/>
                <w:color w:val="000000" w:themeColor="text1"/>
                <w:kern w:val="0"/>
              </w:rPr>
            </w:pPr>
          </w:p>
        </w:tc>
      </w:tr>
      <w:tr w:rsidR="00045D33">
        <w:tc>
          <w:tcPr>
            <w:tcW w:w="851" w:type="dxa"/>
            <w:vAlign w:val="center"/>
          </w:tcPr>
          <w:p w:rsidR="00045D33" w:rsidRDefault="00F26628">
            <w:pPr>
              <w:jc w:val="center"/>
            </w:pPr>
            <w:r>
              <w:rPr>
                <w:rFonts w:asciiTheme="minorEastAsia" w:eastAsiaTheme="minorEastAsia" w:hAnsiTheme="minorEastAsia"/>
                <w:color w:val="000000" w:themeColor="text1"/>
              </w:rPr>
              <w:t>朱晓龙</w:t>
            </w:r>
          </w:p>
        </w:tc>
        <w:tc>
          <w:tcPr>
            <w:tcW w:w="850" w:type="dxa"/>
            <w:vAlign w:val="center"/>
          </w:tcPr>
          <w:p w:rsidR="00045D33" w:rsidRDefault="00F26628">
            <w:pPr>
              <w:jc w:val="center"/>
            </w:pPr>
            <w:r>
              <w:rPr>
                <w:rFonts w:asciiTheme="minorEastAsia" w:eastAsiaTheme="minorEastAsia" w:hAnsiTheme="minorEastAsia"/>
                <w:color w:val="000000" w:themeColor="text1"/>
              </w:rPr>
              <w:t>本基金基金经理、研究部总监</w:t>
            </w:r>
          </w:p>
        </w:tc>
        <w:tc>
          <w:tcPr>
            <w:tcW w:w="1560" w:type="dxa"/>
            <w:vAlign w:val="center"/>
          </w:tcPr>
          <w:p w:rsidR="00045D33" w:rsidRDefault="00F26628">
            <w:pPr>
              <w:jc w:val="center"/>
            </w:pPr>
            <w:r>
              <w:rPr>
                <w:rFonts w:asciiTheme="minorEastAsia" w:eastAsiaTheme="minorEastAsia" w:hAnsiTheme="minorEastAsia"/>
                <w:color w:val="000000" w:themeColor="text1"/>
              </w:rPr>
              <w:t>2019-07-19</w:t>
            </w:r>
          </w:p>
        </w:tc>
        <w:tc>
          <w:tcPr>
            <w:tcW w:w="1559" w:type="dxa"/>
            <w:vAlign w:val="center"/>
          </w:tcPr>
          <w:p w:rsidR="00045D33" w:rsidRDefault="00F26628">
            <w:pPr>
              <w:jc w:val="center"/>
            </w:pPr>
            <w:r>
              <w:rPr>
                <w:rFonts w:asciiTheme="minorEastAsia" w:eastAsiaTheme="minorEastAsia" w:hAnsiTheme="minorEastAsia"/>
                <w:color w:val="000000" w:themeColor="text1"/>
              </w:rPr>
              <w:t>-</w:t>
            </w:r>
          </w:p>
        </w:tc>
        <w:tc>
          <w:tcPr>
            <w:tcW w:w="1417" w:type="dxa"/>
            <w:vAlign w:val="center"/>
          </w:tcPr>
          <w:p w:rsidR="00045D33" w:rsidRDefault="00F26628">
            <w:pPr>
              <w:jc w:val="center"/>
            </w:pPr>
            <w:r>
              <w:rPr>
                <w:rFonts w:asciiTheme="minorEastAsia" w:eastAsiaTheme="minorEastAsia" w:hAnsiTheme="minorEastAsia"/>
                <w:color w:val="000000" w:themeColor="text1"/>
              </w:rPr>
              <w:t>13</w:t>
            </w:r>
            <w:r>
              <w:rPr>
                <w:rFonts w:asciiTheme="minorEastAsia" w:eastAsiaTheme="minorEastAsia" w:hAnsiTheme="minorEastAsia"/>
                <w:color w:val="000000" w:themeColor="text1"/>
              </w:rPr>
              <w:t>年</w:t>
            </w:r>
          </w:p>
        </w:tc>
        <w:tc>
          <w:tcPr>
            <w:tcW w:w="2694" w:type="dxa"/>
            <w:vAlign w:val="center"/>
          </w:tcPr>
          <w:p w:rsidR="00045D33" w:rsidRDefault="00F26628">
            <w:r>
              <w:rPr>
                <w:rFonts w:asciiTheme="minorEastAsia" w:eastAsiaTheme="minorEastAsia" w:hAnsiTheme="minorEastAsia"/>
                <w:color w:val="000000" w:themeColor="text1"/>
              </w:rPr>
              <w:t>朱晓龙先生，自</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月在平安资产管理有限责任公司担任研究员；自</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月起加入上投摩根基金管理有限公司，历任行业专家、研究部副总监兼基金经理助理，现任研究部总监兼基金经理。自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月起担任上投摩根策略精选灵活配置混合型证券投资基金基金经理，自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月起同时担任上投摩根大盘蓝筹股票型证券投资基金基金经理，自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月起同时担任上投摩根成长先锋混合型证券投资基金基金经理，自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月起同时担任上投摩根研究驱动股票型证券投资基金基金经理。</w:t>
            </w:r>
          </w:p>
        </w:tc>
      </w:tr>
    </w:tbl>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 xml:space="preserve">1. </w:t>
      </w:r>
      <w:r>
        <w:rPr>
          <w:rFonts w:asciiTheme="minorEastAsia" w:eastAsiaTheme="minorEastAsia" w:hAnsiTheme="minorEastAsia"/>
          <w:color w:val="000000" w:themeColor="text1"/>
        </w:rPr>
        <w:t>任职日期和离任日期均指根据公司决定确定的聘任日期和解聘日期。</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w:t>
      </w:r>
      <w:r>
        <w:rPr>
          <w:rFonts w:asciiTheme="minorEastAsia" w:eastAsiaTheme="minorEastAsia" w:hAnsiTheme="minorEastAsia"/>
          <w:color w:val="000000" w:themeColor="text1"/>
        </w:rPr>
        <w:lastRenderedPageBreak/>
        <w:t>摩根大盘蓝筹股票型证券投资基金基金合同》的规定。除以下情况外，基金经理对个股和投资组合的比例遵循了投资决策委员会的授权限制，基金投资比例符合基金合同和法律法规的要求</w:t>
      </w:r>
      <w:r>
        <w:rPr>
          <w:rFonts w:asciiTheme="minorEastAsia" w:eastAsiaTheme="minorEastAsia" w:hAnsiTheme="minorEastAsia"/>
          <w:color w:val="000000" w:themeColor="text1"/>
        </w:rPr>
        <w:t>：本基金曾出现个别由于市场原因引起的投资组合的投资指标被动偏离相关比例要求的情形，但已在规定时间内调整完毕。</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w:t>
      </w:r>
      <w:r>
        <w:rPr>
          <w:rFonts w:asciiTheme="minorEastAsia" w:eastAsiaTheme="minorEastAsia" w:hAnsiTheme="minorEastAsia"/>
          <w:color w:val="000000" w:themeColor="text1"/>
        </w:rPr>
        <w:t>公平对待。</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w:t>
      </w:r>
      <w:r>
        <w:rPr>
          <w:rFonts w:asciiTheme="minorEastAsia" w:eastAsiaTheme="minorEastAsia" w:hAnsiTheme="minorEastAsia" w:hint="eastAsia"/>
          <w:color w:val="000000" w:themeColor="text1"/>
          <w:sz w:val="24"/>
          <w:szCs w:val="24"/>
        </w:rPr>
        <w:t>交易行为的专项说明</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045D33" w:rsidRDefault="00045D33">
      <w:pPr>
        <w:spacing w:line="360" w:lineRule="auto"/>
        <w:ind w:firstLineChars="200" w:firstLine="480"/>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年第二季度，</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股整体录得了不错的受益，以申万行业分类统计来看，休闲服务、医药、食品饮料、电子、传媒等行业表现相对突出；建筑装饰、采掘、纺织服装、银行、公用事业表现落后。</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第二季度，随着前期国内疫情得到较好的控制，政策引导各行业分批复产，国内经济开始走出低谷。工业增加值率先转正，但考虑到出口订单疲弱、库存有一定累积。财政政策发力，</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月地方专项债集中发行</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万亿、</w:t>
      </w:r>
      <w:r>
        <w:rPr>
          <w:rFonts w:asciiTheme="minorEastAsia" w:eastAsiaTheme="minorEastAsia" w:hAnsiTheme="minorEastAsia"/>
          <w:color w:val="000000" w:themeColor="text1"/>
        </w:rPr>
        <w:t>6-7</w:t>
      </w:r>
      <w:r>
        <w:rPr>
          <w:rFonts w:asciiTheme="minorEastAsia" w:eastAsiaTheme="minorEastAsia" w:hAnsiTheme="minorEastAsia"/>
          <w:color w:val="000000" w:themeColor="text1"/>
        </w:rPr>
        <w:t>月预计将完成另外</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万亿特别国债的发行，从资金端上解决部分基建项目以及稳市场主体的资金来源。近日，国内外疫情有局部反复，疫情完全消除前对经济活动的抑制仍在，意味着经济将需要更长时间走出经济</w:t>
      </w:r>
      <w:r>
        <w:rPr>
          <w:rFonts w:asciiTheme="minorEastAsia" w:eastAsiaTheme="minorEastAsia" w:hAnsiTheme="minorEastAsia"/>
          <w:color w:val="000000" w:themeColor="text1"/>
        </w:rPr>
        <w:t>V</w:t>
      </w:r>
      <w:r>
        <w:rPr>
          <w:rFonts w:asciiTheme="minorEastAsia" w:eastAsiaTheme="minorEastAsia" w:hAnsiTheme="minorEastAsia"/>
          <w:color w:val="000000" w:themeColor="text1"/>
        </w:rPr>
        <w:t>型底。</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政策基调方面，两会明确今年不设经济增长目标，以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六保</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政策为主，强调底线思维。财政政策方面，确认赤字率上调至</w:t>
      </w:r>
      <w:r>
        <w:rPr>
          <w:rFonts w:asciiTheme="minorEastAsia" w:eastAsiaTheme="minorEastAsia" w:hAnsiTheme="minorEastAsia"/>
          <w:color w:val="000000" w:themeColor="text1"/>
        </w:rPr>
        <w:t>3.6%</w:t>
      </w:r>
      <w:r>
        <w:rPr>
          <w:rFonts w:asciiTheme="minorEastAsia" w:eastAsiaTheme="minorEastAsia" w:hAnsiTheme="minorEastAsia"/>
          <w:color w:val="000000" w:themeColor="text1"/>
        </w:rPr>
        <w:t>以上</w:t>
      </w:r>
      <w:r>
        <w:rPr>
          <w:rFonts w:asciiTheme="minorEastAsia" w:eastAsiaTheme="minorEastAsia" w:hAnsiTheme="minorEastAsia"/>
          <w:color w:val="000000" w:themeColor="text1"/>
        </w:rPr>
        <w:t>，专项债</w:t>
      </w:r>
      <w:r>
        <w:rPr>
          <w:rFonts w:asciiTheme="minorEastAsia" w:eastAsiaTheme="minorEastAsia" w:hAnsiTheme="minorEastAsia"/>
          <w:color w:val="000000" w:themeColor="text1"/>
        </w:rPr>
        <w:t>3.75</w:t>
      </w:r>
      <w:r>
        <w:rPr>
          <w:rFonts w:asciiTheme="minorEastAsia" w:eastAsiaTheme="minorEastAsia" w:hAnsiTheme="minorEastAsia"/>
          <w:color w:val="000000" w:themeColor="text1"/>
        </w:rPr>
        <w:t>万亿与特别国债</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万亿，但相对其它国家应对疫情的财政扩张规模，我们更加有序。货币政策方面，</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月以来的央行公开市场操作以回笼流动性为主，未体现应对政府债券密集发行背景下的对冲，操作节奏上存在防</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套利</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下的阶段性收缩；但货币政策总基调表述未变，仍有宽松空间。</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展望未来，我们认为国内经济逐步复苏的态势基本确定，但复苏的节奏受国际整体疫情的升级影响，接下来一段时间，我们会保持对市场影响较大的两个信号密切关注：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、全球疫情拐点的到来时点；</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、国内经济复苏节奏及货币刺激政策未来可能的逐步退出节奏。整体而言</w:t>
      </w:r>
      <w:r>
        <w:rPr>
          <w:rFonts w:asciiTheme="minorEastAsia" w:eastAsiaTheme="minorEastAsia" w:hAnsiTheme="minorEastAsia"/>
          <w:color w:val="000000" w:themeColor="text1"/>
        </w:rPr>
        <w:t>，我们认为</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股估值吸引力仍旧存在，国内优质公司成长的基本盘仍在。</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关于基金运作，在个股配置方面，未来各个行业的优质公司仍将是本基金关注的重点，在行业配置上，我们坚持较为均衡的行业配置思路，追求重点通过选股争取合理的超额收益。</w:t>
      </w: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本报告期上投摩根大盘蓝筹股票份额净值增长率为</w:t>
      </w:r>
      <w:r>
        <w:rPr>
          <w:rFonts w:asciiTheme="minorEastAsia" w:eastAsiaTheme="minorEastAsia" w:hAnsiTheme="minorEastAsia"/>
          <w:color w:val="000000" w:themeColor="text1"/>
        </w:rPr>
        <w:t>:18.06%</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:11.11%</w:t>
      </w:r>
      <w:r>
        <w:rPr>
          <w:rFonts w:asciiTheme="minorEastAsia" w:eastAsiaTheme="minorEastAsia" w:hAnsiTheme="minorEastAsia"/>
          <w:color w:val="000000" w:themeColor="text1"/>
        </w:rPr>
        <w:t>。</w:t>
      </w:r>
    </w:p>
    <w:p w:rsidR="00045D33" w:rsidRDefault="00045D33">
      <w:pPr>
        <w:spacing w:line="360" w:lineRule="auto"/>
        <w:ind w:firstLineChars="200" w:firstLine="480"/>
        <w:rPr>
          <w:rFonts w:asciiTheme="minorEastAsia" w:eastAsiaTheme="minorEastAsia" w:hAnsiTheme="minorEastAsia"/>
          <w:color w:val="000000" w:themeColor="text1"/>
          <w:sz w:val="24"/>
          <w:szCs w:val="24"/>
        </w:rPr>
      </w:pP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045D33" w:rsidRDefault="00F2662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274,603,215.63</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87.51</w:t>
            </w:r>
          </w:p>
        </w:tc>
      </w:tr>
      <w:tr w:rsidR="00045D33">
        <w:trPr>
          <w:jc w:val="center"/>
        </w:trPr>
        <w:tc>
          <w:tcPr>
            <w:tcW w:w="720" w:type="dxa"/>
            <w:vAlign w:val="center"/>
          </w:tcPr>
          <w:p w:rsidR="00045D33" w:rsidRDefault="00045D3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274,603,215.63</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87.51</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vAlign w:val="center"/>
          </w:tcPr>
          <w:p w:rsidR="00045D33" w:rsidRDefault="00045D3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vAlign w:val="center"/>
          </w:tcPr>
          <w:p w:rsidR="00045D33" w:rsidRDefault="00045D3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45D33" w:rsidRDefault="00F26628">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045D33" w:rsidRDefault="00F26628">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045D33" w:rsidRDefault="00F26628">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vAlign w:val="center"/>
          </w:tcPr>
          <w:p w:rsidR="00045D33" w:rsidRDefault="00045D33">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045D33" w:rsidRDefault="00F26628">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37,932,555.47</w:t>
            </w:r>
          </w:p>
        </w:tc>
        <w:tc>
          <w:tcPr>
            <w:tcW w:w="1843" w:type="dxa"/>
            <w:vAlign w:val="center"/>
          </w:tcPr>
          <w:p w:rsidR="00045D33" w:rsidRDefault="00F26628">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12.09</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045D33" w:rsidRDefault="00F26628">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1,277,089.32</w:t>
            </w:r>
          </w:p>
        </w:tc>
        <w:tc>
          <w:tcPr>
            <w:tcW w:w="1843" w:type="dxa"/>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0.41</w:t>
            </w:r>
          </w:p>
        </w:tc>
      </w:tr>
      <w:tr w:rsidR="00045D33">
        <w:trPr>
          <w:jc w:val="center"/>
        </w:trPr>
        <w:tc>
          <w:tcPr>
            <w:tcW w:w="720" w:type="dxa"/>
            <w:vAlign w:val="center"/>
          </w:tcPr>
          <w:p w:rsidR="00045D33" w:rsidRDefault="00F26628">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045D33" w:rsidRDefault="00F26628">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313,812,860.42</w:t>
            </w:r>
          </w:p>
        </w:tc>
        <w:tc>
          <w:tcPr>
            <w:tcW w:w="1843" w:type="dxa"/>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045D33" w:rsidRDefault="00045D33">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045D33" w:rsidRDefault="00F26628">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045D33">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2,044,052.64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0.67</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7,849,545.00</w:t>
            </w:r>
          </w:p>
          <w:p w:rsidR="00045D33" w:rsidRDefault="00045D33">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2.56</w:t>
            </w:r>
          </w:p>
          <w:p w:rsidR="00045D33" w:rsidRDefault="00045D33">
            <w:pPr>
              <w:jc w:val="right"/>
              <w:rPr>
                <w:rFonts w:asciiTheme="minorEastAsia" w:eastAsiaTheme="minorEastAsia" w:hAnsiTheme="minorEastAsia" w:cs="宋体"/>
                <w:color w:val="000000" w:themeColor="text1"/>
                <w:kern w:val="0"/>
              </w:rPr>
            </w:pP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165,026,431.02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53.84</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12,766.32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2,976,491.00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0.97</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7,776,383.57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2.54</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69,252,219.70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22.60</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9,418,837.38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3.07</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4,174,213.00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1.36</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6,072,276.00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1.98</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045D3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045D33">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045D33" w:rsidRDefault="00F26628">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274,603,215.63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45D33" w:rsidRDefault="00F26628">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89.60</w:t>
            </w:r>
          </w:p>
        </w:tc>
      </w:tr>
    </w:tbl>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045D33">
        <w:tc>
          <w:tcPr>
            <w:tcW w:w="817" w:type="dxa"/>
            <w:vAlign w:val="center"/>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045D33" w:rsidRDefault="00F26628">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1</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601318</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中国平安</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239,951</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17,132,501.40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5.59</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2</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600519</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贵州茅台</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11,674</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17,077,661.12</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5.57</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3</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600036</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招商银行</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425,375</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14,343,645.00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4.68</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4</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000333</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美的集团</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188,984</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11,299,353.36</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3.69</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5</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000858</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五</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粮</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液</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53,300</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9,120,696.00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2.98</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6</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002142</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宁波银行</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328,120</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8,619,712.40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2.81</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7</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600030</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中信证券</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331,590</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7,994,634.90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2.61</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8</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000661</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长春高新</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17,882</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7,784,034.60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2.54</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9</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002475</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立讯精密</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149,324</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7,667,787.40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2.50</w:t>
            </w:r>
          </w:p>
        </w:tc>
      </w:tr>
      <w:tr w:rsidR="00045D33">
        <w:tc>
          <w:tcPr>
            <w:tcW w:w="817" w:type="dxa"/>
            <w:vAlign w:val="center"/>
          </w:tcPr>
          <w:p w:rsidR="00045D33" w:rsidRDefault="00F26628">
            <w:pPr>
              <w:jc w:val="center"/>
            </w:pPr>
            <w:r>
              <w:rPr>
                <w:rFonts w:asciiTheme="minorEastAsia" w:eastAsiaTheme="minorEastAsia" w:hAnsiTheme="minorEastAsia" w:cs="宋体"/>
                <w:color w:val="000000" w:themeColor="text1"/>
                <w:kern w:val="0"/>
              </w:rPr>
              <w:t>10</w:t>
            </w:r>
          </w:p>
        </w:tc>
        <w:tc>
          <w:tcPr>
            <w:tcW w:w="1276" w:type="dxa"/>
            <w:vAlign w:val="center"/>
          </w:tcPr>
          <w:p w:rsidR="00045D33" w:rsidRDefault="00F26628">
            <w:pPr>
              <w:jc w:val="center"/>
            </w:pPr>
            <w:r>
              <w:rPr>
                <w:rFonts w:asciiTheme="minorEastAsia" w:eastAsiaTheme="minorEastAsia" w:hAnsiTheme="minorEastAsia" w:cs="宋体"/>
                <w:color w:val="000000" w:themeColor="text1"/>
                <w:kern w:val="0"/>
              </w:rPr>
              <w:t>600031</w:t>
            </w:r>
          </w:p>
        </w:tc>
        <w:tc>
          <w:tcPr>
            <w:tcW w:w="1701" w:type="dxa"/>
            <w:vAlign w:val="center"/>
          </w:tcPr>
          <w:p w:rsidR="00045D33" w:rsidRDefault="00F26628">
            <w:pPr>
              <w:jc w:val="center"/>
            </w:pPr>
            <w:r>
              <w:rPr>
                <w:rFonts w:asciiTheme="minorEastAsia" w:eastAsiaTheme="minorEastAsia" w:hAnsiTheme="minorEastAsia" w:cs="宋体"/>
                <w:color w:val="000000" w:themeColor="text1"/>
                <w:kern w:val="0"/>
              </w:rPr>
              <w:t>三一重工</w:t>
            </w:r>
          </w:p>
        </w:tc>
        <w:tc>
          <w:tcPr>
            <w:tcW w:w="1276" w:type="dxa"/>
            <w:vAlign w:val="center"/>
          </w:tcPr>
          <w:p w:rsidR="00045D33" w:rsidRDefault="00F26628">
            <w:pPr>
              <w:jc w:val="right"/>
            </w:pPr>
            <w:r>
              <w:rPr>
                <w:rFonts w:asciiTheme="minorEastAsia" w:eastAsiaTheme="minorEastAsia" w:hAnsiTheme="minorEastAsia" w:cs="宋体"/>
                <w:color w:val="000000" w:themeColor="text1"/>
                <w:kern w:val="0"/>
              </w:rPr>
              <w:t>405,390</w:t>
            </w:r>
          </w:p>
        </w:tc>
        <w:tc>
          <w:tcPr>
            <w:tcW w:w="1842" w:type="dxa"/>
            <w:vAlign w:val="center"/>
          </w:tcPr>
          <w:p w:rsidR="00045D33" w:rsidRDefault="00F26628">
            <w:pPr>
              <w:jc w:val="right"/>
            </w:pPr>
            <w:r>
              <w:rPr>
                <w:rFonts w:asciiTheme="minorEastAsia" w:eastAsiaTheme="minorEastAsia" w:hAnsiTheme="minorEastAsia" w:cs="宋体"/>
                <w:color w:val="000000" w:themeColor="text1"/>
                <w:kern w:val="0"/>
              </w:rPr>
              <w:t>7,605,116.40</w:t>
            </w:r>
          </w:p>
        </w:tc>
        <w:tc>
          <w:tcPr>
            <w:tcW w:w="1616" w:type="dxa"/>
            <w:vAlign w:val="center"/>
          </w:tcPr>
          <w:p w:rsidR="00045D33" w:rsidRDefault="00F26628">
            <w:pPr>
              <w:jc w:val="right"/>
            </w:pPr>
            <w:r>
              <w:rPr>
                <w:rFonts w:asciiTheme="minorEastAsia" w:eastAsiaTheme="minorEastAsia" w:hAnsiTheme="minorEastAsia" w:cs="宋体"/>
                <w:color w:val="000000" w:themeColor="text1"/>
                <w:kern w:val="0"/>
              </w:rPr>
              <w:t>2.48</w:t>
            </w:r>
          </w:p>
        </w:tc>
      </w:tr>
    </w:tbl>
    <w:p w:rsidR="00045D33" w:rsidRDefault="00045D3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045D33" w:rsidRDefault="00045D33">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报告期末按公允价值占基金资产净值比例大小排序的前五名贵金属投资明细</w:t>
      </w:r>
    </w:p>
    <w:p w:rsidR="00045D33" w:rsidRDefault="00F26628">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045D33" w:rsidRDefault="00045D33">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045D33" w:rsidRDefault="00045D33">
      <w:pPr>
        <w:adjustRightInd w:val="0"/>
        <w:snapToGrid w:val="0"/>
        <w:spacing w:line="360" w:lineRule="exact"/>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045D33" w:rsidRDefault="00F2662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045D33">
        <w:tc>
          <w:tcPr>
            <w:tcW w:w="1235"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045D33" w:rsidRDefault="00F26628">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153,560.96</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8,080.01</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1,115,448.35</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045D33">
        <w:tc>
          <w:tcPr>
            <w:tcW w:w="1235" w:type="dxa"/>
            <w:vAlign w:val="center"/>
          </w:tcPr>
          <w:p w:rsidR="00045D33" w:rsidRDefault="00F26628">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045D33" w:rsidRDefault="00F26628">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1,277,089.32</w:t>
            </w:r>
          </w:p>
        </w:tc>
      </w:tr>
    </w:tbl>
    <w:p w:rsidR="00045D33" w:rsidRDefault="00045D33">
      <w:pPr>
        <w:autoSpaceDE w:val="0"/>
        <w:autoSpaceDN w:val="0"/>
        <w:adjustRightInd w:val="0"/>
        <w:spacing w:line="360" w:lineRule="auto"/>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045D33" w:rsidRDefault="00045D33">
      <w:pPr>
        <w:autoSpaceDE w:val="0"/>
        <w:autoSpaceDN w:val="0"/>
        <w:adjustRightInd w:val="0"/>
        <w:spacing w:line="360" w:lineRule="auto"/>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045D33" w:rsidRDefault="00045D33">
      <w:pPr>
        <w:autoSpaceDE w:val="0"/>
        <w:autoSpaceDN w:val="0"/>
        <w:adjustRightInd w:val="0"/>
        <w:spacing w:line="360" w:lineRule="auto"/>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045D33" w:rsidRDefault="00F2662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045D33" w:rsidRDefault="00F26628">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045D33">
        <w:tc>
          <w:tcPr>
            <w:tcW w:w="4609"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141,400,798.55</w:t>
            </w:r>
          </w:p>
        </w:tc>
      </w:tr>
      <w:tr w:rsidR="00045D33">
        <w:tc>
          <w:tcPr>
            <w:tcW w:w="4609"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11,723,058.08</w:t>
            </w:r>
          </w:p>
        </w:tc>
      </w:tr>
      <w:tr w:rsidR="00045D33">
        <w:tc>
          <w:tcPr>
            <w:tcW w:w="4609"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16,044,761.20</w:t>
            </w:r>
          </w:p>
        </w:tc>
      </w:tr>
      <w:tr w:rsidR="00045D33">
        <w:tc>
          <w:tcPr>
            <w:tcW w:w="4609"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045D33">
        <w:tc>
          <w:tcPr>
            <w:tcW w:w="4609"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045D33" w:rsidRDefault="00F26628">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137,079,095.43</w:t>
            </w:r>
          </w:p>
        </w:tc>
      </w:tr>
    </w:tbl>
    <w:p w:rsidR="00045D33" w:rsidRDefault="00F26628">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045D33" w:rsidRDefault="00F26628">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045D33" w:rsidRDefault="00F26628">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045D33" w:rsidRDefault="00045D33">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045D33" w:rsidRDefault="00F2662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Pr>
          <w:rFonts w:asciiTheme="minorEastAsia" w:eastAsiaTheme="minorEastAsia" w:hAnsiTheme="minorEastAsia" w:hint="eastAsia"/>
          <w:color w:val="000000" w:themeColor="text1"/>
        </w:rPr>
        <w:t>中国证监会批准上投摩根大盘蓝筹股票型证券投资基金设立的文件；</w:t>
      </w:r>
      <w:r>
        <w:rPr>
          <w:rFonts w:asciiTheme="minorEastAsia" w:eastAsiaTheme="minorEastAsia" w:hAnsiTheme="minorEastAsia" w:hint="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asciiTheme="minorEastAsia" w:eastAsiaTheme="minorEastAsia" w:hAnsiTheme="minorEastAsia" w:hint="eastAsia"/>
          <w:color w:val="000000" w:themeColor="text1"/>
        </w:rPr>
        <w:t>《上投摩根大盘蓝筹股票型证券投资基金基金合同》；</w:t>
      </w:r>
      <w:r>
        <w:rPr>
          <w:rFonts w:asciiTheme="minorEastAsia" w:eastAsiaTheme="minorEastAsia" w:hAnsiTheme="minorEastAsia" w:hint="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Pr>
          <w:rFonts w:asciiTheme="minorEastAsia" w:eastAsiaTheme="minorEastAsia" w:hAnsiTheme="minorEastAsia" w:hint="eastAsia"/>
          <w:color w:val="000000" w:themeColor="text1"/>
        </w:rPr>
        <w:t>《上投摩根大盘蓝筹股票型证券投资基金托管协议》；</w:t>
      </w:r>
      <w:r>
        <w:rPr>
          <w:rFonts w:asciiTheme="minorEastAsia" w:eastAsiaTheme="minorEastAsia" w:hAnsiTheme="minorEastAsia" w:hint="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《上投摩根基金管理有限公司开放式基金业务规则》；</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5. </w:t>
      </w:r>
      <w:r>
        <w:rPr>
          <w:rFonts w:asciiTheme="minorEastAsia" w:eastAsiaTheme="minorEastAsia" w:hAnsiTheme="minorEastAsia" w:hint="eastAsia"/>
          <w:color w:val="000000" w:themeColor="text1"/>
        </w:rPr>
        <w:t>基金管理人业务资格批件、营业执照；</w:t>
      </w:r>
      <w:r>
        <w:rPr>
          <w:rFonts w:asciiTheme="minorEastAsia" w:eastAsiaTheme="minorEastAsia" w:hAnsiTheme="minorEastAsia" w:hint="eastAsia"/>
          <w:color w:val="000000" w:themeColor="text1"/>
        </w:rPr>
        <w:t xml:space="preserve"> </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6. </w:t>
      </w:r>
      <w:r>
        <w:rPr>
          <w:rFonts w:asciiTheme="minorEastAsia" w:eastAsiaTheme="minorEastAsia" w:hAnsiTheme="minorEastAsia" w:hint="eastAsia"/>
          <w:color w:val="000000" w:themeColor="text1"/>
        </w:rPr>
        <w:t>基金托管人业务资格批件和营业执照。</w:t>
      </w:r>
    </w:p>
    <w:p w:rsidR="00045D33" w:rsidRDefault="00045D33">
      <w:pPr>
        <w:spacing w:line="360" w:lineRule="auto"/>
        <w:ind w:firstLineChars="200" w:firstLine="480"/>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045D33" w:rsidRDefault="00045D33">
      <w:pPr>
        <w:spacing w:line="360" w:lineRule="auto"/>
        <w:ind w:firstLineChars="200" w:firstLine="480"/>
        <w:rPr>
          <w:rFonts w:asciiTheme="minorEastAsia" w:eastAsiaTheme="minorEastAsia" w:hAnsiTheme="minorEastAsia"/>
          <w:color w:val="000000" w:themeColor="text1"/>
          <w:sz w:val="24"/>
          <w:szCs w:val="24"/>
        </w:rPr>
      </w:pPr>
    </w:p>
    <w:p w:rsidR="00045D33" w:rsidRDefault="00F2662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045D33" w:rsidRDefault="00F26628">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045D33">
      <w:pPr>
        <w:spacing w:line="360" w:lineRule="auto"/>
        <w:ind w:left="840"/>
        <w:jc w:val="right"/>
        <w:rPr>
          <w:rFonts w:asciiTheme="minorEastAsia" w:eastAsiaTheme="minorEastAsia" w:hAnsiTheme="minorEastAsia"/>
          <w:color w:val="000000" w:themeColor="text1"/>
          <w:sz w:val="24"/>
          <w:szCs w:val="24"/>
        </w:rPr>
      </w:pPr>
    </w:p>
    <w:p w:rsidR="00045D33" w:rsidRDefault="00F26628">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045D33" w:rsidRDefault="00F26628">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二〇二〇年七月二十一日</w:t>
      </w:r>
    </w:p>
    <w:p w:rsidR="00045D33" w:rsidRDefault="00045D33">
      <w:pPr>
        <w:spacing w:line="360" w:lineRule="auto"/>
        <w:ind w:left="840"/>
        <w:jc w:val="right"/>
        <w:rPr>
          <w:rFonts w:asciiTheme="minorEastAsia" w:eastAsiaTheme="minorEastAsia" w:hAnsiTheme="minorEastAsia"/>
          <w:b/>
          <w:bCs/>
          <w:color w:val="000000" w:themeColor="text1"/>
          <w:sz w:val="24"/>
          <w:szCs w:val="24"/>
        </w:rPr>
      </w:pPr>
    </w:p>
    <w:p w:rsidR="00045D33" w:rsidRDefault="00045D33">
      <w:pPr>
        <w:rPr>
          <w:rFonts w:asciiTheme="minorEastAsia" w:eastAsiaTheme="minorEastAsia" w:hAnsiTheme="minorEastAsia"/>
          <w:color w:val="000000" w:themeColor="text1"/>
          <w:sz w:val="24"/>
          <w:szCs w:val="24"/>
        </w:rPr>
      </w:pPr>
    </w:p>
    <w:sectPr w:rsidR="00045D33">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6628">
      <w:r>
        <w:separator/>
      </w:r>
    </w:p>
  </w:endnote>
  <w:endnote w:type="continuationSeparator" w:id="0">
    <w:p w:rsidR="00000000" w:rsidRDefault="00F2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33" w:rsidRDefault="00F26628">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F2662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33" w:rsidRDefault="00F26628">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045D33" w:rsidRDefault="00045D3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6628">
      <w:r>
        <w:separator/>
      </w:r>
    </w:p>
  </w:footnote>
  <w:footnote w:type="continuationSeparator" w:id="0">
    <w:p w:rsidR="00000000" w:rsidRDefault="00F2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33" w:rsidRDefault="00F26628">
    <w:pPr>
      <w:pStyle w:val="af6"/>
      <w:pBdr>
        <w:bottom w:val="single" w:sz="6" w:space="0" w:color="auto"/>
      </w:pBdr>
      <w:jc w:val="right"/>
    </w:pPr>
    <w:r>
      <w:rPr>
        <w:rFonts w:hint="eastAsia"/>
      </w:rPr>
      <w:t>上投摩根大盘蓝筹股票型证券投资基金</w:t>
    </w:r>
    <w:r>
      <w:rPr>
        <w:rFonts w:hint="eastAsia"/>
      </w:rPr>
      <w:t>2020</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5D33"/>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6628"/>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6434C-6390-42CB-AB41-2028F854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3774F-5E82-4431-BADB-5996837A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1002</Words>
  <Characters>5713</Characters>
  <Application>Microsoft Office Word</Application>
  <DocSecurity>0</DocSecurity>
  <Lines>47</Lines>
  <Paragraphs>13</Paragraphs>
  <ScaleCrop>false</ScaleCrop>
  <Company>Cifm</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265</cp:revision>
  <dcterms:created xsi:type="dcterms:W3CDTF">2012-10-16T06:07:00Z</dcterms:created>
  <dcterms:modified xsi:type="dcterms:W3CDTF">2020-07-20T08:45:00Z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