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上投摩根中国优势证券投资基金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2020年第2季度报告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2020年6月30日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二〇二〇年七月二十一日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本报告期自2020年4月1日起至6月30日止。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上投摩根中国优势混合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375010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375010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2004年9月15日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1,011,910,762.60</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充分借鉴摩根资产管理集团全球行之有效的投资理念和技术，以国际视野审视中国经济发展，将国内行业发展趋势与上市公司价值判断纳入全球经济综合考量的范畴，通过定性/定量严谨分析的有机结合，准确把握国家/地区与上市公司的比较优势，最终实现上市公司内在价值的合理评估、投资组合资产配置与风险管理的正确实施。本基金以股票投资为主体，在股票选择和资产配置上分别采取“由下到上”和“由上到下”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区域行业效应进行评估后，确定行业资产配置权重，总体紧密监控组合风险与收益特征，以最终切实提高组合的流动性、稳定性与收益性。</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沪深300指数收益率×70%+中债总指数收益率×30%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本基金努力追求资产配置动态平衡，在风险预算目标下使基金收益最大化，属于中等风险证券投资基金产品。</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2020年4月1日-2020年6月30日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82,934,665.89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385,913,480.01</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0.3700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1,666,821,298.77</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1.6472</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29.18%</w:t>
            </w:r>
          </w:p>
        </w:tc>
        <w:tc>
          <w:tcPr>
            <w:vAlign w:val="center"/>
          </w:tcPr>
          <w:p>
            <w:pPr>
              <w:jc w:val="center"/>
            </w:pPr>
            <w:r>
              <w:rPr>
                <w:rFonts w:asciiTheme="minorEastAsia" w:eastAsiaTheme="minorEastAsia" w:hAnsiTheme="minorEastAsia"/>
                <w:color w:themeColor="text1" w:val="000000"/>
                <w:kern w:val="0"/>
                <w:sz w:val="21"/>
              </w:rPr>
              <w:t>1.28%</w:t>
            </w:r>
          </w:p>
        </w:tc>
        <w:tc>
          <w:tcPr>
            <w:vAlign w:val="center"/>
          </w:tcPr>
          <w:p>
            <w:pPr>
              <w:jc w:val="center"/>
            </w:pPr>
            <w:r>
              <w:rPr>
                <w:rFonts w:asciiTheme="minorEastAsia" w:eastAsiaTheme="minorEastAsia" w:hAnsiTheme="minorEastAsia"/>
                <w:color w:themeColor="text1" w:val="000000"/>
                <w:kern w:val="0"/>
                <w:sz w:val="21"/>
              </w:rPr>
              <w:t>8.56%</w:t>
            </w:r>
          </w:p>
        </w:tc>
        <w:tc>
          <w:tcPr>
            <w:vAlign w:val="center"/>
          </w:tcPr>
          <w:p>
            <w:pPr>
              <w:jc w:val="center"/>
            </w:pPr>
            <w:r>
              <w:rPr>
                <w:rFonts w:asciiTheme="minorEastAsia" w:eastAsiaTheme="minorEastAsia" w:hAnsiTheme="minorEastAsia"/>
                <w:color w:themeColor="text1" w:val="000000"/>
                <w:kern w:val="0"/>
                <w:sz w:val="21"/>
              </w:rPr>
              <w:t>0.63%</w:t>
            </w:r>
          </w:p>
        </w:tc>
        <w:tc>
          <w:tcPr>
            <w:vAlign w:val="center"/>
          </w:tcPr>
          <w:p>
            <w:pPr>
              <w:jc w:val="center"/>
            </w:pPr>
            <w:r>
              <w:rPr>
                <w:rFonts w:asciiTheme="minorEastAsia" w:eastAsiaTheme="minorEastAsia" w:hAnsiTheme="minorEastAsia"/>
                <w:color w:themeColor="text1" w:val="000000"/>
                <w:kern w:val="0"/>
                <w:sz w:val="21"/>
              </w:rPr>
              <w:t>20.62%</w:t>
            </w:r>
          </w:p>
        </w:tc>
        <w:tc>
          <w:tcPr>
            <w:vAlign w:val="center"/>
          </w:tcPr>
          <w:p>
            <w:pPr>
              <w:jc w:val="center"/>
            </w:pPr>
            <w:r>
              <w:rPr>
                <w:rFonts w:asciiTheme="minorEastAsia" w:eastAsiaTheme="minorEastAsia" w:hAnsiTheme="minorEastAsia"/>
                <w:color w:themeColor="text1" w:val="000000"/>
                <w:kern w:val="0"/>
                <w:sz w:val="21"/>
              </w:rPr>
              <w:t>0.65%</w:t>
            </w:r>
          </w:p>
        </w:tc>
      </w:tr>
      <w:tr>
        <w:tc>
          <w:tcPr>
            <w:vAlign w:val="center"/>
          </w:tcPr>
          <w:p>
            <w:pPr>
              <w:jc w:val="left"/>
            </w:pPr>
            <w:r>
              <w:rPr>
                <w:rFonts w:asciiTheme="minorEastAsia" w:eastAsiaTheme="minorEastAsia" w:hAnsiTheme="minorEastAsia"/>
                <w:color w:themeColor="text1" w:val="000000"/>
                <w:kern w:val="0"/>
                <w:sz w:val="21"/>
              </w:rPr>
              <w:t>过去六个月</w:t>
            </w:r>
          </w:p>
        </w:tc>
        <w:tc>
          <w:tcPr>
            <w:vAlign w:val="center"/>
          </w:tcPr>
          <w:p>
            <w:pPr>
              <w:jc w:val="center"/>
            </w:pPr>
            <w:r>
              <w:rPr>
                <w:rFonts w:asciiTheme="minorEastAsia" w:eastAsiaTheme="minorEastAsia" w:hAnsiTheme="minorEastAsia"/>
                <w:color w:themeColor="text1" w:val="000000"/>
                <w:kern w:val="0"/>
                <w:sz w:val="21"/>
              </w:rPr>
              <w:t>31.98%</w:t>
            </w:r>
          </w:p>
        </w:tc>
        <w:tc>
          <w:tcPr>
            <w:vAlign w:val="center"/>
          </w:tcPr>
          <w:p>
            <w:pPr>
              <w:jc w:val="center"/>
            </w:pPr>
            <w:r>
              <w:rPr>
                <w:rFonts w:asciiTheme="minorEastAsia" w:eastAsiaTheme="minorEastAsia" w:hAnsiTheme="minorEastAsia"/>
                <w:color w:themeColor="text1" w:val="000000"/>
                <w:kern w:val="0"/>
                <w:sz w:val="21"/>
              </w:rPr>
              <w:t>1.93%</w:t>
            </w:r>
          </w:p>
        </w:tc>
        <w:tc>
          <w:tcPr>
            <w:vAlign w:val="center"/>
          </w:tcPr>
          <w:p>
            <w:pPr>
              <w:jc w:val="center"/>
            </w:pPr>
            <w:r>
              <w:rPr>
                <w:rFonts w:asciiTheme="minorEastAsia" w:eastAsiaTheme="minorEastAsia" w:hAnsiTheme="minorEastAsia"/>
                <w:color w:themeColor="text1" w:val="000000"/>
                <w:kern w:val="0"/>
                <w:sz w:val="21"/>
              </w:rPr>
              <w:t>1.40%</w:t>
            </w:r>
          </w:p>
        </w:tc>
        <w:tc>
          <w:tcPr>
            <w:vAlign w:val="center"/>
          </w:tcPr>
          <w:p>
            <w:pPr>
              <w:jc w:val="center"/>
            </w:pPr>
            <w:r>
              <w:rPr>
                <w:rFonts w:asciiTheme="minorEastAsia" w:eastAsiaTheme="minorEastAsia" w:hAnsiTheme="minorEastAsia"/>
                <w:color w:themeColor="text1" w:val="000000"/>
                <w:kern w:val="0"/>
                <w:sz w:val="21"/>
              </w:rPr>
              <w:t>1.05%</w:t>
            </w:r>
          </w:p>
        </w:tc>
        <w:tc>
          <w:tcPr>
            <w:vAlign w:val="center"/>
          </w:tcPr>
          <w:p>
            <w:pPr>
              <w:jc w:val="center"/>
            </w:pPr>
            <w:r>
              <w:rPr>
                <w:rFonts w:asciiTheme="minorEastAsia" w:eastAsiaTheme="minorEastAsia" w:hAnsiTheme="minorEastAsia"/>
                <w:color w:themeColor="text1" w:val="000000"/>
                <w:kern w:val="0"/>
                <w:sz w:val="21"/>
              </w:rPr>
              <w:t>30.58%</w:t>
            </w:r>
          </w:p>
        </w:tc>
        <w:tc>
          <w:tcPr>
            <w:vAlign w:val="center"/>
          </w:tcPr>
          <w:p>
            <w:pPr>
              <w:jc w:val="center"/>
            </w:pPr>
            <w:r>
              <w:rPr>
                <w:rFonts w:asciiTheme="minorEastAsia" w:eastAsiaTheme="minorEastAsia" w:hAnsiTheme="minorEastAsia"/>
                <w:color w:themeColor="text1" w:val="000000"/>
                <w:kern w:val="0"/>
                <w:sz w:val="21"/>
              </w:rPr>
              <w:t>0.88%</w:t>
            </w:r>
          </w:p>
        </w:tc>
      </w:tr>
      <w:tr>
        <w:tc>
          <w:tcPr>
            <w:vAlign w:val="center"/>
          </w:tcPr>
          <w:p>
            <w:pPr>
              <w:jc w:val="left"/>
            </w:pPr>
            <w:r>
              <w:rPr>
                <w:rFonts w:asciiTheme="minorEastAsia" w:eastAsiaTheme="minorEastAsia" w:hAnsiTheme="minorEastAsia"/>
                <w:color w:themeColor="text1" w:val="000000"/>
                <w:kern w:val="0"/>
                <w:sz w:val="21"/>
              </w:rPr>
              <w:t>过去一年</w:t>
            </w:r>
          </w:p>
        </w:tc>
        <w:tc>
          <w:tcPr>
            <w:vAlign w:val="center"/>
          </w:tcPr>
          <w:p>
            <w:pPr>
              <w:jc w:val="center"/>
            </w:pPr>
            <w:r>
              <w:rPr>
                <w:rFonts w:asciiTheme="minorEastAsia" w:eastAsiaTheme="minorEastAsia" w:hAnsiTheme="minorEastAsia"/>
                <w:color w:themeColor="text1" w:val="000000"/>
                <w:kern w:val="0"/>
                <w:sz w:val="21"/>
              </w:rPr>
              <w:t>63.53%</w:t>
            </w:r>
          </w:p>
        </w:tc>
        <w:tc>
          <w:tcPr>
            <w:vAlign w:val="center"/>
          </w:tcPr>
          <w:p>
            <w:pPr>
              <w:jc w:val="center"/>
            </w:pPr>
            <w:r>
              <w:rPr>
                <w:rFonts w:asciiTheme="minorEastAsia" w:eastAsiaTheme="minorEastAsia" w:hAnsiTheme="minorEastAsia"/>
                <w:color w:themeColor="text1" w:val="000000"/>
                <w:kern w:val="0"/>
                <w:sz w:val="21"/>
              </w:rPr>
              <w:t>1.54%</w:t>
            </w:r>
          </w:p>
        </w:tc>
        <w:tc>
          <w:tcPr>
            <w:vAlign w:val="center"/>
          </w:tcPr>
          <w:p>
            <w:pPr>
              <w:jc w:val="center"/>
            </w:pPr>
            <w:r>
              <w:rPr>
                <w:rFonts w:asciiTheme="minorEastAsia" w:eastAsiaTheme="minorEastAsia" w:hAnsiTheme="minorEastAsia"/>
                <w:color w:themeColor="text1" w:val="000000"/>
                <w:kern w:val="0"/>
                <w:sz w:val="21"/>
              </w:rPr>
              <w:t>6.89%</w:t>
            </w:r>
          </w:p>
        </w:tc>
        <w:tc>
          <w:tcPr>
            <w:vAlign w:val="center"/>
          </w:tcPr>
          <w:p>
            <w:pPr>
              <w:jc w:val="center"/>
            </w:pPr>
            <w:r>
              <w:rPr>
                <w:rFonts w:asciiTheme="minorEastAsia" w:eastAsiaTheme="minorEastAsia" w:hAnsiTheme="minorEastAsia"/>
                <w:color w:themeColor="text1" w:val="000000"/>
                <w:kern w:val="0"/>
                <w:sz w:val="21"/>
              </w:rPr>
              <w:t>0.84%</w:t>
            </w:r>
          </w:p>
        </w:tc>
        <w:tc>
          <w:tcPr>
            <w:vAlign w:val="center"/>
          </w:tcPr>
          <w:p>
            <w:pPr>
              <w:jc w:val="center"/>
            </w:pPr>
            <w:r>
              <w:rPr>
                <w:rFonts w:asciiTheme="minorEastAsia" w:eastAsiaTheme="minorEastAsia" w:hAnsiTheme="minorEastAsia"/>
                <w:color w:themeColor="text1" w:val="000000"/>
                <w:kern w:val="0"/>
                <w:sz w:val="21"/>
              </w:rPr>
              <w:t>56.64%</w:t>
            </w:r>
          </w:p>
        </w:tc>
        <w:tc>
          <w:tcPr>
            <w:vAlign w:val="center"/>
          </w:tcPr>
          <w:p>
            <w:pPr>
              <w:jc w:val="center"/>
            </w:pPr>
            <w:r>
              <w:rPr>
                <w:rFonts w:asciiTheme="minorEastAsia" w:eastAsiaTheme="minorEastAsia" w:hAnsiTheme="minorEastAsia"/>
                <w:color w:themeColor="text1" w:val="000000"/>
                <w:kern w:val="0"/>
                <w:sz w:val="21"/>
              </w:rPr>
              <w:t>0.70%</w:t>
            </w:r>
          </w:p>
        </w:tc>
      </w:tr>
      <w:tr>
        <w:tc>
          <w:tcPr>
            <w:vAlign w:val="center"/>
          </w:tcPr>
          <w:p>
            <w:pPr>
              <w:jc w:val="left"/>
            </w:pPr>
            <w:r>
              <w:rPr>
                <w:rFonts w:asciiTheme="minorEastAsia" w:eastAsiaTheme="minorEastAsia" w:hAnsiTheme="minorEastAsia"/>
                <w:color w:themeColor="text1" w:val="000000"/>
                <w:kern w:val="0"/>
                <w:sz w:val="21"/>
              </w:rPr>
              <w:t>过去三年</w:t>
            </w:r>
          </w:p>
        </w:tc>
        <w:tc>
          <w:tcPr>
            <w:vAlign w:val="center"/>
          </w:tcPr>
          <w:p>
            <w:pPr>
              <w:jc w:val="center"/>
            </w:pPr>
            <w:r>
              <w:rPr>
                <w:rFonts w:asciiTheme="minorEastAsia" w:eastAsiaTheme="minorEastAsia" w:hAnsiTheme="minorEastAsia"/>
                <w:color w:themeColor="text1" w:val="000000"/>
                <w:kern w:val="0"/>
                <w:sz w:val="21"/>
              </w:rPr>
              <w:t>38.22%</w:t>
            </w:r>
          </w:p>
        </w:tc>
        <w:tc>
          <w:tcPr>
            <w:vAlign w:val="center"/>
          </w:tcPr>
          <w:p>
            <w:pPr>
              <w:jc w:val="center"/>
            </w:pPr>
            <w:r>
              <w:rPr>
                <w:rFonts w:asciiTheme="minorEastAsia" w:eastAsiaTheme="minorEastAsia" w:hAnsiTheme="minorEastAsia"/>
                <w:color w:themeColor="text1" w:val="000000"/>
                <w:kern w:val="0"/>
                <w:sz w:val="21"/>
              </w:rPr>
              <w:t>1.62%</w:t>
            </w:r>
          </w:p>
        </w:tc>
        <w:tc>
          <w:tcPr>
            <w:vAlign w:val="center"/>
          </w:tcPr>
          <w:p>
            <w:pPr>
              <w:jc w:val="center"/>
            </w:pPr>
            <w:r>
              <w:rPr>
                <w:rFonts w:asciiTheme="minorEastAsia" w:eastAsiaTheme="minorEastAsia" w:hAnsiTheme="minorEastAsia"/>
                <w:color w:themeColor="text1" w:val="000000"/>
                <w:kern w:val="0"/>
                <w:sz w:val="21"/>
              </w:rPr>
              <w:t>11.37%</w:t>
            </w:r>
          </w:p>
        </w:tc>
        <w:tc>
          <w:tcPr>
            <w:vAlign w:val="center"/>
          </w:tcPr>
          <w:p>
            <w:pPr>
              <w:jc w:val="center"/>
            </w:pPr>
            <w:r>
              <w:rPr>
                <w:rFonts w:asciiTheme="minorEastAsia" w:eastAsiaTheme="minorEastAsia" w:hAnsiTheme="minorEastAsia"/>
                <w:color w:themeColor="text1" w:val="000000"/>
                <w:kern w:val="0"/>
                <w:sz w:val="21"/>
              </w:rPr>
              <w:t>0.87%</w:t>
            </w:r>
          </w:p>
        </w:tc>
        <w:tc>
          <w:tcPr>
            <w:vAlign w:val="center"/>
          </w:tcPr>
          <w:p>
            <w:pPr>
              <w:jc w:val="center"/>
            </w:pPr>
            <w:r>
              <w:rPr>
                <w:rFonts w:asciiTheme="minorEastAsia" w:eastAsiaTheme="minorEastAsia" w:hAnsiTheme="minorEastAsia"/>
                <w:color w:themeColor="text1" w:val="000000"/>
                <w:kern w:val="0"/>
                <w:sz w:val="21"/>
              </w:rPr>
              <w:t>26.85%</w:t>
            </w:r>
          </w:p>
        </w:tc>
        <w:tc>
          <w:tcPr>
            <w:vAlign w:val="center"/>
          </w:tcPr>
          <w:p>
            <w:pPr>
              <w:jc w:val="center"/>
            </w:pPr>
            <w:r>
              <w:rPr>
                <w:rFonts w:asciiTheme="minorEastAsia" w:eastAsiaTheme="minorEastAsia" w:hAnsiTheme="minorEastAsia"/>
                <w:color w:themeColor="text1" w:val="000000"/>
                <w:kern w:val="0"/>
                <w:sz w:val="21"/>
              </w:rPr>
              <w:t>0.75%</w:t>
            </w:r>
          </w:p>
        </w:tc>
      </w:tr>
      <w:tr>
        <w:tc>
          <w:tcPr>
            <w:vAlign w:val="center"/>
          </w:tcPr>
          <w:p>
            <w:pPr>
              <w:jc w:val="left"/>
            </w:pPr>
            <w:r>
              <w:rPr>
                <w:rFonts w:asciiTheme="minorEastAsia" w:eastAsiaTheme="minorEastAsia" w:hAnsiTheme="minorEastAsia"/>
                <w:color w:themeColor="text1" w:val="000000"/>
                <w:kern w:val="0"/>
                <w:sz w:val="21"/>
              </w:rPr>
              <w:t>过去五年</w:t>
            </w:r>
          </w:p>
        </w:tc>
        <w:tc>
          <w:tcPr>
            <w:vAlign w:val="center"/>
          </w:tcPr>
          <w:p>
            <w:pPr>
              <w:jc w:val="center"/>
            </w:pPr>
            <w:r>
              <w:rPr>
                <w:rFonts w:asciiTheme="minorEastAsia" w:eastAsiaTheme="minorEastAsia" w:hAnsiTheme="minorEastAsia"/>
                <w:color w:themeColor="text1" w:val="000000"/>
                <w:kern w:val="0"/>
                <w:sz w:val="21"/>
              </w:rPr>
              <w:t>11.43%</w:t>
            </w:r>
          </w:p>
        </w:tc>
        <w:tc>
          <w:tcPr>
            <w:vAlign w:val="center"/>
          </w:tcPr>
          <w:p>
            <w:pPr>
              <w:jc w:val="center"/>
            </w:pPr>
            <w:r>
              <w:rPr>
                <w:rFonts w:asciiTheme="minorEastAsia" w:eastAsiaTheme="minorEastAsia" w:hAnsiTheme="minorEastAsia"/>
                <w:color w:themeColor="text1" w:val="000000"/>
                <w:kern w:val="0"/>
                <w:sz w:val="21"/>
              </w:rPr>
              <w:t>1.89%</w:t>
            </w:r>
          </w:p>
        </w:tc>
        <w:tc>
          <w:tcPr>
            <w:vAlign w:val="center"/>
          </w:tcPr>
          <w:p>
            <w:pPr>
              <w:jc w:val="center"/>
            </w:pPr>
            <w:r>
              <w:rPr>
                <w:rFonts w:asciiTheme="minorEastAsia" w:eastAsiaTheme="minorEastAsia" w:hAnsiTheme="minorEastAsia"/>
                <w:color w:themeColor="text1" w:val="000000"/>
                <w:kern w:val="0"/>
                <w:sz w:val="21"/>
              </w:rPr>
              <w:t>-3.18%</w:t>
            </w:r>
          </w:p>
        </w:tc>
        <w:tc>
          <w:tcPr>
            <w:vAlign w:val="center"/>
          </w:tcPr>
          <w:p>
            <w:pPr>
              <w:jc w:val="center"/>
            </w:pPr>
            <w:r>
              <w:rPr>
                <w:rFonts w:asciiTheme="minorEastAsia" w:eastAsiaTheme="minorEastAsia" w:hAnsiTheme="minorEastAsia"/>
                <w:color w:themeColor="text1" w:val="000000"/>
                <w:kern w:val="0"/>
                <w:sz w:val="21"/>
              </w:rPr>
              <w:t>1.01%</w:t>
            </w:r>
          </w:p>
        </w:tc>
        <w:tc>
          <w:tcPr>
            <w:vAlign w:val="center"/>
          </w:tcPr>
          <w:p>
            <w:pPr>
              <w:jc w:val="center"/>
            </w:pPr>
            <w:r>
              <w:rPr>
                <w:rFonts w:asciiTheme="minorEastAsia" w:eastAsiaTheme="minorEastAsia" w:hAnsiTheme="minorEastAsia"/>
                <w:color w:themeColor="text1" w:val="000000"/>
                <w:kern w:val="0"/>
                <w:sz w:val="21"/>
              </w:rPr>
              <w:t>14.61%</w:t>
            </w:r>
          </w:p>
        </w:tc>
        <w:tc>
          <w:tcPr>
            <w:vAlign w:val="center"/>
          </w:tcPr>
          <w:p>
            <w:pPr>
              <w:jc w:val="center"/>
            </w:pPr>
            <w:r>
              <w:rPr>
                <w:rFonts w:asciiTheme="minorEastAsia" w:eastAsiaTheme="minorEastAsia" w:hAnsiTheme="minorEastAsia"/>
                <w:color w:themeColor="text1" w:val="000000"/>
                <w:kern w:val="0"/>
                <w:sz w:val="21"/>
              </w:rPr>
              <w:t>0.88%</w:t>
            </w:r>
          </w:p>
        </w:tc>
      </w:tr>
      <w:tr>
        <w:tc>
          <w:tcPr>
            <w:vAlign w:val="center"/>
          </w:tcPr>
          <w:p>
            <w:pPr>
              <w:jc w:val="left"/>
            </w:pPr>
            <w:r>
              <w:rPr>
                <w:rFonts w:asciiTheme="minorEastAsia" w:eastAsiaTheme="minorEastAsia" w:hAnsiTheme="minorEastAsia"/>
                <w:color w:themeColor="text1" w:val="000000"/>
                <w:kern w:val="0"/>
                <w:sz w:val="21"/>
              </w:rPr>
              <w:t>自基金合同生效起至今</w:t>
            </w:r>
          </w:p>
        </w:tc>
        <w:tc>
          <w:tcPr>
            <w:vAlign w:val="center"/>
          </w:tcPr>
          <w:p>
            <w:pPr>
              <w:jc w:val="center"/>
            </w:pPr>
            <w:r>
              <w:rPr>
                <w:rFonts w:asciiTheme="minorEastAsia" w:eastAsiaTheme="minorEastAsia" w:hAnsiTheme="minorEastAsia"/>
                <w:color w:themeColor="text1" w:val="000000"/>
                <w:kern w:val="0"/>
                <w:sz w:val="21"/>
              </w:rPr>
              <w:t>707.11%</w:t>
            </w:r>
          </w:p>
        </w:tc>
        <w:tc>
          <w:tcPr>
            <w:vAlign w:val="center"/>
          </w:tcPr>
          <w:p>
            <w:pPr>
              <w:jc w:val="center"/>
            </w:pPr>
            <w:r>
              <w:rPr>
                <w:rFonts w:asciiTheme="minorEastAsia" w:eastAsiaTheme="minorEastAsia" w:hAnsiTheme="minorEastAsia"/>
                <w:color w:themeColor="text1" w:val="000000"/>
                <w:kern w:val="0"/>
                <w:sz w:val="21"/>
              </w:rPr>
              <w:t>1.75%</w:t>
            </w:r>
          </w:p>
        </w:tc>
        <w:tc>
          <w:tcPr>
            <w:vAlign w:val="center"/>
          </w:tcPr>
          <w:p>
            <w:pPr>
              <w:jc w:val="center"/>
            </w:pPr>
            <w:r>
              <w:rPr>
                <w:rFonts w:asciiTheme="minorEastAsia" w:eastAsiaTheme="minorEastAsia" w:hAnsiTheme="minorEastAsia"/>
                <w:color w:themeColor="text1" w:val="000000"/>
                <w:kern w:val="0"/>
                <w:sz w:val="21"/>
              </w:rPr>
              <w:t>218.56%</w:t>
            </w:r>
          </w:p>
        </w:tc>
        <w:tc>
          <w:tcPr>
            <w:vAlign w:val="center"/>
          </w:tcPr>
          <w:p>
            <w:pPr>
              <w:jc w:val="center"/>
            </w:pPr>
            <w:r>
              <w:rPr>
                <w:rFonts w:asciiTheme="minorEastAsia" w:eastAsiaTheme="minorEastAsia" w:hAnsiTheme="minorEastAsia"/>
                <w:color w:themeColor="text1" w:val="000000"/>
                <w:kern w:val="0"/>
                <w:sz w:val="21"/>
              </w:rPr>
              <w:t>1.19%</w:t>
            </w:r>
          </w:p>
        </w:tc>
        <w:tc>
          <w:tcPr>
            <w:vAlign w:val="center"/>
          </w:tcPr>
          <w:p>
            <w:pPr>
              <w:jc w:val="center"/>
            </w:pPr>
            <w:r>
              <w:rPr>
                <w:rFonts w:asciiTheme="minorEastAsia" w:eastAsiaTheme="minorEastAsia" w:hAnsiTheme="minorEastAsia"/>
                <w:color w:themeColor="text1" w:val="000000"/>
                <w:kern w:val="0"/>
                <w:sz w:val="21"/>
              </w:rPr>
              <w:t>488.55%</w:t>
            </w:r>
          </w:p>
        </w:tc>
        <w:tc>
          <w:tcPr>
            <w:vAlign w:val="center"/>
          </w:tcPr>
          <w:p>
            <w:pPr>
              <w:jc w:val="center"/>
            </w:pPr>
            <w:r>
              <w:rPr>
                <w:rFonts w:asciiTheme="minorEastAsia" w:eastAsiaTheme="minorEastAsia" w:hAnsiTheme="minorEastAsia"/>
                <w:color w:themeColor="text1" w:val="000000"/>
                <w:kern w:val="0"/>
                <w:sz w:val="21"/>
              </w:rPr>
              <w:t>0.56%</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上投摩根中国优势证券投资基金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2004年9月15日</w:t>
      </w:r>
      <w:r>
        <w:rPr>
          <w:rFonts w:asciiTheme="minorEastAsia" w:eastAsiaTheme="minorEastAsia" w:hAnsiTheme="minorEastAsia" w:hint="eastAsia"/>
          <w:color w:themeColor="text1" w:val="000000"/>
        </w:rPr>
        <w:t>至2020年6月30日)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注：本基金合同生效时间为2004年9月15日，图示时间段为2004年9月15日至2020年6月30日。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本基金建仓期自2004年9月15日至2005年3月14日，建仓期结束时资产配置比例符合本基金基金合同规定。</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本基金自2013年12月7日起，将基金业绩比较基准由“富时中国A600指数收益率×70%+上证国债指数收益率×25%+同业存款利率×5%”变更为“沪深300指数收益率×70%+中债总指数收益率×30%”。</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杜猛</w:t>
            </w:r>
          </w:p>
        </w:tc>
        <w:tc>
          <w:tcPr>
            <w:vAlign w:val="center"/>
          </w:tcPr>
          <w:p>
            <w:pPr>
              <w:jc w:val="center"/>
            </w:pPr>
            <w:r>
              <w:rPr>
                <w:rFonts w:asciiTheme="minorEastAsia" w:eastAsiaTheme="minorEastAsia" w:hAnsiTheme="minorEastAsia"/>
                <w:color w:themeColor="text1" w:val="000000"/>
              </w:rPr>
              <w:t>本基金基金经理、副总经理兼投资总监</w:t>
            </w:r>
          </w:p>
        </w:tc>
        <w:tc>
          <w:tcPr>
            <w:vAlign w:val="center"/>
          </w:tcPr>
          <w:p>
            <w:pPr>
              <w:jc w:val="center"/>
            </w:pPr>
            <w:r>
              <w:rPr>
                <w:rFonts w:asciiTheme="minorEastAsia" w:eastAsiaTheme="minorEastAsia" w:hAnsiTheme="minorEastAsia"/>
                <w:color w:themeColor="text1" w:val="000000"/>
              </w:rPr>
              <w:t>2019-03-29</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18年</w:t>
            </w:r>
          </w:p>
        </w:tc>
        <w:tc>
          <w:tcPr>
            <w:vAlign w:val="center"/>
          </w:tcPr>
          <w:p>
            <w:pPr>
              <w:jc w:val="both"/>
            </w:pPr>
            <w:r>
              <w:rPr>
                <w:rFonts w:asciiTheme="minorEastAsia" w:eastAsiaTheme="minorEastAsia" w:hAnsiTheme="minorEastAsia"/>
                <w:color w:themeColor="text1" w:val="000000"/>
              </w:rPr>
              <w:t>基金经理杜猛先生，南京大学经济学硕士，先后任职于天同证券、中原证券、国信证券和中银国际证券，任研究员。2007年10月起加入上投摩根基金管理有限公司，先后担任行业专家、基金经理助理、基金经理、总经理助理/国内权益投资一部总监兼资深基金经理，现担任副总经理兼投资总监。自2011年7月起担任上投摩根新兴动力混合型证券投资基金基金经理，自2013年3月至2015年9月同时担任上投摩根智选30混合型证券投资基金基金经理，自2013年5月至2014年12月同时担任上投摩根成长动力混合型证券投资基金基金经理，2014年12月至2019年4月同时担任上投摩根内需动力混合型证券投资基金基金经理，2019年3月起同时担任上投摩根中国优势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中国优势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二季度国内新冠疫情逐步缓解，经济活动开始恢复，因此市场震荡上行，医药、消费、科技等行业持续上涨。虽然疫情在海外仍然持续，但欧美股票市场已经基本修复，甚至创出新高。本基金基于长期成长的选股逻辑，重点投资了长期成长产业中的优质公司，在二季度获得了较好的投资收益。</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未来，疫情对市场的影响正在逐步缓解。从目前的状况看，中国国内虽然有所反复，但仍属可防可控，海外疫情还在继续，仍需相当时间才能得到有效控制，全球经济将受到多大的影响将与疫情持续时间密切相关，我们也将对此持续关注。</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虽然全球经济在今年将受到较大的挑战，但我们并不非常悲观。目前中国A股整体估值依然较低，无论是国内大类资产之间的比较还是和国际证券市场之间的比较，A股都是具备相当吸引力的。更为重要的变化是，中国无风险收益率已经开始下行，权益市场在未来是争取较高收益的主要途径，A股在未来大类资产配置的比重有望不断提升。因此，我们看好A股未来较长一段时间的表现，伴随着市场不断规范化、国际化和法制化，A股可能会变得更为稳健。</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从更长期看，消费、医药、科技将成为中国未来10-20年经济增长的强劲动力，证券市场最大的投资机会也将来源于此。我们将充分深入研究，寻找这些产业中长期成长的公司，力争为基金持有人创造持续稳定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本报告期上投摩根中国优势混合份额净值增长率为:29.18%，同期业绩比较基准收益率为:8.56%。</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1,550,078,838.48</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92.32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1,550,078,838.48</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92.32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126,194,012.19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7.52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2,811,320.40</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0.17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1,679,084,171.07</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104,998,439.14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6.30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14,081,030.00</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0.84</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1,251,951,281.78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75.11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597,304.70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64,573.51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15,966,802.25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128,527,093.06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7.71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15,570,494.43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180,090.36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586,258.20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361,680.80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3,206,540.25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0.19</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5,217,850.00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0.31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8,769,400.00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1,550,078,838.48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93.00</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3,050,713</w:t>
            </w:r>
          </w:p>
        </w:tc>
        <w:tc>
          <w:tcPr>
            <w:vAlign w:val="center"/>
          </w:tcPr>
          <w:p>
            <w:pPr>
              <w:jc w:val="right"/>
            </w:pPr>
            <w:r>
              <w:rPr>
                <w:rFonts w:asciiTheme="minorEastAsia" w:cs="宋体" w:eastAsiaTheme="minorEastAsia" w:hAnsiTheme="minorEastAsia"/>
                <w:color w:themeColor="text1" w:val="000000"/>
                <w:kern w:val="0"/>
                <w:sz w:val="21"/>
              </w:rPr>
              <w:t>124,255,540.49</w:t>
            </w:r>
          </w:p>
        </w:tc>
        <w:tc>
          <w:tcPr>
            <w:vAlign w:val="center"/>
          </w:tcPr>
          <w:p>
            <w:pPr>
              <w:jc w:val="right"/>
            </w:pPr>
            <w:r>
              <w:rPr>
                <w:rFonts w:asciiTheme="minorEastAsia" w:cs="宋体" w:eastAsiaTheme="minorEastAsia" w:hAnsiTheme="minorEastAsia"/>
                <w:color w:themeColor="text1" w:val="000000"/>
                <w:kern w:val="0"/>
                <w:sz w:val="21"/>
              </w:rPr>
              <w:t>7.45</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300014</w:t>
            </w:r>
          </w:p>
        </w:tc>
        <w:tc>
          <w:tcPr>
            <w:vAlign w:val="center"/>
          </w:tcPr>
          <w:p>
            <w:pPr>
              <w:jc w:val="center"/>
            </w:pPr>
            <w:r>
              <w:rPr>
                <w:rFonts w:asciiTheme="minorEastAsia" w:cs="宋体" w:eastAsiaTheme="minorEastAsia" w:hAnsiTheme="minorEastAsia"/>
                <w:color w:themeColor="text1" w:val="000000"/>
                <w:kern w:val="0"/>
                <w:sz w:val="21"/>
              </w:rPr>
              <w:t>亿纬锂能</w:t>
            </w:r>
          </w:p>
        </w:tc>
        <w:tc>
          <w:tcPr>
            <w:vAlign w:val="center"/>
          </w:tcPr>
          <w:p>
            <w:pPr>
              <w:jc w:val="right"/>
            </w:pPr>
            <w:r>
              <w:rPr>
                <w:rFonts w:asciiTheme="minorEastAsia" w:cs="宋体" w:eastAsiaTheme="minorEastAsia" w:hAnsiTheme="minorEastAsia"/>
                <w:color w:themeColor="text1" w:val="000000"/>
                <w:kern w:val="0"/>
                <w:sz w:val="21"/>
              </w:rPr>
              <w:t>2,402,402</w:t>
            </w:r>
          </w:p>
        </w:tc>
        <w:tc>
          <w:tcPr>
            <w:vAlign w:val="center"/>
          </w:tcPr>
          <w:p>
            <w:pPr>
              <w:jc w:val="right"/>
            </w:pPr>
            <w:r>
              <w:rPr>
                <w:rFonts w:asciiTheme="minorEastAsia" w:cs="宋体" w:eastAsiaTheme="minorEastAsia" w:hAnsiTheme="minorEastAsia"/>
                <w:color w:themeColor="text1" w:val="000000"/>
                <w:kern w:val="0"/>
                <w:sz w:val="21"/>
              </w:rPr>
              <w:t>114,954,935.70</w:t>
            </w:r>
          </w:p>
        </w:tc>
        <w:tc>
          <w:tcPr>
            <w:vAlign w:val="center"/>
          </w:tcPr>
          <w:p>
            <w:pPr>
              <w:jc w:val="right"/>
            </w:pPr>
            <w:r>
              <w:rPr>
                <w:rFonts w:asciiTheme="minorEastAsia" w:cs="宋体" w:eastAsiaTheme="minorEastAsia" w:hAnsiTheme="minorEastAsia"/>
                <w:color w:themeColor="text1" w:val="000000"/>
                <w:kern w:val="0"/>
                <w:sz w:val="21"/>
              </w:rPr>
              <w:t>6.90</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002714</w:t>
            </w:r>
          </w:p>
        </w:tc>
        <w:tc>
          <w:tcPr>
            <w:vAlign w:val="center"/>
          </w:tcPr>
          <w:p>
            <w:pPr>
              <w:jc w:val="center"/>
            </w:pPr>
            <w:r>
              <w:rPr>
                <w:rFonts w:asciiTheme="minorEastAsia" w:cs="宋体" w:eastAsiaTheme="minorEastAsia" w:hAnsiTheme="minorEastAsia"/>
                <w:color w:themeColor="text1" w:val="000000"/>
                <w:kern w:val="0"/>
                <w:sz w:val="21"/>
              </w:rPr>
              <w:t>牧原股份</w:t>
            </w:r>
          </w:p>
        </w:tc>
        <w:tc>
          <w:tcPr>
            <w:vAlign w:val="center"/>
          </w:tcPr>
          <w:p>
            <w:pPr>
              <w:jc w:val="right"/>
            </w:pPr>
            <w:r>
              <w:rPr>
                <w:rFonts w:asciiTheme="minorEastAsia" w:cs="宋体" w:eastAsiaTheme="minorEastAsia" w:hAnsiTheme="minorEastAsia"/>
                <w:color w:themeColor="text1" w:val="000000"/>
                <w:kern w:val="0"/>
                <w:sz w:val="21"/>
              </w:rPr>
              <w:t>1,279,862</w:t>
            </w:r>
          </w:p>
        </w:tc>
        <w:tc>
          <w:tcPr>
            <w:vAlign w:val="center"/>
          </w:tcPr>
          <w:p>
            <w:pPr>
              <w:jc w:val="right"/>
            </w:pPr>
            <w:r>
              <w:rPr>
                <w:rFonts w:asciiTheme="minorEastAsia" w:cs="宋体" w:eastAsiaTheme="minorEastAsia" w:hAnsiTheme="minorEastAsia"/>
                <w:color w:themeColor="text1" w:val="000000"/>
                <w:kern w:val="0"/>
                <w:sz w:val="21"/>
              </w:rPr>
              <w:t>104,948,684.00</w:t>
            </w:r>
          </w:p>
        </w:tc>
        <w:tc>
          <w:tcPr>
            <w:vAlign w:val="center"/>
          </w:tcPr>
          <w:p>
            <w:pPr>
              <w:jc w:val="right"/>
            </w:pPr>
            <w:r>
              <w:rPr>
                <w:rFonts w:asciiTheme="minorEastAsia" w:cs="宋体" w:eastAsiaTheme="minorEastAsia" w:hAnsiTheme="minorEastAsia"/>
                <w:color w:themeColor="text1" w:val="000000"/>
                <w:kern w:val="0"/>
                <w:sz w:val="21"/>
              </w:rPr>
              <w:t>6.30</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220,566</w:t>
            </w:r>
          </w:p>
        </w:tc>
        <w:tc>
          <w:tcPr>
            <w:vAlign w:val="center"/>
          </w:tcPr>
          <w:p>
            <w:pPr>
              <w:jc w:val="right"/>
            </w:pPr>
            <w:r>
              <w:rPr>
                <w:rFonts w:asciiTheme="minorEastAsia" w:cs="宋体" w:eastAsiaTheme="minorEastAsia" w:hAnsiTheme="minorEastAsia"/>
                <w:color w:themeColor="text1" w:val="000000"/>
                <w:kern w:val="0"/>
                <w:sz w:val="21"/>
              </w:rPr>
              <w:t>96,012,379.80</w:t>
            </w:r>
          </w:p>
        </w:tc>
        <w:tc>
          <w:tcPr>
            <w:vAlign w:val="center"/>
          </w:tcPr>
          <w:p>
            <w:pPr>
              <w:jc w:val="right"/>
            </w:pPr>
            <w:r>
              <w:rPr>
                <w:rFonts w:asciiTheme="minorEastAsia" w:cs="宋体" w:eastAsiaTheme="minorEastAsia" w:hAnsiTheme="minorEastAsia"/>
                <w:color w:themeColor="text1" w:val="000000"/>
                <w:kern w:val="0"/>
                <w:sz w:val="21"/>
              </w:rPr>
              <w:t>5.76</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300750</w:t>
            </w:r>
          </w:p>
        </w:tc>
        <w:tc>
          <w:tcPr>
            <w:vAlign w:val="center"/>
          </w:tcPr>
          <w:p>
            <w:pPr>
              <w:jc w:val="center"/>
            </w:pPr>
            <w:r>
              <w:rPr>
                <w:rFonts w:asciiTheme="minorEastAsia" w:cs="宋体" w:eastAsiaTheme="minorEastAsia" w:hAnsiTheme="minorEastAsia"/>
                <w:color w:themeColor="text1" w:val="000000"/>
                <w:kern w:val="0"/>
                <w:sz w:val="21"/>
              </w:rPr>
              <w:t>宁德时代</w:t>
            </w:r>
          </w:p>
        </w:tc>
        <w:tc>
          <w:tcPr>
            <w:vAlign w:val="center"/>
          </w:tcPr>
          <w:p>
            <w:pPr>
              <w:jc w:val="right"/>
            </w:pPr>
            <w:r>
              <w:rPr>
                <w:rFonts w:asciiTheme="minorEastAsia" w:cs="宋体" w:eastAsiaTheme="minorEastAsia" w:hAnsiTheme="minorEastAsia"/>
                <w:color w:themeColor="text1" w:val="000000"/>
                <w:kern w:val="0"/>
                <w:sz w:val="21"/>
              </w:rPr>
              <w:t>542,273</w:t>
            </w:r>
          </w:p>
        </w:tc>
        <w:tc>
          <w:tcPr>
            <w:vAlign w:val="center"/>
          </w:tcPr>
          <w:p>
            <w:pPr>
              <w:jc w:val="right"/>
            </w:pPr>
            <w:r>
              <w:rPr>
                <w:rFonts w:asciiTheme="minorEastAsia" w:cs="宋体" w:eastAsiaTheme="minorEastAsia" w:hAnsiTheme="minorEastAsia"/>
                <w:color w:themeColor="text1" w:val="000000"/>
                <w:kern w:val="0"/>
                <w:sz w:val="21"/>
              </w:rPr>
              <w:t>94,550,720.28</w:t>
            </w:r>
          </w:p>
        </w:tc>
        <w:tc>
          <w:tcPr>
            <w:vAlign w:val="center"/>
          </w:tcPr>
          <w:p>
            <w:pPr>
              <w:jc w:val="right"/>
            </w:pPr>
            <w:r>
              <w:rPr>
                <w:rFonts w:asciiTheme="minorEastAsia" w:cs="宋体" w:eastAsiaTheme="minorEastAsia" w:hAnsiTheme="minorEastAsia"/>
                <w:color w:themeColor="text1" w:val="000000"/>
                <w:kern w:val="0"/>
                <w:sz w:val="21"/>
              </w:rPr>
              <w:t>5.67</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600556</w:t>
            </w:r>
          </w:p>
        </w:tc>
        <w:tc>
          <w:tcPr>
            <w:vAlign w:val="center"/>
          </w:tcPr>
          <w:p>
            <w:pPr>
              <w:jc w:val="center"/>
            </w:pPr>
            <w:r>
              <w:rPr>
                <w:rFonts w:asciiTheme="minorEastAsia" w:cs="宋体" w:eastAsiaTheme="minorEastAsia" w:hAnsiTheme="minorEastAsia"/>
                <w:color w:themeColor="text1" w:val="000000"/>
                <w:kern w:val="0"/>
                <w:sz w:val="21"/>
              </w:rPr>
              <w:t>天下秀</w:t>
            </w:r>
          </w:p>
        </w:tc>
        <w:tc>
          <w:tcPr>
            <w:vAlign w:val="center"/>
          </w:tcPr>
          <w:p>
            <w:pPr>
              <w:jc w:val="right"/>
            </w:pPr>
            <w:r>
              <w:rPr>
                <w:rFonts w:asciiTheme="minorEastAsia" w:cs="宋体" w:eastAsiaTheme="minorEastAsia" w:hAnsiTheme="minorEastAsia"/>
                <w:color w:themeColor="text1" w:val="000000"/>
                <w:kern w:val="0"/>
                <w:sz w:val="21"/>
              </w:rPr>
              <w:t>2,980,222</w:t>
            </w:r>
          </w:p>
        </w:tc>
        <w:tc>
          <w:tcPr>
            <w:vAlign w:val="center"/>
          </w:tcPr>
          <w:p>
            <w:pPr>
              <w:jc w:val="right"/>
            </w:pPr>
            <w:r>
              <w:rPr>
                <w:rFonts w:asciiTheme="minorEastAsia" w:cs="宋体" w:eastAsiaTheme="minorEastAsia" w:hAnsiTheme="minorEastAsia"/>
                <w:color w:themeColor="text1" w:val="000000"/>
                <w:kern w:val="0"/>
                <w:sz w:val="21"/>
              </w:rPr>
              <w:t>55,223,513.66</w:t>
            </w:r>
          </w:p>
        </w:tc>
        <w:tc>
          <w:tcPr>
            <w:vAlign w:val="center"/>
          </w:tcPr>
          <w:p>
            <w:pPr>
              <w:jc w:val="right"/>
            </w:pPr>
            <w:r>
              <w:rPr>
                <w:rFonts w:asciiTheme="minorEastAsia" w:cs="宋体" w:eastAsiaTheme="minorEastAsia" w:hAnsiTheme="minorEastAsia"/>
                <w:color w:themeColor="text1" w:val="000000"/>
                <w:kern w:val="0"/>
                <w:sz w:val="21"/>
              </w:rPr>
              <w:t>3.31</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002236</w:t>
            </w:r>
          </w:p>
        </w:tc>
        <w:tc>
          <w:tcPr>
            <w:vAlign w:val="center"/>
          </w:tcPr>
          <w:p>
            <w:pPr>
              <w:jc w:val="center"/>
            </w:pPr>
            <w:r>
              <w:rPr>
                <w:rFonts w:asciiTheme="minorEastAsia" w:cs="宋体" w:eastAsiaTheme="minorEastAsia" w:hAnsiTheme="minorEastAsia"/>
                <w:color w:themeColor="text1" w:val="000000"/>
                <w:kern w:val="0"/>
                <w:sz w:val="21"/>
              </w:rPr>
              <w:t>大华股份</w:t>
            </w:r>
          </w:p>
        </w:tc>
        <w:tc>
          <w:tcPr>
            <w:vAlign w:val="center"/>
          </w:tcPr>
          <w:p>
            <w:pPr>
              <w:jc w:val="right"/>
            </w:pPr>
            <w:r>
              <w:rPr>
                <w:rFonts w:asciiTheme="minorEastAsia" w:cs="宋体" w:eastAsiaTheme="minorEastAsia" w:hAnsiTheme="minorEastAsia"/>
                <w:color w:themeColor="text1" w:val="000000"/>
                <w:kern w:val="0"/>
                <w:sz w:val="21"/>
              </w:rPr>
              <w:t>2,829,643</w:t>
            </w:r>
          </w:p>
        </w:tc>
        <w:tc>
          <w:tcPr>
            <w:vAlign w:val="center"/>
          </w:tcPr>
          <w:p>
            <w:pPr>
              <w:jc w:val="right"/>
            </w:pPr>
            <w:r>
              <w:rPr>
                <w:rFonts w:asciiTheme="minorEastAsia" w:cs="宋体" w:eastAsiaTheme="minorEastAsia" w:hAnsiTheme="minorEastAsia"/>
                <w:color w:themeColor="text1" w:val="000000"/>
                <w:kern w:val="0"/>
                <w:sz w:val="21"/>
              </w:rPr>
              <w:t>54,357,442.03</w:t>
            </w:r>
          </w:p>
        </w:tc>
        <w:tc>
          <w:tcPr>
            <w:vAlign w:val="center"/>
          </w:tcPr>
          <w:p>
            <w:pPr>
              <w:jc w:val="right"/>
            </w:pPr>
            <w:r>
              <w:rPr>
                <w:rFonts w:asciiTheme="minorEastAsia" w:cs="宋体" w:eastAsiaTheme="minorEastAsia" w:hAnsiTheme="minorEastAsia"/>
                <w:color w:themeColor="text1" w:val="000000"/>
                <w:kern w:val="0"/>
                <w:sz w:val="21"/>
              </w:rPr>
              <w:t>3.26</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600984</w:t>
            </w:r>
          </w:p>
        </w:tc>
        <w:tc>
          <w:tcPr>
            <w:vAlign w:val="center"/>
          </w:tcPr>
          <w:p>
            <w:pPr>
              <w:jc w:val="center"/>
            </w:pPr>
            <w:r>
              <w:rPr>
                <w:rFonts w:asciiTheme="minorEastAsia" w:cs="宋体" w:eastAsiaTheme="minorEastAsia" w:hAnsiTheme="minorEastAsia"/>
                <w:color w:themeColor="text1" w:val="000000"/>
                <w:kern w:val="0"/>
                <w:sz w:val="21"/>
              </w:rPr>
              <w:t>建设机械</w:t>
            </w:r>
          </w:p>
        </w:tc>
        <w:tc>
          <w:tcPr>
            <w:vAlign w:val="center"/>
          </w:tcPr>
          <w:p>
            <w:pPr>
              <w:jc w:val="right"/>
            </w:pPr>
            <w:r>
              <w:rPr>
                <w:rFonts w:asciiTheme="minorEastAsia" w:cs="宋体" w:eastAsiaTheme="minorEastAsia" w:hAnsiTheme="minorEastAsia"/>
                <w:color w:themeColor="text1" w:val="000000"/>
                <w:kern w:val="0"/>
                <w:sz w:val="21"/>
              </w:rPr>
              <w:t>2,161,171</w:t>
            </w:r>
          </w:p>
        </w:tc>
        <w:tc>
          <w:tcPr>
            <w:vAlign w:val="center"/>
          </w:tcPr>
          <w:p>
            <w:pPr>
              <w:jc w:val="right"/>
            </w:pPr>
            <w:r>
              <w:rPr>
                <w:rFonts w:asciiTheme="minorEastAsia" w:cs="宋体" w:eastAsiaTheme="minorEastAsia" w:hAnsiTheme="minorEastAsia"/>
                <w:color w:themeColor="text1" w:val="000000"/>
                <w:kern w:val="0"/>
                <w:sz w:val="21"/>
              </w:rPr>
              <w:t>53,597,040.80</w:t>
            </w:r>
          </w:p>
        </w:tc>
        <w:tc>
          <w:tcPr>
            <w:vAlign w:val="center"/>
          </w:tcPr>
          <w:p>
            <w:pPr>
              <w:jc w:val="right"/>
            </w:pPr>
            <w:r>
              <w:rPr>
                <w:rFonts w:asciiTheme="minorEastAsia" w:cs="宋体" w:eastAsiaTheme="minorEastAsia" w:hAnsiTheme="minorEastAsia"/>
                <w:color w:themeColor="text1" w:val="000000"/>
                <w:kern w:val="0"/>
                <w:sz w:val="21"/>
              </w:rPr>
              <w:t>3.22</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600438</w:t>
            </w:r>
          </w:p>
        </w:tc>
        <w:tc>
          <w:tcPr>
            <w:vAlign w:val="center"/>
          </w:tcPr>
          <w:p>
            <w:pPr>
              <w:jc w:val="center"/>
            </w:pPr>
            <w:r>
              <w:rPr>
                <w:rFonts w:asciiTheme="minorEastAsia" w:cs="宋体" w:eastAsiaTheme="minorEastAsia" w:hAnsiTheme="minorEastAsia"/>
                <w:color w:themeColor="text1" w:val="000000"/>
                <w:kern w:val="0"/>
                <w:sz w:val="21"/>
              </w:rPr>
              <w:t>通威股份</w:t>
            </w:r>
          </w:p>
        </w:tc>
        <w:tc>
          <w:tcPr>
            <w:vAlign w:val="center"/>
          </w:tcPr>
          <w:p>
            <w:pPr>
              <w:jc w:val="right"/>
            </w:pPr>
            <w:r>
              <w:rPr>
                <w:rFonts w:asciiTheme="minorEastAsia" w:cs="宋体" w:eastAsiaTheme="minorEastAsia" w:hAnsiTheme="minorEastAsia"/>
                <w:color w:themeColor="text1" w:val="000000"/>
                <w:kern w:val="0"/>
                <w:sz w:val="21"/>
              </w:rPr>
              <w:t>3,047,213</w:t>
            </w:r>
          </w:p>
        </w:tc>
        <w:tc>
          <w:tcPr>
            <w:vAlign w:val="center"/>
          </w:tcPr>
          <w:p>
            <w:pPr>
              <w:jc w:val="right"/>
            </w:pPr>
            <w:r>
              <w:rPr>
                <w:rFonts w:asciiTheme="minorEastAsia" w:cs="宋体" w:eastAsiaTheme="minorEastAsia" w:hAnsiTheme="minorEastAsia"/>
                <w:color w:themeColor="text1" w:val="000000"/>
                <w:kern w:val="0"/>
                <w:sz w:val="21"/>
              </w:rPr>
              <w:t>52,960,561.94</w:t>
            </w:r>
          </w:p>
        </w:tc>
        <w:tc>
          <w:tcPr>
            <w:vAlign w:val="center"/>
          </w:tcPr>
          <w:p>
            <w:pPr>
              <w:jc w:val="right"/>
            </w:pPr>
            <w:r>
              <w:rPr>
                <w:rFonts w:asciiTheme="minorEastAsia" w:cs="宋体" w:eastAsiaTheme="minorEastAsia" w:hAnsiTheme="minorEastAsia"/>
                <w:color w:themeColor="text1" w:val="000000"/>
                <w:kern w:val="0"/>
                <w:sz w:val="21"/>
              </w:rPr>
              <w:t>3.18</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300709</w:t>
            </w:r>
          </w:p>
        </w:tc>
        <w:tc>
          <w:tcPr>
            <w:vAlign w:val="center"/>
          </w:tcPr>
          <w:p>
            <w:pPr>
              <w:jc w:val="center"/>
            </w:pPr>
            <w:r>
              <w:rPr>
                <w:rFonts w:asciiTheme="minorEastAsia" w:cs="宋体" w:eastAsiaTheme="minorEastAsia" w:hAnsiTheme="minorEastAsia"/>
                <w:color w:themeColor="text1" w:val="000000"/>
                <w:kern w:val="0"/>
                <w:sz w:val="21"/>
              </w:rPr>
              <w:t>精研科技</w:t>
            </w:r>
          </w:p>
        </w:tc>
        <w:tc>
          <w:tcPr>
            <w:vAlign w:val="center"/>
          </w:tcPr>
          <w:p>
            <w:pPr>
              <w:jc w:val="right"/>
            </w:pPr>
            <w:r>
              <w:rPr>
                <w:rFonts w:asciiTheme="minorEastAsia" w:cs="宋体" w:eastAsiaTheme="minorEastAsia" w:hAnsiTheme="minorEastAsia"/>
                <w:color w:themeColor="text1" w:val="000000"/>
                <w:kern w:val="0"/>
                <w:sz w:val="21"/>
              </w:rPr>
              <w:t>529,194</w:t>
            </w:r>
          </w:p>
        </w:tc>
        <w:tc>
          <w:tcPr>
            <w:vAlign w:val="center"/>
          </w:tcPr>
          <w:p>
            <w:pPr>
              <w:jc w:val="right"/>
            </w:pPr>
            <w:r>
              <w:rPr>
                <w:rFonts w:asciiTheme="minorEastAsia" w:cs="宋体" w:eastAsiaTheme="minorEastAsia" w:hAnsiTheme="minorEastAsia"/>
                <w:color w:themeColor="text1" w:val="000000"/>
                <w:kern w:val="0"/>
                <w:sz w:val="21"/>
              </w:rPr>
              <w:t>50,882,003.10</w:t>
            </w:r>
          </w:p>
        </w:tc>
        <w:tc>
          <w:tcPr>
            <w:vAlign w:val="center"/>
          </w:tcPr>
          <w:p>
            <w:pPr>
              <w:jc w:val="right"/>
            </w:pPr>
            <w:r>
              <w:rPr>
                <w:rFonts w:asciiTheme="minorEastAsia" w:cs="宋体" w:eastAsiaTheme="minorEastAsia" w:hAnsiTheme="minorEastAsia"/>
                <w:color w:themeColor="text1" w:val="000000"/>
                <w:kern w:val="0"/>
                <w:sz w:val="21"/>
              </w:rPr>
              <w:t>3.05</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390,594.50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23,721.01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2,397,004.89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2,811,320.40</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因四舍五入的原因，投资组合报告中分项之和与合计数可能存在尾差。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1,058,587,057.51</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24,806,145.51</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71,482,440.42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1,011,910,762.60</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1、中国证监会批准上投摩根中国优势证券投资基金设立的文件；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2、《上投摩根中国优势证券投资基金基金合同》；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3、《上投摩根中国优势证券投资基金托管协议》；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二〇二〇年七月二十一日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上投摩根中国优势证券投资基金2020年第2季度报告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