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上投摩根中国优势证券投资基金</w:t>
      </w:r>
    </w:p>
    <w:p>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2019年第2季度报告</w:t>
      </w:r>
    </w:p>
    <w:p>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2019年6月30日</w:t>
      </w: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rPr>
          <w:rFonts w:asciiTheme="minorEastAsia" w:eastAsiaTheme="minorEastAsia" w:hAnsiTheme="minorEastAsia"/>
          <w:b/>
          <w:bCs/>
          <w:color w:themeColor="text1" w:val="000000"/>
          <w:sz w:val="24"/>
          <w:szCs w:val="24"/>
        </w:rPr>
      </w:pPr>
    </w:p>
    <w:p>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上投摩根基金管理有限公司</w:t>
      </w:r>
    </w:p>
    <w:p>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中国建设银行股份有限公司</w:t>
      </w:r>
    </w:p>
    <w:p>
      <w:pPr>
        <w:spacing w:line="360" w:lineRule="auto"/>
        <w:ind w:firstLine="2168" w:firstLineChars="900"/>
        <w:rPr>
          <w:rFonts w:asciiTheme="minorEastAsia" w:eastAsiaTheme="minorEastAsia" w:hAnsiTheme="minorEastAsia"/>
          <w:b/>
          <w:color w:themeColor="text1" w:val="000000"/>
          <w:sz w:val="24"/>
          <w:szCs w:val="24"/>
        </w:rPr>
        <w:sectPr>
          <w:headerReference r:id="rId3" w:type="default"/>
          <w:footerReference r:id="rId4" w:type="default"/>
          <w:pgSz w:h="15840" w:w="11926"/>
          <w:pgMar w:bottom="851" w:footer="992" w:gutter="0" w:header="851" w:left="1418" w:right="1418" w:top="1418"/>
          <w:cols w:num="1"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r>
        <w:rPr>
          <w:rFonts w:asciiTheme="minorEastAsia" w:eastAsiaTheme="minorEastAsia" w:hAnsiTheme="minorEastAsia" w:hint="eastAsia"/>
          <w:b/>
          <w:color w:themeColor="text1" w:val="000000"/>
          <w:sz w:val="24"/>
          <w:szCs w:val="24"/>
        </w:rPr>
        <w:t/>
      </w:r>
      <w:r>
        <w:rPr>
          <w:rFonts w:asciiTheme="minorEastAsia" w:eastAsiaTheme="minorEastAsia" w:hAnsiTheme="minorEastAsia"/>
          <w:b/>
          <w:color w:themeColor="text1" w:val="000000"/>
          <w:sz w:val="24"/>
          <w:szCs w:val="24"/>
        </w:rPr>
        <w:t>二〇一九年七月十六日</w:t>
      </w:r>
    </w:p>
    <w:p>
      <w:pPr>
        <w:pStyle w:val="2"/>
        <w:spacing w:afterLines="100"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基金托管人中国建设银行股份有限公司根据本基金合同规定，于2019年7月15日复核了本报告中的财务指标、净值表现和投资组合报告等内容，保证复核内容不存在虚假记载、误导性陈述或者重大遗漏。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本报告期自2019年4月1日起至6月30日止。</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Style w:val="30"/>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2835"/>
        <w:gridCol w:w="2739"/>
        <w:gridCol w:w="2740"/>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上投摩根中国优势混合</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375010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375010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契约型开放式</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2004年9月15日</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1,188,687,004.01</w:t>
            </w:r>
            <w:r>
              <w:rPr>
                <w:rFonts w:asciiTheme="minorEastAsia" w:eastAsiaTheme="minorEastAsia" w:hAnsiTheme="minorEastAsia" w:hint="eastAsia"/>
                <w:color w:themeColor="text1" w:val="000000"/>
                <w:kern w:val="0"/>
              </w:rPr>
              <w:t>份</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充分借鉴摩根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本基金以股票投资为主体，在股票选择和资产配置上分别采取“由下到上”和“由上到下”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提高组合的流动性、稳定性与收益性。</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沪深300指数收益率×70%+中债总指数收益率×30%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本基金努力追求资产配置动态平衡，在风险预算目标下使基金收益最大化，属于中等风险证券投资基金产品。本基金风险收益特征会定期评估并在公司网站发布，请投资者关注。</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上投摩根基金管理有限公司</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中国建设银行股份有限公司</w:t>
            </w:r>
          </w:p>
        </w:tc>
      </w:tr>
    </w:tbl>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单位：人民币元</w:t>
      </w:r>
    </w:p>
    <w:tbl>
      <w:tblPr>
        <w:tblStyle w:val="30"/>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3402"/>
        <w:gridCol w:w="2552"/>
        <w:gridCol w:w="2410"/>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
        </w:tc>
        <w:tc>
          <w:tcPr>
            <w:tcW w:type="dxa" w:w="4962"/>
            <w:hMerge w:val="restart"/>
            <w:vAlign w:val="center"/>
          </w:tcPr>
          <w:p>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2019年4月1日-2019年6月30日</w:t>
            </w:r>
            <w:r>
              <w:rPr>
                <w:rFonts w:asciiTheme="minorEastAsia" w:cs="宋体" w:eastAsiaTheme="minorEastAsia" w:hAnsiTheme="minorEastAsia" w:hint="eastAsia"/>
                <w:color w:themeColor="text1" w:val="000000"/>
              </w:rPr>
              <w:t>)</w:t>
            </w:r>
          </w:p>
        </w:tc>
        <w:tc>
          <w:tcPr>
            <w:tcW w:type="dxa" w:w="2410"/>
            <w:hMerge/>
            <w:vAlign w:val="center"/>
          </w:tcPr>
          <w:p>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28,138,687.65</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-56,886,155.39</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-0.0486</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1,197,312,765.55</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trHeight w:hRule="atLeast" w:val="158"/>
        </w:trPr>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1.0073</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本报告期基金份额净值增长率及其与同期业绩比较基准收益率的比较</w:t>
      </w:r>
    </w:p>
    <w:tbl>
      <w:tblPr>
        <w:tblStyle w:val="31"/>
        <w:tblW w:type="dxa" w:w="842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395"/>
        <w:gridCol w:w="1092"/>
        <w:gridCol w:w="1161"/>
        <w:gridCol w:w="1181"/>
        <w:gridCol w:w="1188"/>
        <w:gridCol w:w="1199"/>
        <w:gridCol w:w="1204"/>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395"/>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阶段</w:t>
            </w:r>
          </w:p>
        </w:tc>
        <w:tc>
          <w:tcPr>
            <w:tcW w:type="dxa" w:w="1092"/>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净值增长率①</w:t>
            </w:r>
          </w:p>
        </w:tc>
        <w:tc>
          <w:tcPr>
            <w:tcW w:type="dxa" w:w="1161"/>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净值增长率标准差②</w:t>
            </w:r>
          </w:p>
        </w:tc>
        <w:tc>
          <w:tcPr>
            <w:tcW w:type="dxa" w:w="1181"/>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业绩比较基准收益率③</w:t>
            </w:r>
          </w:p>
        </w:tc>
        <w:tc>
          <w:tcPr>
            <w:tcW w:type="dxa" w:w="1188"/>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业绩比较基准收益率标准差④</w:t>
            </w:r>
          </w:p>
        </w:tc>
        <w:tc>
          <w:tcPr>
            <w:tcW w:type="dxa" w:w="1199"/>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①</w:t>
            </w:r>
            <w:r>
              <w:rPr>
                <w:rFonts w:asciiTheme="minorEastAsia" w:cs="Arial" w:eastAsiaTheme="minorEastAsia" w:hAnsiTheme="minorEastAsia"/>
                <w:color w:themeColor="text1" w:val="000000"/>
                <w:kern w:val="0"/>
                <w:sz w:val="21"/>
              </w:rPr>
              <w:t>-</w:t>
            </w:r>
            <w:r>
              <w:rPr>
                <w:rFonts w:asciiTheme="minorEastAsia" w:cs="Arial" w:eastAsiaTheme="minorEastAsia" w:hAnsiTheme="minorEastAsia" w:hint="eastAsia"/>
                <w:color w:themeColor="text1" w:val="000000"/>
                <w:kern w:val="0"/>
                <w:sz w:val="21"/>
              </w:rPr>
              <w:t>③</w:t>
            </w:r>
          </w:p>
        </w:tc>
        <w:tc>
          <w:tcPr>
            <w:tcW w:type="dxa" w:w="1204"/>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②</w:t>
            </w:r>
            <w:r>
              <w:rPr>
                <w:rFonts w:asciiTheme="minorEastAsia" w:cs="Arial" w:eastAsiaTheme="minorEastAsia" w:hAnsiTheme="minorEastAsia"/>
                <w:color w:themeColor="text1" w:val="000000"/>
                <w:kern w:val="0"/>
                <w:sz w:val="21"/>
              </w:rPr>
              <w:t>-</w:t>
            </w:r>
            <w:r>
              <w:rPr>
                <w:rFonts w:asciiTheme="minorEastAsia" w:cs="Arial" w:eastAsiaTheme="minorEastAsia" w:hAnsiTheme="minorEastAsia" w:hint="eastAsia"/>
                <w:color w:themeColor="text1" w:val="000000"/>
                <w:kern w:val="0"/>
                <w:sz w:val="21"/>
              </w:rPr>
              <w:t>④</w:t>
            </w:r>
          </w:p>
        </w:tc>
      </w:tr>
      <w:tr>
        <w:tc>
          <w:tcPr>
            <w:vAlign w:val="center"/>
          </w:tcPr>
          <w:p>
            <w:pPr>
              <w:jc w:val="left"/>
            </w:pPr>
            <w:r>
              <w:rPr>
                <w:rFonts w:asciiTheme="minorEastAsia" w:eastAsiaTheme="minorEastAsia" w:hAnsiTheme="minorEastAsia"/>
                <w:color w:themeColor="text1" w:val="000000"/>
                <w:kern w:val="0"/>
                <w:sz w:val="21"/>
              </w:rPr>
              <w:t>过去三个月</w:t>
            </w:r>
          </w:p>
        </w:tc>
        <w:tc>
          <w:tcPr>
            <w:vAlign w:val="center"/>
          </w:tcPr>
          <w:p>
            <w:pPr>
              <w:jc w:val="center"/>
            </w:pPr>
            <w:r>
              <w:rPr>
                <w:rFonts w:asciiTheme="minorEastAsia" w:eastAsiaTheme="minorEastAsia" w:hAnsiTheme="minorEastAsia"/>
                <w:color w:themeColor="text1" w:val="000000"/>
                <w:kern w:val="0"/>
                <w:sz w:val="21"/>
              </w:rPr>
              <w:t>-4.28%</w:t>
            </w:r>
          </w:p>
        </w:tc>
        <w:tc>
          <w:tcPr>
            <w:vAlign w:val="center"/>
          </w:tcPr>
          <w:p>
            <w:pPr>
              <w:jc w:val="center"/>
            </w:pPr>
            <w:r>
              <w:rPr>
                <w:rFonts w:asciiTheme="minorEastAsia" w:eastAsiaTheme="minorEastAsia" w:hAnsiTheme="minorEastAsia"/>
                <w:color w:themeColor="text1" w:val="000000"/>
                <w:kern w:val="0"/>
                <w:sz w:val="21"/>
              </w:rPr>
              <w:t>1.80%</w:t>
            </w:r>
          </w:p>
        </w:tc>
        <w:tc>
          <w:tcPr>
            <w:vAlign w:val="center"/>
          </w:tcPr>
          <w:p>
            <w:pPr>
              <w:jc w:val="center"/>
            </w:pPr>
            <w:r>
              <w:rPr>
                <w:rFonts w:asciiTheme="minorEastAsia" w:eastAsiaTheme="minorEastAsia" w:hAnsiTheme="minorEastAsia"/>
                <w:color w:themeColor="text1" w:val="000000"/>
                <w:kern w:val="0"/>
                <w:sz w:val="21"/>
              </w:rPr>
              <w:t>-1.00%</w:t>
            </w:r>
          </w:p>
        </w:tc>
        <w:tc>
          <w:tcPr>
            <w:vAlign w:val="center"/>
          </w:tcPr>
          <w:p>
            <w:pPr>
              <w:jc w:val="center"/>
            </w:pPr>
            <w:r>
              <w:rPr>
                <w:rFonts w:asciiTheme="minorEastAsia" w:eastAsiaTheme="minorEastAsia" w:hAnsiTheme="minorEastAsia"/>
                <w:color w:themeColor="text1" w:val="000000"/>
                <w:kern w:val="0"/>
                <w:sz w:val="21"/>
              </w:rPr>
              <w:t>1.06%</w:t>
            </w:r>
          </w:p>
        </w:tc>
        <w:tc>
          <w:tcPr>
            <w:vAlign w:val="center"/>
          </w:tcPr>
          <w:p>
            <w:pPr>
              <w:jc w:val="center"/>
            </w:pPr>
            <w:r>
              <w:rPr>
                <w:rFonts w:asciiTheme="minorEastAsia" w:eastAsiaTheme="minorEastAsia" w:hAnsiTheme="minorEastAsia"/>
                <w:color w:themeColor="text1" w:val="000000"/>
                <w:kern w:val="0"/>
                <w:sz w:val="21"/>
              </w:rPr>
              <w:t>-3.28%</w:t>
            </w:r>
          </w:p>
        </w:tc>
        <w:tc>
          <w:tcPr>
            <w:vAlign w:val="center"/>
          </w:tcPr>
          <w:p>
            <w:pPr>
              <w:jc w:val="center"/>
            </w:pPr>
            <w:r>
              <w:rPr>
                <w:rFonts w:asciiTheme="minorEastAsia" w:eastAsiaTheme="minorEastAsia" w:hAnsiTheme="minorEastAsia"/>
                <w:color w:themeColor="text1" w:val="000000"/>
                <w:kern w:val="0"/>
                <w:sz w:val="21"/>
              </w:rPr>
              <w:t>0.74%</w:t>
            </w:r>
          </w:p>
        </w:tc>
      </w:tr>
    </w:tbl>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24"/>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上投摩根中国优势证券投资基金</w:t>
      </w:r>
    </w:p>
    <w:p>
      <w:pPr>
        <w:pStyle w:val="11"/>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pPr>
        <w:pStyle w:val="11"/>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2004年9月15日</w:t>
      </w:r>
      <w:r>
        <w:rPr>
          <w:rFonts w:asciiTheme="minorEastAsia" w:eastAsiaTheme="minorEastAsia" w:hAnsiTheme="minorEastAsia" w:hint="eastAsia"/>
          <w:color w:themeColor="text1" w:val="000000"/>
        </w:rPr>
        <w:t>至2019年6月30日)</w:t>
      </w:r>
    </w:p>
    <w:p>
      <w:pPr>
        <w:pStyle w:val="11"/>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drawing>
          <wp:inline distB="0" distL="0" distR="0" distT="0">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注：本基金合同生效时间为2004年9月15日，图示时间段为2004年9月15日至2019年6月30日。</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本基金建仓期自2004年9月15日至2005年3月14日，建仓期结束时资产配置比例符合本基金基金合同规定。</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本基金自2013年12月7日起，将基金业绩比较基准由“富时中国A600指数收益率×70%+上证国债指数收益率×25%+同业存款利率×5%”变更为“沪深300指数收益率×70%+中债总指数收益率×30%”。</w:t>
      </w:r>
    </w:p>
    <w:p>
      <w:pPr>
        <w:tabs>
          <w:tab w:pos="1800" w:val="left"/>
        </w:tabs>
        <w:spacing w:line="360" w:lineRule="auto"/>
        <w:rPr>
          <w:rFonts w:asciiTheme="minorEastAsia" w:eastAsiaTheme="minorEastAsia" w:hAnsiTheme="minorEastAsia"/>
          <w:color w:themeColor="text1" w:val="000000"/>
          <w:sz w:val="24"/>
          <w:szCs w:val="24"/>
        </w:rPr>
      </w:pP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Style w:val="30"/>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51"/>
        <w:gridCol w:w="850"/>
        <w:gridCol w:w="1560"/>
        <w:gridCol w:w="1559"/>
        <w:gridCol w:w="1417"/>
        <w:gridCol w:w="2694"/>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cantSplit/>
          <w:trHeight w:hRule="atLeast" w:val="292"/>
        </w:trPr>
        <w:tc>
          <w:tcPr>
            <w:tcW w:type="dxa" w:w="851"/>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任本基金的基金经理期限</w:t>
            </w:r>
          </w:p>
        </w:tc>
        <w:tc>
          <w:tcPr>
            <w:tcW w:type="dxa" w:w="1417"/>
            <w:vMerge w:val="restart"/>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cantSplit/>
        </w:trPr>
        <w:tc>
          <w:tcPr>
            <w:tcW w:type="dxa" w:w="851"/>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850"/>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2694"/>
            <w:vMerge w:val="continue"/>
            <w:vAlign w:val="center"/>
          </w:tcPr>
          <w:p>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杜猛</w:t>
            </w:r>
          </w:p>
        </w:tc>
        <w:tc>
          <w:tcPr>
            <w:vAlign w:val="center"/>
          </w:tcPr>
          <w:p>
            <w:pPr>
              <w:jc w:val="center"/>
            </w:pPr>
            <w:r>
              <w:rPr>
                <w:rFonts w:asciiTheme="minorEastAsia" w:eastAsiaTheme="minorEastAsia" w:hAnsiTheme="minorEastAsia"/>
                <w:color w:themeColor="text1" w:val="000000"/>
              </w:rPr>
              <w:t>本基金基金经理、副总经理兼投资总监</w:t>
            </w:r>
          </w:p>
        </w:tc>
        <w:tc>
          <w:tcPr>
            <w:vAlign w:val="center"/>
          </w:tcPr>
          <w:p>
            <w:pPr>
              <w:jc w:val="center"/>
            </w:pPr>
            <w:r>
              <w:rPr>
                <w:rFonts w:asciiTheme="minorEastAsia" w:eastAsiaTheme="minorEastAsia" w:hAnsiTheme="minorEastAsia"/>
                <w:color w:themeColor="text1" w:val="000000"/>
              </w:rPr>
              <w:t>2019-03-29</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17年</w:t>
            </w:r>
          </w:p>
        </w:tc>
        <w:tc>
          <w:tcPr>
            <w:vAlign w:val="center"/>
          </w:tcPr>
          <w:p>
            <w:pPr>
              <w:jc w:val="both"/>
            </w:pPr>
            <w:r>
              <w:rPr>
                <w:rFonts w:asciiTheme="minorEastAsia" w:eastAsiaTheme="minorEastAsia" w:hAnsiTheme="minorEastAsia"/>
                <w:color w:themeColor="text1" w:val="000000"/>
              </w:rPr>
              <w:t>基金经理杜猛先生，南京大学经济学硕士，先后任职于天同证券、中原证券、国信证券和中银国际证券，任研究员。2007年10月起加入上投摩根基金管理有限公司，先后担任行业专家、基金经理助理、基金经理、总经理助理/国内权益投资一部总监兼资深基金经理，现担任副总经理兼投资总监。自2011年7月起担任上投摩根新兴动力混合型证券投资基金基金经理，自2013年3月至2015年9月同时担任上投摩根智选30混合型证券投资基金基金经理，自2013年5月至2014年12月同时担任上投摩根成长动力混合型证券投资基金基金经理，2014年12月至2019年4月同时担任上投摩根内需动力混合型证券投资基金基金经理，2019年3月起同时担任上投摩根中国优势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2.证券从业的含义遵从行业协会《证券业从业人员资格管理办法》的相关规定。</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中国优势证券投资基金基金合同》的规定。基金经理对个股和投资组合的比例遵循了投资决策委员会的授权限制，基金投资比例符合基金合同和法律法规的要求。</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2019年二季度市场冲高回落，呈现震荡走势，市场风险偏好的波动是其主要原因。中美贸易摩擦的反复引发了市场的担忧，个别银行事件也造成了对信用紧缩的预期。尽管如此，仍然有一批优质公司的股票价格创出历史新高，这从另一个方面反映了市场也是理性且有效的。我们坚持认为只有优质公司才能穿越周期，为投资者带来长期回报，重点投资了业绩持续增长且估值合理的龙头公司。</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展望2019年，中国经济仍然会承压，但是应该不会出现断崖式的下降，中国经济存在极强的韧性，消费占比的提升会显著提升经济的稳定性。伴随着政府减税降负等一系列政策的出台，我们判断至少下半年经济将出现企稳回升。中美贸易摩擦虽然出现反复，但持续恶化的中美关系并不符合双方的利益，我们判断会出现缓和，两国竞争与合作交织的状态将是一个常态。</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沪深300指数在上半年取得了27%的涨幅，但整体估值依然较低。无论是国内大类资产之间的比较还是和国际各大证券市场之间的比较，A股都是具备相当吸引力的。我们看好A股未来较长一段时间的表现，伴随着市场不断规范化、国际化和法制化，A股的上涨可能会变得更为持续和稳健。</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长期来看，消费和科技是中国未来经济增长最大的驱动力，证券市场最大的投资机会也将来源于此。我们将充分深入研究，寻找相关产业中长期成长的公司，力争为基金持有人创造持续稳定收益。</w:t>
      </w:r>
    </w:p>
    <w:p>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本报告期上投摩根中国优势混合份额净值增长率为:-4.28%，同期业绩比较基准收益率为:-1.00%。</w:t>
      </w:r>
    </w:p>
    <w:p>
      <w:pPr>
        <w:spacing w:line="360" w:lineRule="auto"/>
        <w:ind w:firstLine="480" w:firstLineChars="200"/>
        <w:rPr>
          <w:rFonts w:asciiTheme="minorEastAsia" w:eastAsiaTheme="minorEastAsia" w:hAnsiTheme="minorEastAsia"/>
          <w:color w:themeColor="text1" w:val="000000"/>
          <w:sz w:val="24"/>
          <w:szCs w:val="24"/>
        </w:rPr>
      </w:pP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31"/>
        <w:tblW w:type="dxa" w:w="8897"/>
        <w:jc w:val="cente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720"/>
        <w:gridCol w:w="3357"/>
        <w:gridCol w:w="2977"/>
        <w:gridCol w:w="1843"/>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序号</w:t>
            </w:r>
          </w:p>
        </w:tc>
        <w:tc>
          <w:tcPr>
            <w:tcW w:type="dxa" w:w="3357"/>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项目</w:t>
            </w:r>
          </w:p>
        </w:tc>
        <w:tc>
          <w:tcPr>
            <w:tcW w:type="dxa" w:w="2977"/>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金额(元)</w:t>
            </w:r>
          </w:p>
        </w:tc>
        <w:tc>
          <w:tcPr>
            <w:tcW w:type="dxa" w:w="1843"/>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占基金总资产的比例(</w:t>
            </w:r>
            <w:r>
              <w:rPr>
                <w:rFonts w:asciiTheme="minorEastAsia" w:eastAsiaTheme="minorEastAsia" w:hAnsiTheme="minorEastAsia"/>
                <w:color w:themeColor="text1" w:val="000000"/>
                <w:kern w:val="0"/>
                <w:sz w:val="21"/>
              </w:rPr>
              <w:t>%</w:t>
            </w:r>
            <w:r>
              <w:rPr>
                <w:rFonts w:asciiTheme="minorEastAsia"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权益投资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982,127,123.96</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80.76</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其中：股票</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982,127,123.96</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80.76</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固定收益投资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4,916,502.54</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0.40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其中：债券</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4,916,502.54</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0.40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资产支持证券</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3</w:t>
            </w:r>
          </w:p>
        </w:tc>
        <w:tc>
          <w:tcPr>
            <w:tcW w:type="dxa" w:w="3357"/>
          </w:tcPr>
          <w:p>
            <w:pPr>
              <w:spacing w:before="29" w:line="360" w:lineRule="auto"/>
              <w:ind w:left="105" w:leftChars="50"/>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贵金属投资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4</w:t>
            </w:r>
          </w:p>
        </w:tc>
        <w:tc>
          <w:tcPr>
            <w:tcW w:type="dxa" w:w="3357"/>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金融衍生品投资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5</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买入返售金融资产</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其中：买断式回购的买入返售金融资产</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6</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银行存款和结算备付金合计</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228,291,984.03</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18.77</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7</w:t>
            </w:r>
          </w:p>
        </w:tc>
        <w:tc>
          <w:tcPr>
            <w:tcW w:type="dxa" w:w="3357"/>
            <w:vAlign w:val="center"/>
          </w:tcPr>
          <w:p>
            <w:pPr>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其他各项资产</w:t>
            </w:r>
          </w:p>
        </w:tc>
        <w:tc>
          <w:tcPr>
            <w:tcW w:type="dxa" w:w="2977"/>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743,387.25</w:t>
            </w:r>
          </w:p>
        </w:tc>
        <w:tc>
          <w:tcPr>
            <w:tcW w:type="dxa" w:w="1843"/>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0.06</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8</w:t>
            </w:r>
          </w:p>
        </w:tc>
        <w:tc>
          <w:tcPr>
            <w:tcW w:type="dxa" w:w="3357"/>
            <w:vAlign w:val="center"/>
          </w:tcPr>
          <w:p>
            <w:pPr>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2977"/>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1,216,078,997.78</w:t>
            </w:r>
          </w:p>
        </w:tc>
        <w:tc>
          <w:tcPr>
            <w:tcW w:type="dxa" w:w="1843"/>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100.00</w:t>
            </w:r>
          </w:p>
        </w:tc>
      </w:tr>
    </w:tbl>
    <w:p>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pPr>
        <w:rPr>
          <w:b/>
        </w:rPr>
      </w:pPr>
      <w:r>
        <w:rPr>
          <w:b/>
          <w:color w:themeColor="text1" w:val="000000"/>
        </w:rPr>
        <w:t/>
      </w:r>
      <w:r>
        <w:rPr>
          <w:rFonts w:eastAsiaTheme="minorEastAsia" w:hint="eastAsia"/>
          <w:b/>
          <w:color w:themeColor="text1" w:val="000000"/>
          <w:kern w:val="0"/>
        </w:rPr>
        <w:t>5.2.1报告期末按行业分类的境内股票投资组合</w:t>
      </w:r>
    </w:p>
    <w:tbl>
      <w:tblPr>
        <w:tblStyle w:val="30"/>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540"/>
        <w:gridCol w:w="3691"/>
        <w:gridCol w:w="2852"/>
        <w:gridCol w:w="1648"/>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390"/>
        </w:trPr>
        <w:tc>
          <w:tcPr>
            <w:tcW w:type="dxa" w:w="540"/>
            <w:tcBorders>
              <w:top w:color="000000" w:space="0" w:sz="4" w:val="single"/>
              <w:left w:color="000000" w:space="0" w:sz="4" w:val="single"/>
              <w:bottom w:color="000000" w:space="0" w:sz="4" w:val="single"/>
              <w:right w:color="000000" w:space="0" w:sz="4" w:val="single"/>
            </w:tcBorders>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23,394,705.09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1.95</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p>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p>
            <w:pPr>
              <w:jc w:val="right"/>
              <w:rPr>
                <w:rFonts w:asciiTheme="minorEastAsia" w:cs="宋体" w:eastAsiaTheme="minorEastAsia" w:hAnsiTheme="minorEastAsia"/>
                <w:color w:themeColor="text1" w:val="000000"/>
                <w:kern w:val="0"/>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817,275,668.45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68.26</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775,782.20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0.06</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19,078,606.44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1.59</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500,450.64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0.04</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9,440,711.19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0.79</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77,707,980.33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6.49</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12,539,474.44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1.05</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21,413,745.18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1.79</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982,127,123.96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82.03</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31"/>
        <w:tblW w:type="dxa" w:w="8528"/>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17"/>
        <w:gridCol w:w="1276"/>
        <w:gridCol w:w="1701"/>
        <w:gridCol w:w="1276"/>
        <w:gridCol w:w="1842"/>
        <w:gridCol w:w="1616"/>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127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股票代码</w:t>
            </w:r>
          </w:p>
        </w:tc>
        <w:tc>
          <w:tcPr>
            <w:tcW w:type="dxa" w:w="1701"/>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股票名称</w:t>
            </w:r>
          </w:p>
        </w:tc>
        <w:tc>
          <w:tcPr>
            <w:tcW w:type="dxa" w:w="127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数量(股)</w:t>
            </w:r>
          </w:p>
        </w:tc>
        <w:tc>
          <w:tcPr>
            <w:tcW w:type="dxa" w:w="1842"/>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w:t>
            </w:r>
            <w:r>
              <w:rPr>
                <w:rFonts w:asciiTheme="minorEastAsia" w:cs="宋体" w:eastAsiaTheme="minorEastAsia" w:hAnsiTheme="minorEastAsia"/>
                <w:color w:themeColor="text1" w:val="000000"/>
                <w:kern w:val="0"/>
                <w:sz w:val="21"/>
              </w:rPr>
              <w:t>(</w:t>
            </w:r>
            <w:r>
              <w:rPr>
                <w:rFonts w:asciiTheme="minorEastAsia" w:cs="宋体" w:eastAsiaTheme="minorEastAsia" w:hAnsiTheme="minorEastAsia" w:hint="eastAsia"/>
                <w:color w:themeColor="text1" w:val="000000"/>
                <w:kern w:val="0"/>
                <w:sz w:val="21"/>
              </w:rPr>
              <w:t>元</w:t>
            </w:r>
            <w:r>
              <w:rPr>
                <w:rFonts w:asciiTheme="minorEastAsia" w:cs="宋体" w:eastAsiaTheme="minorEastAsia" w:hAnsiTheme="minorEastAsia"/>
                <w:color w:themeColor="text1" w:val="000000"/>
                <w:kern w:val="0"/>
                <w:sz w:val="21"/>
              </w:rPr>
              <w:t>)</w:t>
            </w:r>
          </w:p>
        </w:tc>
        <w:tc>
          <w:tcPr>
            <w:tcW w:type="dxa" w:w="161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p>
        </w:tc>
      </w:tr>
      <w:tr>
        <w:tc>
          <w:tcPr>
            <w:vAlign w:val="center"/>
          </w:tcPr>
          <w:p>
            <w:pPr>
              <w:jc w:val="center"/>
            </w:pPr>
            <w:r>
              <w:rPr>
                <w:rFonts w:asciiTheme="minorEastAsia" w:cs="宋体" w:eastAsiaTheme="minorEastAsia" w:hAnsiTheme="minorEastAsia"/>
                <w:color w:themeColor="text1" w:val="000000"/>
                <w:kern w:val="0"/>
                <w:sz w:val="21"/>
              </w:rPr>
              <w:t>1</w:t>
            </w:r>
          </w:p>
        </w:tc>
        <w:tc>
          <w:tcPr>
            <w:vAlign w:val="center"/>
          </w:tcPr>
          <w:p>
            <w:pPr>
              <w:jc w:val="center"/>
            </w:pPr>
            <w:r>
              <w:rPr>
                <w:rFonts w:asciiTheme="minorEastAsia" w:cs="宋体" w:eastAsiaTheme="minorEastAsia" w:hAnsiTheme="minorEastAsia"/>
                <w:color w:themeColor="text1" w:val="000000"/>
                <w:kern w:val="0"/>
                <w:sz w:val="21"/>
              </w:rPr>
              <w:t>002236</w:t>
            </w:r>
          </w:p>
        </w:tc>
        <w:tc>
          <w:tcPr>
            <w:vAlign w:val="center"/>
          </w:tcPr>
          <w:p>
            <w:pPr>
              <w:jc w:val="center"/>
            </w:pPr>
            <w:r>
              <w:rPr>
                <w:rFonts w:asciiTheme="minorEastAsia" w:cs="宋体" w:eastAsiaTheme="minorEastAsia" w:hAnsiTheme="minorEastAsia"/>
                <w:color w:themeColor="text1" w:val="000000"/>
                <w:kern w:val="0"/>
                <w:sz w:val="21"/>
              </w:rPr>
              <w:t>大华股份</w:t>
            </w:r>
          </w:p>
        </w:tc>
        <w:tc>
          <w:tcPr>
            <w:vAlign w:val="center"/>
          </w:tcPr>
          <w:p>
            <w:pPr>
              <w:jc w:val="right"/>
            </w:pPr>
            <w:r>
              <w:rPr>
                <w:rFonts w:asciiTheme="minorEastAsia" w:cs="宋体" w:eastAsiaTheme="minorEastAsia" w:hAnsiTheme="minorEastAsia"/>
                <w:color w:themeColor="text1" w:val="000000"/>
                <w:kern w:val="0"/>
                <w:sz w:val="21"/>
              </w:rPr>
              <w:t>5,383,388</w:t>
            </w:r>
          </w:p>
        </w:tc>
        <w:tc>
          <w:tcPr>
            <w:vAlign w:val="center"/>
          </w:tcPr>
          <w:p>
            <w:pPr>
              <w:jc w:val="right"/>
            </w:pPr>
            <w:r>
              <w:rPr>
                <w:rFonts w:asciiTheme="minorEastAsia" w:cs="宋体" w:eastAsiaTheme="minorEastAsia" w:hAnsiTheme="minorEastAsia"/>
                <w:color w:themeColor="text1" w:val="000000"/>
                <w:kern w:val="0"/>
                <w:sz w:val="21"/>
              </w:rPr>
              <w:t>78,166,793.76</w:t>
            </w:r>
          </w:p>
        </w:tc>
        <w:tc>
          <w:tcPr>
            <w:vAlign w:val="center"/>
          </w:tcPr>
          <w:p>
            <w:pPr>
              <w:jc w:val="right"/>
            </w:pPr>
            <w:r>
              <w:rPr>
                <w:rFonts w:asciiTheme="minorEastAsia" w:cs="宋体" w:eastAsiaTheme="minorEastAsia" w:hAnsiTheme="minorEastAsia"/>
                <w:color w:themeColor="text1" w:val="000000"/>
                <w:kern w:val="0"/>
                <w:sz w:val="21"/>
              </w:rPr>
              <w:t>6.53</w:t>
            </w:r>
          </w:p>
        </w:tc>
      </w:tr>
      <w:tr>
        <w:tc>
          <w:tcPr>
            <w:vAlign w:val="center"/>
          </w:tcPr>
          <w:p>
            <w:pPr>
              <w:jc w:val="center"/>
            </w:pPr>
            <w:r>
              <w:rPr>
                <w:rFonts w:asciiTheme="minorEastAsia" w:cs="宋体" w:eastAsiaTheme="minorEastAsia" w:hAnsiTheme="minorEastAsia"/>
                <w:color w:themeColor="text1" w:val="000000"/>
                <w:kern w:val="0"/>
                <w:sz w:val="21"/>
              </w:rPr>
              <w:t>2</w:t>
            </w:r>
          </w:p>
        </w:tc>
        <w:tc>
          <w:tcPr>
            <w:vAlign w:val="center"/>
          </w:tcPr>
          <w:p>
            <w:pPr>
              <w:jc w:val="center"/>
            </w:pPr>
            <w:r>
              <w:rPr>
                <w:rFonts w:asciiTheme="minorEastAsia" w:cs="宋体" w:eastAsiaTheme="minorEastAsia" w:hAnsiTheme="minorEastAsia"/>
                <w:color w:themeColor="text1" w:val="000000"/>
                <w:kern w:val="0"/>
                <w:sz w:val="21"/>
              </w:rPr>
              <w:t>601012</w:t>
            </w:r>
          </w:p>
        </w:tc>
        <w:tc>
          <w:tcPr>
            <w:vAlign w:val="center"/>
          </w:tcPr>
          <w:p>
            <w:pPr>
              <w:jc w:val="center"/>
            </w:pPr>
            <w:r>
              <w:rPr>
                <w:rFonts w:asciiTheme="minorEastAsia" w:cs="宋体" w:eastAsiaTheme="minorEastAsia" w:hAnsiTheme="minorEastAsia"/>
                <w:color w:themeColor="text1" w:val="000000"/>
                <w:kern w:val="0"/>
                <w:sz w:val="21"/>
              </w:rPr>
              <w:t>隆基股份</w:t>
            </w:r>
          </w:p>
        </w:tc>
        <w:tc>
          <w:tcPr>
            <w:vAlign w:val="center"/>
          </w:tcPr>
          <w:p>
            <w:pPr>
              <w:jc w:val="right"/>
            </w:pPr>
            <w:r>
              <w:rPr>
                <w:rFonts w:asciiTheme="minorEastAsia" w:cs="宋体" w:eastAsiaTheme="minorEastAsia" w:hAnsiTheme="minorEastAsia"/>
                <w:color w:themeColor="text1" w:val="000000"/>
                <w:kern w:val="0"/>
                <w:sz w:val="21"/>
              </w:rPr>
              <w:t>3,050,713</w:t>
            </w:r>
          </w:p>
        </w:tc>
        <w:tc>
          <w:tcPr>
            <w:vAlign w:val="center"/>
          </w:tcPr>
          <w:p>
            <w:pPr>
              <w:jc w:val="right"/>
            </w:pPr>
            <w:r>
              <w:rPr>
                <w:rFonts w:asciiTheme="minorEastAsia" w:cs="宋体" w:eastAsiaTheme="minorEastAsia" w:hAnsiTheme="minorEastAsia"/>
                <w:color w:themeColor="text1" w:val="000000"/>
                <w:kern w:val="0"/>
                <w:sz w:val="21"/>
              </w:rPr>
              <w:t>70,501,977.43</w:t>
            </w:r>
          </w:p>
        </w:tc>
        <w:tc>
          <w:tcPr>
            <w:vAlign w:val="center"/>
          </w:tcPr>
          <w:p>
            <w:pPr>
              <w:jc w:val="right"/>
            </w:pPr>
            <w:r>
              <w:rPr>
                <w:rFonts w:asciiTheme="minorEastAsia" w:cs="宋体" w:eastAsiaTheme="minorEastAsia" w:hAnsiTheme="minorEastAsia"/>
                <w:color w:themeColor="text1" w:val="000000"/>
                <w:kern w:val="0"/>
                <w:sz w:val="21"/>
              </w:rPr>
              <w:t>5.89</w:t>
            </w:r>
          </w:p>
        </w:tc>
      </w:tr>
      <w:tr>
        <w:tc>
          <w:tcPr>
            <w:vAlign w:val="center"/>
          </w:tcPr>
          <w:p>
            <w:pPr>
              <w:jc w:val="center"/>
            </w:pPr>
            <w:r>
              <w:rPr>
                <w:rFonts w:asciiTheme="minorEastAsia" w:cs="宋体" w:eastAsiaTheme="minorEastAsia" w:hAnsiTheme="minorEastAsia"/>
                <w:color w:themeColor="text1" w:val="000000"/>
                <w:kern w:val="0"/>
                <w:sz w:val="21"/>
              </w:rPr>
              <w:t>3</w:t>
            </w:r>
          </w:p>
        </w:tc>
        <w:tc>
          <w:tcPr>
            <w:vAlign w:val="center"/>
          </w:tcPr>
          <w:p>
            <w:pPr>
              <w:jc w:val="center"/>
            </w:pPr>
            <w:r>
              <w:rPr>
                <w:rFonts w:asciiTheme="minorEastAsia" w:cs="宋体" w:eastAsiaTheme="minorEastAsia" w:hAnsiTheme="minorEastAsia"/>
                <w:color w:themeColor="text1" w:val="000000"/>
                <w:kern w:val="0"/>
                <w:sz w:val="21"/>
              </w:rPr>
              <w:t>002157</w:t>
            </w:r>
          </w:p>
        </w:tc>
        <w:tc>
          <w:tcPr>
            <w:vAlign w:val="center"/>
          </w:tcPr>
          <w:p>
            <w:pPr>
              <w:jc w:val="center"/>
            </w:pPr>
            <w:r>
              <w:rPr>
                <w:rFonts w:asciiTheme="minorEastAsia" w:cs="宋体" w:eastAsiaTheme="minorEastAsia" w:hAnsiTheme="minorEastAsia"/>
                <w:color w:themeColor="text1" w:val="000000"/>
                <w:kern w:val="0"/>
                <w:sz w:val="21"/>
              </w:rPr>
              <w:t>正邦科技</w:t>
            </w:r>
          </w:p>
        </w:tc>
        <w:tc>
          <w:tcPr>
            <w:vAlign w:val="center"/>
          </w:tcPr>
          <w:p>
            <w:pPr>
              <w:jc w:val="right"/>
            </w:pPr>
            <w:r>
              <w:rPr>
                <w:rFonts w:asciiTheme="minorEastAsia" w:cs="宋体" w:eastAsiaTheme="minorEastAsia" w:hAnsiTheme="minorEastAsia"/>
                <w:color w:themeColor="text1" w:val="000000"/>
                <w:kern w:val="0"/>
                <w:sz w:val="21"/>
              </w:rPr>
              <w:t>3,903,300</w:t>
            </w:r>
          </w:p>
        </w:tc>
        <w:tc>
          <w:tcPr>
            <w:vAlign w:val="center"/>
          </w:tcPr>
          <w:p>
            <w:pPr>
              <w:jc w:val="right"/>
            </w:pPr>
            <w:r>
              <w:rPr>
                <w:rFonts w:asciiTheme="minorEastAsia" w:cs="宋体" w:eastAsiaTheme="minorEastAsia" w:hAnsiTheme="minorEastAsia"/>
                <w:color w:themeColor="text1" w:val="000000"/>
                <w:kern w:val="0"/>
                <w:sz w:val="21"/>
              </w:rPr>
              <w:t>65,028,978.00</w:t>
            </w:r>
          </w:p>
        </w:tc>
        <w:tc>
          <w:tcPr>
            <w:vAlign w:val="center"/>
          </w:tcPr>
          <w:p>
            <w:pPr>
              <w:jc w:val="right"/>
            </w:pPr>
            <w:r>
              <w:rPr>
                <w:rFonts w:asciiTheme="minorEastAsia" w:cs="宋体" w:eastAsiaTheme="minorEastAsia" w:hAnsiTheme="minorEastAsia"/>
                <w:color w:themeColor="text1" w:val="000000"/>
                <w:kern w:val="0"/>
                <w:sz w:val="21"/>
              </w:rPr>
              <w:t>5.43</w:t>
            </w:r>
          </w:p>
        </w:tc>
      </w:tr>
      <w:tr>
        <w:tc>
          <w:tcPr>
            <w:vAlign w:val="center"/>
          </w:tcPr>
          <w:p>
            <w:pPr>
              <w:jc w:val="center"/>
            </w:pPr>
            <w:r>
              <w:rPr>
                <w:rFonts w:asciiTheme="minorEastAsia" w:cs="宋体" w:eastAsiaTheme="minorEastAsia" w:hAnsiTheme="minorEastAsia"/>
                <w:color w:themeColor="text1" w:val="000000"/>
                <w:kern w:val="0"/>
                <w:sz w:val="21"/>
              </w:rPr>
              <w:t>4</w:t>
            </w:r>
          </w:p>
        </w:tc>
        <w:tc>
          <w:tcPr>
            <w:vAlign w:val="center"/>
          </w:tcPr>
          <w:p>
            <w:pPr>
              <w:jc w:val="center"/>
            </w:pPr>
            <w:r>
              <w:rPr>
                <w:rFonts w:asciiTheme="minorEastAsia" w:cs="宋体" w:eastAsiaTheme="minorEastAsia" w:hAnsiTheme="minorEastAsia"/>
                <w:color w:themeColor="text1" w:val="000000"/>
                <w:kern w:val="0"/>
                <w:sz w:val="21"/>
              </w:rPr>
              <w:t>600438</w:t>
            </w:r>
          </w:p>
        </w:tc>
        <w:tc>
          <w:tcPr>
            <w:vAlign w:val="center"/>
          </w:tcPr>
          <w:p>
            <w:pPr>
              <w:jc w:val="center"/>
            </w:pPr>
            <w:r>
              <w:rPr>
                <w:rFonts w:asciiTheme="minorEastAsia" w:cs="宋体" w:eastAsiaTheme="minorEastAsia" w:hAnsiTheme="minorEastAsia"/>
                <w:color w:themeColor="text1" w:val="000000"/>
                <w:kern w:val="0"/>
                <w:sz w:val="21"/>
              </w:rPr>
              <w:t>通威股份</w:t>
            </w:r>
          </w:p>
        </w:tc>
        <w:tc>
          <w:tcPr>
            <w:vAlign w:val="center"/>
          </w:tcPr>
          <w:p>
            <w:pPr>
              <w:jc w:val="right"/>
            </w:pPr>
            <w:r>
              <w:rPr>
                <w:rFonts w:asciiTheme="minorEastAsia" w:cs="宋体" w:eastAsiaTheme="minorEastAsia" w:hAnsiTheme="minorEastAsia"/>
                <w:color w:themeColor="text1" w:val="000000"/>
                <w:kern w:val="0"/>
                <w:sz w:val="21"/>
              </w:rPr>
              <w:t>2,873,940</w:t>
            </w:r>
          </w:p>
        </w:tc>
        <w:tc>
          <w:tcPr>
            <w:vAlign w:val="center"/>
          </w:tcPr>
          <w:p>
            <w:pPr>
              <w:jc w:val="right"/>
            </w:pPr>
            <w:r>
              <w:rPr>
                <w:rFonts w:asciiTheme="minorEastAsia" w:cs="宋体" w:eastAsiaTheme="minorEastAsia" w:hAnsiTheme="minorEastAsia"/>
                <w:color w:themeColor="text1" w:val="000000"/>
                <w:kern w:val="0"/>
                <w:sz w:val="21"/>
              </w:rPr>
              <w:t>40,407,596.40</w:t>
            </w:r>
          </w:p>
        </w:tc>
        <w:tc>
          <w:tcPr>
            <w:vAlign w:val="center"/>
          </w:tcPr>
          <w:p>
            <w:pPr>
              <w:jc w:val="right"/>
            </w:pPr>
            <w:r>
              <w:rPr>
                <w:rFonts w:asciiTheme="minorEastAsia" w:cs="宋体" w:eastAsiaTheme="minorEastAsia" w:hAnsiTheme="minorEastAsia"/>
                <w:color w:themeColor="text1" w:val="000000"/>
                <w:kern w:val="0"/>
                <w:sz w:val="21"/>
              </w:rPr>
              <w:t>3.37</w:t>
            </w:r>
          </w:p>
        </w:tc>
      </w:tr>
      <w:tr>
        <w:tc>
          <w:tcPr>
            <w:vAlign w:val="center"/>
          </w:tcPr>
          <w:p>
            <w:pPr>
              <w:jc w:val="center"/>
            </w:pPr>
            <w:r>
              <w:rPr>
                <w:rFonts w:asciiTheme="minorEastAsia" w:cs="宋体" w:eastAsiaTheme="minorEastAsia" w:hAnsiTheme="minorEastAsia"/>
                <w:color w:themeColor="text1" w:val="000000"/>
                <w:kern w:val="0"/>
                <w:sz w:val="21"/>
              </w:rPr>
              <w:t>5</w:t>
            </w:r>
          </w:p>
        </w:tc>
        <w:tc>
          <w:tcPr>
            <w:vAlign w:val="center"/>
          </w:tcPr>
          <w:p>
            <w:pPr>
              <w:jc w:val="center"/>
            </w:pPr>
            <w:r>
              <w:rPr>
                <w:rFonts w:asciiTheme="minorEastAsia" w:cs="宋体" w:eastAsiaTheme="minorEastAsia" w:hAnsiTheme="minorEastAsia"/>
                <w:color w:themeColor="text1" w:val="000000"/>
                <w:kern w:val="0"/>
                <w:sz w:val="21"/>
              </w:rPr>
              <w:t>000568</w:t>
            </w:r>
          </w:p>
        </w:tc>
        <w:tc>
          <w:tcPr>
            <w:vAlign w:val="center"/>
          </w:tcPr>
          <w:p>
            <w:pPr>
              <w:jc w:val="center"/>
            </w:pPr>
            <w:r>
              <w:rPr>
                <w:rFonts w:asciiTheme="minorEastAsia" w:cs="宋体" w:eastAsiaTheme="minorEastAsia" w:hAnsiTheme="minorEastAsia"/>
                <w:color w:themeColor="text1" w:val="000000"/>
                <w:kern w:val="0"/>
                <w:sz w:val="21"/>
              </w:rPr>
              <w:t>泸州老窖</w:t>
            </w:r>
          </w:p>
        </w:tc>
        <w:tc>
          <w:tcPr>
            <w:vAlign w:val="center"/>
          </w:tcPr>
          <w:p>
            <w:pPr>
              <w:jc w:val="right"/>
            </w:pPr>
            <w:r>
              <w:rPr>
                <w:rFonts w:asciiTheme="minorEastAsia" w:cs="宋体" w:eastAsiaTheme="minorEastAsia" w:hAnsiTheme="minorEastAsia"/>
                <w:color w:themeColor="text1" w:val="000000"/>
                <w:kern w:val="0"/>
                <w:sz w:val="21"/>
              </w:rPr>
              <w:t>478,744</w:t>
            </w:r>
          </w:p>
        </w:tc>
        <w:tc>
          <w:tcPr>
            <w:vAlign w:val="center"/>
          </w:tcPr>
          <w:p>
            <w:pPr>
              <w:jc w:val="right"/>
            </w:pPr>
            <w:r>
              <w:rPr>
                <w:rFonts w:asciiTheme="minorEastAsia" w:cs="宋体" w:eastAsiaTheme="minorEastAsia" w:hAnsiTheme="minorEastAsia"/>
                <w:color w:themeColor="text1" w:val="000000"/>
                <w:kern w:val="0"/>
                <w:sz w:val="21"/>
              </w:rPr>
              <w:t>38,696,877.52</w:t>
            </w:r>
          </w:p>
        </w:tc>
        <w:tc>
          <w:tcPr>
            <w:vAlign w:val="center"/>
          </w:tcPr>
          <w:p>
            <w:pPr>
              <w:jc w:val="right"/>
            </w:pPr>
            <w:r>
              <w:rPr>
                <w:rFonts w:asciiTheme="minorEastAsia" w:cs="宋体" w:eastAsiaTheme="minorEastAsia" w:hAnsiTheme="minorEastAsia"/>
                <w:color w:themeColor="text1" w:val="000000"/>
                <w:kern w:val="0"/>
                <w:sz w:val="21"/>
              </w:rPr>
              <w:t>3.23</w:t>
            </w:r>
          </w:p>
        </w:tc>
      </w:tr>
      <w:tr>
        <w:tc>
          <w:tcPr>
            <w:vAlign w:val="center"/>
          </w:tcPr>
          <w:p>
            <w:pPr>
              <w:jc w:val="center"/>
            </w:pPr>
            <w:r>
              <w:rPr>
                <w:rFonts w:asciiTheme="minorEastAsia" w:cs="宋体" w:eastAsiaTheme="minorEastAsia" w:hAnsiTheme="minorEastAsia"/>
                <w:color w:themeColor="text1" w:val="000000"/>
                <w:kern w:val="0"/>
                <w:sz w:val="21"/>
              </w:rPr>
              <w:t>6</w:t>
            </w:r>
          </w:p>
        </w:tc>
        <w:tc>
          <w:tcPr>
            <w:vAlign w:val="center"/>
          </w:tcPr>
          <w:p>
            <w:pPr>
              <w:jc w:val="center"/>
            </w:pPr>
            <w:r>
              <w:rPr>
                <w:rFonts w:asciiTheme="minorEastAsia" w:cs="宋体" w:eastAsiaTheme="minorEastAsia" w:hAnsiTheme="minorEastAsia"/>
                <w:color w:themeColor="text1" w:val="000000"/>
                <w:kern w:val="0"/>
                <w:sz w:val="21"/>
              </w:rPr>
              <w:t>300014</w:t>
            </w:r>
          </w:p>
        </w:tc>
        <w:tc>
          <w:tcPr>
            <w:vAlign w:val="center"/>
          </w:tcPr>
          <w:p>
            <w:pPr>
              <w:jc w:val="center"/>
            </w:pPr>
            <w:r>
              <w:rPr>
                <w:rFonts w:asciiTheme="minorEastAsia" w:cs="宋体" w:eastAsiaTheme="minorEastAsia" w:hAnsiTheme="minorEastAsia"/>
                <w:color w:themeColor="text1" w:val="000000"/>
                <w:kern w:val="0"/>
                <w:sz w:val="21"/>
              </w:rPr>
              <w:t>亿纬锂能</w:t>
            </w:r>
          </w:p>
        </w:tc>
        <w:tc>
          <w:tcPr>
            <w:vAlign w:val="center"/>
          </w:tcPr>
          <w:p>
            <w:pPr>
              <w:jc w:val="right"/>
            </w:pPr>
            <w:r>
              <w:rPr>
                <w:rFonts w:asciiTheme="minorEastAsia" w:cs="宋体" w:eastAsiaTheme="minorEastAsia" w:hAnsiTheme="minorEastAsia"/>
                <w:color w:themeColor="text1" w:val="000000"/>
                <w:kern w:val="0"/>
                <w:sz w:val="21"/>
              </w:rPr>
              <w:t>1,263,841</w:t>
            </w:r>
          </w:p>
        </w:tc>
        <w:tc>
          <w:tcPr>
            <w:vAlign w:val="center"/>
          </w:tcPr>
          <w:p>
            <w:pPr>
              <w:jc w:val="right"/>
            </w:pPr>
            <w:r>
              <w:rPr>
                <w:rFonts w:asciiTheme="minorEastAsia" w:cs="宋体" w:eastAsiaTheme="minorEastAsia" w:hAnsiTheme="minorEastAsia"/>
                <w:color w:themeColor="text1" w:val="000000"/>
                <w:kern w:val="0"/>
                <w:sz w:val="21"/>
              </w:rPr>
              <w:t>38,496,596.86</w:t>
            </w:r>
          </w:p>
        </w:tc>
        <w:tc>
          <w:tcPr>
            <w:vAlign w:val="center"/>
          </w:tcPr>
          <w:p>
            <w:pPr>
              <w:jc w:val="right"/>
            </w:pPr>
            <w:r>
              <w:rPr>
                <w:rFonts w:asciiTheme="minorEastAsia" w:cs="宋体" w:eastAsiaTheme="minorEastAsia" w:hAnsiTheme="minorEastAsia"/>
                <w:color w:themeColor="text1" w:val="000000"/>
                <w:kern w:val="0"/>
                <w:sz w:val="21"/>
              </w:rPr>
              <w:t>3.22</w:t>
            </w:r>
          </w:p>
        </w:tc>
      </w:tr>
      <w:tr>
        <w:tc>
          <w:tcPr>
            <w:vAlign w:val="center"/>
          </w:tcPr>
          <w:p>
            <w:pPr>
              <w:jc w:val="center"/>
            </w:pPr>
            <w:r>
              <w:rPr>
                <w:rFonts w:asciiTheme="minorEastAsia" w:cs="宋体" w:eastAsiaTheme="minorEastAsia" w:hAnsiTheme="minorEastAsia"/>
                <w:color w:themeColor="text1" w:val="000000"/>
                <w:kern w:val="0"/>
                <w:sz w:val="21"/>
              </w:rPr>
              <w:t>7</w:t>
            </w:r>
          </w:p>
        </w:tc>
        <w:tc>
          <w:tcPr>
            <w:vAlign w:val="center"/>
          </w:tcPr>
          <w:p>
            <w:pPr>
              <w:jc w:val="center"/>
            </w:pPr>
            <w:r>
              <w:rPr>
                <w:rFonts w:asciiTheme="minorEastAsia" w:cs="宋体" w:eastAsiaTheme="minorEastAsia" w:hAnsiTheme="minorEastAsia"/>
                <w:color w:themeColor="text1" w:val="000000"/>
                <w:kern w:val="0"/>
                <w:sz w:val="21"/>
              </w:rPr>
              <w:t>000661</w:t>
            </w:r>
          </w:p>
        </w:tc>
        <w:tc>
          <w:tcPr>
            <w:vAlign w:val="center"/>
          </w:tcPr>
          <w:p>
            <w:pPr>
              <w:jc w:val="center"/>
            </w:pPr>
            <w:r>
              <w:rPr>
                <w:rFonts w:asciiTheme="minorEastAsia" w:cs="宋体" w:eastAsiaTheme="minorEastAsia" w:hAnsiTheme="minorEastAsia"/>
                <w:color w:themeColor="text1" w:val="000000"/>
                <w:kern w:val="0"/>
                <w:sz w:val="21"/>
              </w:rPr>
              <w:t>长春高新</w:t>
            </w:r>
          </w:p>
        </w:tc>
        <w:tc>
          <w:tcPr>
            <w:vAlign w:val="center"/>
          </w:tcPr>
          <w:p>
            <w:pPr>
              <w:jc w:val="right"/>
            </w:pPr>
            <w:r>
              <w:rPr>
                <w:rFonts w:asciiTheme="minorEastAsia" w:cs="宋体" w:eastAsiaTheme="minorEastAsia" w:hAnsiTheme="minorEastAsia"/>
                <w:color w:themeColor="text1" w:val="000000"/>
                <w:kern w:val="0"/>
                <w:sz w:val="21"/>
              </w:rPr>
              <w:t>110,283</w:t>
            </w:r>
          </w:p>
        </w:tc>
        <w:tc>
          <w:tcPr>
            <w:vAlign w:val="center"/>
          </w:tcPr>
          <w:p>
            <w:pPr>
              <w:jc w:val="right"/>
            </w:pPr>
            <w:r>
              <w:rPr>
                <w:rFonts w:asciiTheme="minorEastAsia" w:cs="宋体" w:eastAsiaTheme="minorEastAsia" w:hAnsiTheme="minorEastAsia"/>
                <w:color w:themeColor="text1" w:val="000000"/>
                <w:kern w:val="0"/>
                <w:sz w:val="21"/>
              </w:rPr>
              <w:t>37,275,654.00</w:t>
            </w:r>
          </w:p>
        </w:tc>
        <w:tc>
          <w:tcPr>
            <w:vAlign w:val="center"/>
          </w:tcPr>
          <w:p>
            <w:pPr>
              <w:jc w:val="right"/>
            </w:pPr>
            <w:r>
              <w:rPr>
                <w:rFonts w:asciiTheme="minorEastAsia" w:cs="宋体" w:eastAsiaTheme="minorEastAsia" w:hAnsiTheme="minorEastAsia"/>
                <w:color w:themeColor="text1" w:val="000000"/>
                <w:kern w:val="0"/>
                <w:sz w:val="21"/>
              </w:rPr>
              <w:t>3.11</w:t>
            </w:r>
          </w:p>
        </w:tc>
      </w:tr>
      <w:tr>
        <w:tc>
          <w:tcPr>
            <w:vAlign w:val="center"/>
          </w:tcPr>
          <w:p>
            <w:pPr>
              <w:jc w:val="center"/>
            </w:pPr>
            <w:r>
              <w:rPr>
                <w:rFonts w:asciiTheme="minorEastAsia" w:cs="宋体" w:eastAsiaTheme="minorEastAsia" w:hAnsiTheme="minorEastAsia"/>
                <w:color w:themeColor="text1" w:val="000000"/>
                <w:kern w:val="0"/>
                <w:sz w:val="21"/>
              </w:rPr>
              <w:t>8</w:t>
            </w:r>
          </w:p>
        </w:tc>
        <w:tc>
          <w:tcPr>
            <w:vAlign w:val="center"/>
          </w:tcPr>
          <w:p>
            <w:pPr>
              <w:jc w:val="center"/>
            </w:pPr>
            <w:r>
              <w:rPr>
                <w:rFonts w:asciiTheme="minorEastAsia" w:cs="宋体" w:eastAsiaTheme="minorEastAsia" w:hAnsiTheme="minorEastAsia"/>
                <w:color w:themeColor="text1" w:val="000000"/>
                <w:kern w:val="0"/>
                <w:sz w:val="21"/>
              </w:rPr>
              <w:t>603899</w:t>
            </w:r>
          </w:p>
        </w:tc>
        <w:tc>
          <w:tcPr>
            <w:vAlign w:val="center"/>
          </w:tcPr>
          <w:p>
            <w:pPr>
              <w:jc w:val="center"/>
            </w:pPr>
            <w:r>
              <w:rPr>
                <w:rFonts w:asciiTheme="minorEastAsia" w:cs="宋体" w:eastAsiaTheme="minorEastAsia" w:hAnsiTheme="minorEastAsia"/>
                <w:color w:themeColor="text1" w:val="000000"/>
                <w:kern w:val="0"/>
                <w:sz w:val="21"/>
              </w:rPr>
              <w:t>晨光文具</w:t>
            </w:r>
          </w:p>
        </w:tc>
        <w:tc>
          <w:tcPr>
            <w:vAlign w:val="center"/>
          </w:tcPr>
          <w:p>
            <w:pPr>
              <w:jc w:val="right"/>
            </w:pPr>
            <w:r>
              <w:rPr>
                <w:rFonts w:asciiTheme="minorEastAsia" w:cs="宋体" w:eastAsiaTheme="minorEastAsia" w:hAnsiTheme="minorEastAsia"/>
                <w:color w:themeColor="text1" w:val="000000"/>
                <w:kern w:val="0"/>
                <w:sz w:val="21"/>
              </w:rPr>
              <w:t>811,020</w:t>
            </w:r>
          </w:p>
        </w:tc>
        <w:tc>
          <w:tcPr>
            <w:vAlign w:val="center"/>
          </w:tcPr>
          <w:p>
            <w:pPr>
              <w:jc w:val="right"/>
            </w:pPr>
            <w:r>
              <w:rPr>
                <w:rFonts w:asciiTheme="minorEastAsia" w:cs="宋体" w:eastAsiaTheme="minorEastAsia" w:hAnsiTheme="minorEastAsia"/>
                <w:color w:themeColor="text1" w:val="000000"/>
                <w:kern w:val="0"/>
                <w:sz w:val="21"/>
              </w:rPr>
              <w:t>35,660,549.40</w:t>
            </w:r>
          </w:p>
        </w:tc>
        <w:tc>
          <w:tcPr>
            <w:vAlign w:val="center"/>
          </w:tcPr>
          <w:p>
            <w:pPr>
              <w:jc w:val="right"/>
            </w:pPr>
            <w:r>
              <w:rPr>
                <w:rFonts w:asciiTheme="minorEastAsia" w:cs="宋体" w:eastAsiaTheme="minorEastAsia" w:hAnsiTheme="minorEastAsia"/>
                <w:color w:themeColor="text1" w:val="000000"/>
                <w:kern w:val="0"/>
                <w:sz w:val="21"/>
              </w:rPr>
              <w:t>2.98</w:t>
            </w:r>
          </w:p>
        </w:tc>
      </w:tr>
      <w:tr>
        <w:tc>
          <w:tcPr>
            <w:vAlign w:val="center"/>
          </w:tcPr>
          <w:p>
            <w:pPr>
              <w:jc w:val="center"/>
            </w:pPr>
            <w:r>
              <w:rPr>
                <w:rFonts w:asciiTheme="minorEastAsia" w:cs="宋体" w:eastAsiaTheme="minorEastAsia" w:hAnsiTheme="minorEastAsia"/>
                <w:color w:themeColor="text1" w:val="000000"/>
                <w:kern w:val="0"/>
                <w:sz w:val="21"/>
              </w:rPr>
              <w:t>9</w:t>
            </w:r>
          </w:p>
        </w:tc>
        <w:tc>
          <w:tcPr>
            <w:vAlign w:val="center"/>
          </w:tcPr>
          <w:p>
            <w:pPr>
              <w:jc w:val="center"/>
            </w:pPr>
            <w:r>
              <w:rPr>
                <w:rFonts w:asciiTheme="minorEastAsia" w:cs="宋体" w:eastAsiaTheme="minorEastAsia" w:hAnsiTheme="minorEastAsia"/>
                <w:color w:themeColor="text1" w:val="000000"/>
                <w:kern w:val="0"/>
                <w:sz w:val="21"/>
              </w:rPr>
              <w:t>300450</w:t>
            </w:r>
          </w:p>
        </w:tc>
        <w:tc>
          <w:tcPr>
            <w:vAlign w:val="center"/>
          </w:tcPr>
          <w:p>
            <w:pPr>
              <w:jc w:val="center"/>
            </w:pPr>
            <w:r>
              <w:rPr>
                <w:rFonts w:asciiTheme="minorEastAsia" w:cs="宋体" w:eastAsiaTheme="minorEastAsia" w:hAnsiTheme="minorEastAsia"/>
                <w:color w:themeColor="text1" w:val="000000"/>
                <w:kern w:val="0"/>
                <w:sz w:val="21"/>
              </w:rPr>
              <w:t>先导智能</w:t>
            </w:r>
          </w:p>
        </w:tc>
        <w:tc>
          <w:tcPr>
            <w:vAlign w:val="center"/>
          </w:tcPr>
          <w:p>
            <w:pPr>
              <w:jc w:val="right"/>
            </w:pPr>
            <w:r>
              <w:rPr>
                <w:rFonts w:asciiTheme="minorEastAsia" w:cs="宋体" w:eastAsiaTheme="minorEastAsia" w:hAnsiTheme="minorEastAsia"/>
                <w:color w:themeColor="text1" w:val="000000"/>
                <w:kern w:val="0"/>
                <w:sz w:val="21"/>
              </w:rPr>
              <w:t>1,048,941</w:t>
            </w:r>
          </w:p>
        </w:tc>
        <w:tc>
          <w:tcPr>
            <w:vAlign w:val="center"/>
          </w:tcPr>
          <w:p>
            <w:pPr>
              <w:jc w:val="right"/>
            </w:pPr>
            <w:r>
              <w:rPr>
                <w:rFonts w:asciiTheme="minorEastAsia" w:cs="宋体" w:eastAsiaTheme="minorEastAsia" w:hAnsiTheme="minorEastAsia"/>
                <w:color w:themeColor="text1" w:val="000000"/>
                <w:kern w:val="0"/>
                <w:sz w:val="21"/>
              </w:rPr>
              <w:t>35,244,417.60</w:t>
            </w:r>
          </w:p>
        </w:tc>
        <w:tc>
          <w:tcPr>
            <w:vAlign w:val="center"/>
          </w:tcPr>
          <w:p>
            <w:pPr>
              <w:jc w:val="right"/>
            </w:pPr>
            <w:r>
              <w:rPr>
                <w:rFonts w:asciiTheme="minorEastAsia" w:cs="宋体" w:eastAsiaTheme="minorEastAsia" w:hAnsiTheme="minorEastAsia"/>
                <w:color w:themeColor="text1" w:val="000000"/>
                <w:kern w:val="0"/>
                <w:sz w:val="21"/>
              </w:rPr>
              <w:t>2.94</w:t>
            </w:r>
          </w:p>
        </w:tc>
      </w:tr>
      <w:tr>
        <w:tc>
          <w:tcPr>
            <w:vAlign w:val="center"/>
          </w:tcPr>
          <w:p>
            <w:pPr>
              <w:jc w:val="center"/>
            </w:pPr>
            <w:r>
              <w:rPr>
                <w:rFonts w:asciiTheme="minorEastAsia" w:cs="宋体" w:eastAsiaTheme="minorEastAsia" w:hAnsiTheme="minorEastAsia"/>
                <w:color w:themeColor="text1" w:val="000000"/>
                <w:kern w:val="0"/>
                <w:sz w:val="21"/>
              </w:rPr>
              <w:t>10</w:t>
            </w:r>
          </w:p>
        </w:tc>
        <w:tc>
          <w:tcPr>
            <w:vAlign w:val="center"/>
          </w:tcPr>
          <w:p>
            <w:pPr>
              <w:jc w:val="center"/>
            </w:pPr>
            <w:r>
              <w:rPr>
                <w:rFonts w:asciiTheme="minorEastAsia" w:cs="宋体" w:eastAsiaTheme="minorEastAsia" w:hAnsiTheme="minorEastAsia"/>
                <w:color w:themeColor="text1" w:val="000000"/>
                <w:kern w:val="0"/>
                <w:sz w:val="21"/>
              </w:rPr>
              <w:t>601318</w:t>
            </w:r>
          </w:p>
        </w:tc>
        <w:tc>
          <w:tcPr>
            <w:vAlign w:val="center"/>
          </w:tcPr>
          <w:p>
            <w:pPr>
              <w:jc w:val="center"/>
            </w:pPr>
            <w:r>
              <w:rPr>
                <w:rFonts w:asciiTheme="minorEastAsia" w:cs="宋体" w:eastAsiaTheme="minorEastAsia" w:hAnsiTheme="minorEastAsia"/>
                <w:color w:themeColor="text1" w:val="000000"/>
                <w:kern w:val="0"/>
                <w:sz w:val="21"/>
              </w:rPr>
              <w:t>中国平安</w:t>
            </w:r>
          </w:p>
        </w:tc>
        <w:tc>
          <w:tcPr>
            <w:vAlign w:val="center"/>
          </w:tcPr>
          <w:p>
            <w:pPr>
              <w:jc w:val="right"/>
            </w:pPr>
            <w:r>
              <w:rPr>
                <w:rFonts w:asciiTheme="minorEastAsia" w:cs="宋体" w:eastAsiaTheme="minorEastAsia" w:hAnsiTheme="minorEastAsia"/>
                <w:color w:themeColor="text1" w:val="000000"/>
                <w:kern w:val="0"/>
                <w:sz w:val="21"/>
              </w:rPr>
              <w:t>383,600</w:t>
            </w:r>
          </w:p>
        </w:tc>
        <w:tc>
          <w:tcPr>
            <w:vAlign w:val="center"/>
          </w:tcPr>
          <w:p>
            <w:pPr>
              <w:jc w:val="right"/>
            </w:pPr>
            <w:r>
              <w:rPr>
                <w:rFonts w:asciiTheme="minorEastAsia" w:cs="宋体" w:eastAsiaTheme="minorEastAsia" w:hAnsiTheme="minorEastAsia"/>
                <w:color w:themeColor="text1" w:val="000000"/>
                <w:kern w:val="0"/>
                <w:sz w:val="21"/>
              </w:rPr>
              <w:t>33,990,796.00</w:t>
            </w:r>
          </w:p>
        </w:tc>
        <w:tc>
          <w:tcPr>
            <w:vAlign w:val="center"/>
          </w:tcPr>
          <w:p>
            <w:pPr>
              <w:jc w:val="right"/>
            </w:pPr>
            <w:r>
              <w:rPr>
                <w:rFonts w:asciiTheme="minorEastAsia" w:cs="宋体" w:eastAsiaTheme="minorEastAsia" w:hAnsiTheme="minorEastAsia"/>
                <w:color w:themeColor="text1" w:val="000000"/>
                <w:kern w:val="0"/>
                <w:sz w:val="21"/>
              </w:rPr>
              <w:t>2.84</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tbl>
      <w:tblPr>
        <w:tblStyle w:val="31"/>
        <w:tblW w:type="dxa" w:w="8755"/>
        <w:jc w:val="cente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17"/>
        <w:gridCol w:w="3260"/>
        <w:gridCol w:w="2949"/>
        <w:gridCol w:w="1729"/>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3260"/>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债券品种</w:t>
            </w:r>
            <w:r>
              <w:rPr>
                <w:rFonts w:asciiTheme="minorEastAsia" w:eastAsiaTheme="minorEastAsia" w:hAnsiTheme="minorEastAsia" w:hint="eastAsia"/>
                <w:color w:themeColor="text1" w:val="000000"/>
                <w:kern w:val="0"/>
                <w:sz w:val="21"/>
              </w:rPr>
              <w:t/>
            </w:r>
          </w:p>
        </w:tc>
        <w:tc>
          <w:tcPr>
            <w:tcW w:type="dxa" w:w="2949"/>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公允价值(元)</w:t>
            </w:r>
          </w:p>
        </w:tc>
        <w:tc>
          <w:tcPr>
            <w:tcW w:type="dxa" w:w="1729"/>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1</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国家债券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2</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央行票据</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3</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金融债券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其中：政策性金融债</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4</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企业债券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5</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企业短期融资券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6</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中期票据</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7</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可转债（可交换债）</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4,916,502.54</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0.41</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8</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同业存单</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9</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10</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4,916,502.54</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0.41</w:t>
            </w:r>
          </w:p>
        </w:tc>
      </w:tr>
    </w:tbl>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tbl>
      <w:tblPr>
        <w:tblStyle w:val="31"/>
        <w:tblW w:type="dxa" w:w="8528"/>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252"/>
        <w:gridCol w:w="1310"/>
        <w:gridCol w:w="1282"/>
        <w:gridCol w:w="1426"/>
        <w:gridCol w:w="1646"/>
        <w:gridCol w:w="1612"/>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52"/>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1310"/>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债券代码</w:t>
            </w:r>
          </w:p>
        </w:tc>
        <w:tc>
          <w:tcPr>
            <w:tcW w:type="dxa" w:w="1282"/>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债券名称</w:t>
            </w:r>
          </w:p>
        </w:tc>
        <w:tc>
          <w:tcPr>
            <w:tcW w:type="dxa" w:w="142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数量(张)</w:t>
            </w:r>
          </w:p>
        </w:tc>
        <w:tc>
          <w:tcPr>
            <w:tcW w:type="dxa" w:w="164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w:t>
            </w:r>
            <w:r>
              <w:rPr>
                <w:rFonts w:asciiTheme="minorEastAsia" w:cs="宋体" w:eastAsiaTheme="minorEastAsia" w:hAnsiTheme="minorEastAsia"/>
                <w:color w:themeColor="text1" w:val="000000"/>
                <w:kern w:val="0"/>
                <w:sz w:val="21"/>
              </w:rPr>
              <w:t>(</w:t>
            </w:r>
            <w:r>
              <w:rPr>
                <w:rFonts w:asciiTheme="minorEastAsia" w:cs="宋体" w:eastAsiaTheme="minorEastAsia" w:hAnsiTheme="minorEastAsia" w:hint="eastAsia"/>
                <w:color w:themeColor="text1" w:val="000000"/>
                <w:kern w:val="0"/>
                <w:sz w:val="21"/>
              </w:rPr>
              <w:t>元</w:t>
            </w:r>
            <w:r>
              <w:rPr>
                <w:rFonts w:asciiTheme="minorEastAsia" w:cs="宋体" w:eastAsiaTheme="minorEastAsia" w:hAnsiTheme="minorEastAsia"/>
                <w:color w:themeColor="text1" w:val="000000"/>
                <w:kern w:val="0"/>
                <w:sz w:val="21"/>
              </w:rPr>
              <w:t>)</w:t>
            </w:r>
          </w:p>
        </w:tc>
        <w:tc>
          <w:tcPr>
            <w:tcW w:type="dxa" w:w="1612"/>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p>
        </w:tc>
      </w:tr>
      <w:tr>
        <w:tc>
          <w:tcPr>
            <w:vAlign w:val="center"/>
          </w:tcPr>
          <w:p>
            <w:pPr>
              <w:jc w:val="center"/>
            </w:pPr>
            <w:r>
              <w:rPr>
                <w:rFonts w:asciiTheme="minorEastAsia" w:cs="宋体" w:eastAsiaTheme="minorEastAsia" w:hAnsiTheme="minorEastAsia"/>
                <w:color w:themeColor="text1" w:val="000000"/>
                <w:kern w:val="0"/>
                <w:sz w:val="21"/>
              </w:rPr>
              <w:t>1</w:t>
            </w:r>
          </w:p>
        </w:tc>
        <w:tc>
          <w:tcPr>
            <w:vAlign w:val="center"/>
          </w:tcPr>
          <w:p>
            <w:pPr>
              <w:jc w:val="center"/>
            </w:pPr>
            <w:r>
              <w:rPr>
                <w:rFonts w:asciiTheme="minorEastAsia" w:cs="宋体" w:eastAsiaTheme="minorEastAsia" w:hAnsiTheme="minorEastAsia"/>
                <w:color w:themeColor="text1" w:val="000000"/>
                <w:kern w:val="0"/>
                <w:sz w:val="21"/>
              </w:rPr>
              <w:t>110054</w:t>
            </w:r>
          </w:p>
        </w:tc>
        <w:tc>
          <w:tcPr>
            <w:vAlign w:val="center"/>
          </w:tcPr>
          <w:p>
            <w:pPr>
              <w:jc w:val="center"/>
            </w:pPr>
            <w:r>
              <w:rPr>
                <w:rFonts w:asciiTheme="minorEastAsia" w:cs="宋体" w:eastAsiaTheme="minorEastAsia" w:hAnsiTheme="minorEastAsia"/>
                <w:color w:themeColor="text1" w:val="000000"/>
                <w:kern w:val="0"/>
                <w:sz w:val="21"/>
              </w:rPr>
              <w:t>通威转债</w:t>
            </w:r>
          </w:p>
        </w:tc>
        <w:tc>
          <w:tcPr>
            <w:vAlign w:val="center"/>
          </w:tcPr>
          <w:p>
            <w:pPr>
              <w:jc w:val="right"/>
            </w:pPr>
            <w:r>
              <w:rPr>
                <w:rFonts w:asciiTheme="minorEastAsia" w:cs="宋体" w:eastAsiaTheme="minorEastAsia" w:hAnsiTheme="minorEastAsia"/>
                <w:color w:themeColor="text1" w:val="000000"/>
                <w:kern w:val="0"/>
                <w:sz w:val="21"/>
              </w:rPr>
              <w:t>36,990</w:t>
            </w:r>
          </w:p>
        </w:tc>
        <w:tc>
          <w:tcPr>
            <w:vAlign w:val="center"/>
          </w:tcPr>
          <w:p>
            <w:pPr>
              <w:jc w:val="right"/>
            </w:pPr>
            <w:r>
              <w:rPr>
                <w:rFonts w:asciiTheme="minorEastAsia" w:cs="宋体" w:eastAsiaTheme="minorEastAsia" w:hAnsiTheme="minorEastAsia"/>
                <w:color w:themeColor="text1" w:val="000000"/>
                <w:kern w:val="0"/>
                <w:sz w:val="21"/>
              </w:rPr>
              <w:t>4,542,741.90</w:t>
            </w:r>
          </w:p>
        </w:tc>
        <w:tc>
          <w:tcPr>
            <w:vAlign w:val="center"/>
          </w:tcPr>
          <w:p>
            <w:pPr>
              <w:jc w:val="right"/>
            </w:pPr>
            <w:r>
              <w:rPr>
                <w:rFonts w:asciiTheme="minorEastAsia" w:cs="宋体" w:eastAsiaTheme="minorEastAsia" w:hAnsiTheme="minorEastAsia"/>
                <w:color w:themeColor="text1" w:val="000000"/>
                <w:kern w:val="0"/>
                <w:sz w:val="21"/>
              </w:rPr>
              <w:t>0.38</w:t>
            </w:r>
          </w:p>
        </w:tc>
      </w:tr>
      <w:tr>
        <w:tc>
          <w:tcPr>
            <w:vAlign w:val="center"/>
          </w:tcPr>
          <w:p>
            <w:pPr>
              <w:jc w:val="center"/>
            </w:pPr>
            <w:r>
              <w:rPr>
                <w:rFonts w:asciiTheme="minorEastAsia" w:cs="宋体" w:eastAsiaTheme="minorEastAsia" w:hAnsiTheme="minorEastAsia"/>
                <w:color w:themeColor="text1" w:val="000000"/>
                <w:kern w:val="0"/>
                <w:sz w:val="21"/>
              </w:rPr>
              <w:t>2</w:t>
            </w:r>
          </w:p>
        </w:tc>
        <w:tc>
          <w:tcPr>
            <w:vAlign w:val="center"/>
          </w:tcPr>
          <w:p>
            <w:pPr>
              <w:jc w:val="center"/>
            </w:pPr>
            <w:r>
              <w:rPr>
                <w:rFonts w:asciiTheme="minorEastAsia" w:cs="宋体" w:eastAsiaTheme="minorEastAsia" w:hAnsiTheme="minorEastAsia"/>
                <w:color w:themeColor="text1" w:val="000000"/>
                <w:kern w:val="0"/>
                <w:sz w:val="21"/>
              </w:rPr>
              <w:t>128061</w:t>
            </w:r>
          </w:p>
        </w:tc>
        <w:tc>
          <w:tcPr>
            <w:vAlign w:val="center"/>
          </w:tcPr>
          <w:p>
            <w:pPr>
              <w:jc w:val="center"/>
            </w:pPr>
            <w:r>
              <w:rPr>
                <w:rFonts w:asciiTheme="minorEastAsia" w:cs="宋体" w:eastAsiaTheme="minorEastAsia" w:hAnsiTheme="minorEastAsia"/>
                <w:color w:themeColor="text1" w:val="000000"/>
                <w:kern w:val="0"/>
                <w:sz w:val="21"/>
              </w:rPr>
              <w:t>启明转债</w:t>
            </w:r>
          </w:p>
        </w:tc>
        <w:tc>
          <w:tcPr>
            <w:vAlign w:val="center"/>
          </w:tcPr>
          <w:p>
            <w:pPr>
              <w:jc w:val="right"/>
            </w:pPr>
            <w:r>
              <w:rPr>
                <w:rFonts w:asciiTheme="minorEastAsia" w:cs="宋体" w:eastAsiaTheme="minorEastAsia" w:hAnsiTheme="minorEastAsia"/>
                <w:color w:themeColor="text1" w:val="000000"/>
                <w:kern w:val="0"/>
                <w:sz w:val="21"/>
              </w:rPr>
              <w:t>3,366</w:t>
            </w:r>
          </w:p>
        </w:tc>
        <w:tc>
          <w:tcPr>
            <w:vAlign w:val="center"/>
          </w:tcPr>
          <w:p>
            <w:pPr>
              <w:jc w:val="right"/>
            </w:pPr>
            <w:r>
              <w:rPr>
                <w:rFonts w:asciiTheme="minorEastAsia" w:cs="宋体" w:eastAsiaTheme="minorEastAsia" w:hAnsiTheme="minorEastAsia"/>
                <w:color w:themeColor="text1" w:val="000000"/>
                <w:kern w:val="0"/>
                <w:sz w:val="21"/>
              </w:rPr>
              <w:t>373,760.64</w:t>
            </w:r>
          </w:p>
        </w:tc>
        <w:tc>
          <w:tcPr>
            <w:vAlign w:val="center"/>
          </w:tcPr>
          <w:p>
            <w:pPr>
              <w:jc w:val="right"/>
            </w:pPr>
            <w:r>
              <w:rPr>
                <w:rFonts w:asciiTheme="minorEastAsia" w:cs="宋体" w:eastAsiaTheme="minorEastAsia" w:hAnsiTheme="minorEastAsia"/>
                <w:color w:themeColor="text1" w:val="000000"/>
                <w:kern w:val="0"/>
                <w:sz w:val="21"/>
              </w:rPr>
              <w:t>0.03</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本基金本报告期末未持有资产支持证券。</w:t>
      </w:r>
    </w:p>
    <w:p>
      <w:pPr>
        <w:autoSpaceDE w:val="0"/>
        <w:autoSpaceDN w:val="0"/>
        <w:adjustRightInd w:val="0"/>
        <w:spacing w:line="360" w:lineRule="auto"/>
        <w:jc w:val="left"/>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5.7 报告期末按公允价值占基金资产净值比例大小排序的前五名贵金属投资明细</w:t>
      </w:r>
    </w:p>
    <w:p>
      <w:pPr>
        <w:widowControl/>
        <w:spacing w:line="360" w:lineRule="auto"/>
        <w:jc w:val="left"/>
        <w:rPr>
          <w:rFonts w:ascii="宋体" w:hAnsi="宋体"/>
          <w:color w:themeColor="text1" w:val="000000"/>
        </w:rPr>
      </w:pPr>
      <w:r>
        <w:rPr>
          <w:rFonts w:ascii="宋体" w:hAnsi="宋体"/>
          <w:color w:themeColor="text1" w:val="000000"/>
        </w:rPr>
        <w:t>本基金本报告期末未持有贵金属。</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本基金本报告期末未持有权证。</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5.9 报告期末本基金投资的股指期货交易情况说明</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本基金本报告期末未持有股指期货。</w:t>
      </w:r>
    </w:p>
    <w:p>
      <w:pPr>
        <w:adjustRightInd w:val="0"/>
        <w:snapToGrid w:val="0"/>
        <w:spacing w:line="360" w:lineRule="exact"/>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5.10报告期末本基金投资的国债期货交易情况说明</w:t>
      </w:r>
    </w:p>
    <w:p>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本基金本报告期末未持有国债期货。</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31"/>
        <w:tblW w:type="dxa" w:w="8513"/>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235"/>
        <w:gridCol w:w="2470"/>
        <w:gridCol w:w="4808"/>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2470"/>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名称</w:t>
            </w:r>
          </w:p>
        </w:tc>
        <w:tc>
          <w:tcPr>
            <w:tcW w:type="dxa" w:w="4808"/>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金额(元)</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存出保证金</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546,688.71</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应收证券清算款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3</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应收股利</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4</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应收利息</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56,226.99</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5</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应收申购款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140,471.55</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6</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其他应收款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7</w:t>
            </w:r>
          </w:p>
        </w:tc>
        <w:tc>
          <w:tcPr>
            <w:tcW w:type="dxa" w:w="2470"/>
            <w:vAlign w:val="center"/>
          </w:tcPr>
          <w:p>
            <w:pPr>
              <w:autoSpaceDE w:val="0"/>
              <w:autoSpaceDN w:val="0"/>
              <w:adjustRightInd w:val="0"/>
              <w:spacing w:before="29" w:line="360" w:lineRule="auto"/>
              <w:ind w:left="15"/>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待摊费用</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8</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9</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743,387.25</w:t>
            </w:r>
          </w:p>
        </w:tc>
      </w:tr>
    </w:tbl>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本基金本报告期末未持有处于转股期的可转换债券。</w:t>
      </w:r>
    </w:p>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本基金本报告期末前十名股票中不存在流通受限情况。</w:t>
      </w:r>
    </w:p>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因四舍五入的原因，投资组合报告中分项之和与合计数可能存在尾差。</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Style w:val="30"/>
        <w:tblW w:type="dxa" w:w="8634"/>
        <w:tblInd w:type="dxa" w:w="-106"/>
        <w:tblLayout w:type="fixed"/>
        <w:tblCellMar>
          <w:top w:type="dxa" w:w="0"/>
          <w:left w:type="dxa" w:w="108"/>
          <w:bottom w:type="dxa" w:w="0"/>
          <w:right w:type="dxa" w:w="108"/>
        </w:tblCellMar>
      </w:tblPr>
      <w:tblGrid>
        <w:gridCol w:w="4609"/>
        <w:gridCol w:w="4025"/>
      </w:tblGrid>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1,101,782,277.16</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140,753,909.19</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53,849,182.34</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1,188,687,004.01</w:t>
            </w:r>
          </w:p>
        </w:tc>
      </w:tr>
    </w:tbl>
    <w:p>
      <w:pPr>
        <w:pStyle w:val="2"/>
        <w:tabs>
          <w:tab w:pos="4156" w:val="center"/>
          <w:tab w:pos="8312" w:val="right"/>
        </w:tabs>
        <w:spacing w:afterLines="100"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基金管理人运用固有资金投资本基金情况</w:t>
      </w:r>
    </w:p>
    <w:p>
      <w:pPr>
        <w:spacing w:line="360" w:lineRule="auto"/>
        <w:jc w:val="left"/>
        <w:rPr>
          <w:color w:themeColor="text1" w:val="000000"/>
          <w:sz w:val="24"/>
          <w:szCs w:val="24"/>
        </w:rPr>
      </w:pPr>
      <w:r>
        <w:rPr>
          <w:b/>
          <w:color w:themeColor="text1" w:val="000000"/>
          <w:sz w:val="24"/>
        </w:rPr>
        <w:t xml:space="preserve">7.1 </w:t>
      </w:r>
      <w:r>
        <w:rPr>
          <w:rFonts w:hint="eastAsia"/>
          <w:b/>
          <w:color w:themeColor="text1" w:val="000000"/>
          <w:sz w:val="24"/>
        </w:rPr>
        <w:t>基金管理人持有本基金份额变动情况</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无。</w:t>
      </w:r>
    </w:p>
    <w:p>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1、中国证监会批准上投摩根中国优势证券投资基金设立的文件；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2、《上投摩根中国优势证券投资基金基金合同》；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3、《上投摩根中国优势证券投资基金托管协议》；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4、《上投摩根开放式基金业务规则》；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5、基金管理人业务资格批件、营业执照；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6、基金托管人业务资格批件和营业执照</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基金管理人或基金托管人处。</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投资者可在营业时间免费查阅，也可按工本费购买复印件。</w:t>
      </w: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上投摩根基金管理有限公司</w:t>
      </w:r>
    </w:p>
    <w:p>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二〇一九年七月十六日</w:t>
      </w:r>
    </w:p>
    <w:p>
      <w:pPr>
        <w:spacing w:line="360" w:lineRule="auto"/>
        <w:ind w:left="840"/>
        <w:jc w:val="right"/>
        <w:rPr>
          <w:rFonts w:asciiTheme="minorEastAsia" w:eastAsiaTheme="minorEastAsia" w:hAnsiTheme="minorEastAsia"/>
          <w:b/>
          <w:bCs/>
          <w:color w:themeColor="text1" w:val="000000"/>
          <w:sz w:val="24"/>
          <w:szCs w:val="24"/>
        </w:rPr>
      </w:pPr>
    </w:p>
    <w:p>
      <w:pPr>
        <w:rPr>
          <w:rFonts w:asciiTheme="minorEastAsia" w:eastAsiaTheme="minorEastAsia" w:hAnsiTheme="minorEastAsia"/>
          <w:color w:themeColor="text1" w:val="000000"/>
          <w:sz w:val="24"/>
          <w:szCs w:val="24"/>
        </w:rPr>
      </w:pPr>
    </w:p>
    <w:sectPr>
      <w:footerReference r:id="rId5" w:type="default"/>
      <w:pgSz w:h="16838" w:w="11906"/>
      <w:pgMar w:bottom="1440" w:footer="992" w:gutter="0" w:header="851" w:left="1797" w:right="1797"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5"/>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5"/>
      <w:framePr w:hAnchor="margin" w:vAnchor="text" w:wrap="around" w:xAlign="center" w:y="1"/>
      <w:rPr>
        <w:rStyle w:val="25"/>
      </w:rPr>
    </w:pPr>
    <w:r>
      <w:rPr>
        <w:rStyle w:val="25"/>
      </w:rPr>
      <w:fldChar w:fldCharType="begin"/>
    </w:r>
    <w:r>
      <w:rPr>
        <w:rStyle w:val="25"/>
      </w:rPr>
      <w:instrText xml:space="preserve">PAGE  </w:instrText>
    </w:r>
    <w:r>
      <w:rPr>
        <w:rStyle w:val="25"/>
      </w:rPr>
      <w:fldChar w:fldCharType="separate"/>
    </w:r>
    <w:r>
      <w:rPr>
        <w:rStyle w:val="25"/>
      </w:rPr>
      <w:t>24</w:t>
    </w:r>
    <w:r>
      <w:rPr>
        <w:rStyle w:val="25"/>
      </w:rPr>
      <w:fldChar w:fldCharType="end"/>
    </w:r>
  </w:p>
  <w:p>
    <w:pPr>
      <w:pStyle w:val="15"/>
    </w:pPr>
  </w:p>
</w:ftr>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6"/>
      <w:pBdr>
        <w:bottom w:color="auto" w:space="0" w:sz="6" w:val="single"/>
      </w:pBdr>
      <w:jc w:val="right"/>
    </w:pPr>
    <w:r>
      <w:rPr>
        <w:rFonts w:hint="eastAsia"/>
      </w:rPr>
      <w:t/>
    </w:r>
    <w:r>
      <w:t/>
    </w:r>
    <w:r>
      <w:rPr>
        <w:rFonts w:hint="eastAsia"/>
      </w:rPr>
      <w:t/>
    </w:r>
    <w:r>
      <w:t/>
    </w:r>
    <w:r>
      <w:rPr>
        <w:rFonts w:hint="eastAsia"/>
      </w:rPr>
      <w:t>上投摩根中国优势证券投资基金2019年第2季度报告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val="1"/>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docDefaults>
    <w:rPrDefault>
      <w:rPr>
        <w:rFonts w:asciiTheme="minorHAnsi" w:cstheme="minorBidi" w:eastAsiaTheme="minorEastAsia" w:hAnsiTheme="minorHAnsi"/>
      </w:rPr>
    </w:rPrDefault>
  </w:docDefaults>
  <w:latentStyles w:count="260" w:defLockedState="0" w:defQFormat="0" w:defSemiHidden="1" w:defUIPriority="99" w:defUnhideWhenUsed="1">
    <w:lsdException w:name="Normal" w:qFormat="1" w:semiHidden="0" w:uiPriority="0" w:unhideWhenUsed="0"/>
    <w:lsdException w:name="heading 1" w:qFormat="1" w:semiHidden="0" w:uiPriority="99" w:unhideWhenUsed="0"/>
    <w:lsdException w:name="heading 2" w:qFormat="1" w:semiHidden="0" w:uiPriority="99" w:unhideWhenUsed="0"/>
    <w:lsdException w:name="heading 3" w:qFormat="1" w:semiHidden="0" w:uiPriority="99"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index 1" w:qFormat="1" w:uiPriority="99" w:unhideWhenUsed="0"/>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unhideWhenUsed="0"/>
    <w:lsdException w:name="footnote text" w:semiHidden="0" w:uiPriority="0" w:unhideWhenUsed="0"/>
    <w:lsdException w:name="annotation text" w:qFormat="1" w:uiPriority="99" w:unhideWhenUsed="0"/>
    <w:lsdException w:name="header" w:semiHidden="0" w:uiPriority="99" w:unhideWhenUsed="0"/>
    <w:lsdException w:name="footer" w:qFormat="1" w:semiHidden="0" w:uiPriority="99" w:unhideWhenUsed="0"/>
    <w:lsdException w:name="index heading" w:uiPriority="99"/>
    <w:lsdException w:name="caption" w:qFormat="1" w:uiPriority="35"/>
    <w:lsdException w:name="table of figures" w:uiPriority="99"/>
    <w:lsdException w:name="envelope address" w:uiPriority="99"/>
    <w:lsdException w:name="envelope return" w:uiPriority="99"/>
    <w:lsdException w:name="footnote reference" w:semiHidden="0" w:uiPriority="0" w:unhideWhenUsed="0"/>
    <w:lsdException w:name="annotation reference" w:qFormat="1" w:uiPriority="99" w:unhideWhenUsed="0"/>
    <w:lsdException w:name="line number" w:uiPriority="99"/>
    <w:lsdException w:name="page number" w:semiHidden="0" w:uiPriority="99" w:unhideWhenUsed="0"/>
    <w:lsdException w:name="endnote reference" w:uiPriority="99"/>
    <w:lsdException w:name="endnote text" w:uiPriority="99"/>
    <w:lsdException w:name="table of authorities" w:uiPriority="99"/>
    <w:lsdException w:name="macro" w:uiPriority="99"/>
    <w:lsdException w:name="toa heading" w:uiPriority="99"/>
    <w:lsdException w:name="List" w:semiHidden="0" w:uiPriority="99"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semiHidden="0" w:uiPriority="99" w:unhideWhenUsed="0"/>
    <w:lsdException w:name="Closing" w:uiPriority="99"/>
    <w:lsdException w:name="Signature" w:uiPriority="99"/>
    <w:lsdException w:name="Default Paragraph Font" w:qFormat="1" w:uiPriority="1"/>
    <w:lsdException w:name="Body Text" w:qFormat="1" w:semiHidden="0" w:uiPriority="99" w:unhideWhenUsed="0"/>
    <w:lsdException w:name="Body Text Indent" w:semiHidden="0" w:uiPriority="99" w:unhideWhenUsed="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semiHidden="0" w:uiPriority="11" w:unhideWhenUsed="0"/>
    <w:lsdException w:name="Salutation" w:uiPriority="99"/>
    <w:lsdException w:name="Date" w:qFormat="1" w:semiHidden="0" w:uiPriority="0" w:unhideWhenUsed="0"/>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semiHidden="0" w:uiPriority="99" w:unhideWhenUsed="0"/>
    <w:lsdException w:name="Body Text Indent 3" w:semiHidden="0" w:uiPriority="99" w:unhideWhenUsed="0"/>
    <w:lsdException w:name="Block Text" w:uiPriority="99"/>
    <w:lsdException w:name="Hyperlink" w:semiHidden="0" w:uiPriority="99" w:unhideWhenUsed="0"/>
    <w:lsdException w:name="FollowedHyperlink" w:qFormat="1" w:semiHidden="0" w:uiPriority="99" w:unhideWhenUsed="0"/>
    <w:lsdException w:name="Strong" w:qFormat="1" w:semiHidden="0" w:uiPriority="22" w:unhideWhenUsed="0"/>
    <w:lsdException w:name="Emphasis" w:qFormat="1" w:semiHidden="0" w:uiPriority="20" w:unhideWhenUsed="0"/>
    <w:lsdException w:name="Document Map" w:uiPriority="99" w:unhideWhenUsed="0"/>
    <w:lsdException w:name="Plain Text" w:semiHidden="0" w:uiPriority="99" w:unhideWhenUsed="0"/>
    <w:lsdException w:name="E-mail Signature" w:uiPriority="99"/>
    <w:lsdException w:name="Normal (Web)" w:semiHidden="0" w:uiPriority="99" w:unhideWhenUsed="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qFormat="1" w:uiPriority="99"/>
    <w:lsdException w:name="annotation subject" w:qFormat="1" w:uiPriority="99" w:unhideWhenUsed="0"/>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uiPriority="99" w:unhideWhenUsed="0"/>
    <w:lsdException w:name="Table Grid" w:semiHidden="0" w:uiPriority="99" w:unhideWhenUsed="0"/>
    <w:lsdException w:name="Table Theme"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1" w:type="paragraph">
    <w:name w:val="Normal"/>
    <w:qFormat/>
    <w:uiPriority w:val="0"/>
    <w:pPr>
      <w:widowControl w:val="0"/>
      <w:jc w:val="both"/>
    </w:pPr>
    <w:rPr>
      <w:rFonts w:ascii="Times New Roman" w:cs="Times New Roman" w:eastAsia="宋体" w:hAnsi="Times New Roman"/>
      <w:kern w:val="2"/>
      <w:sz w:val="21"/>
      <w:szCs w:val="21"/>
      <w:lang w:bidi="ar-SA" w:eastAsia="zh-CN" w:val="en-US"/>
    </w:rPr>
  </w:style>
  <w:style w:styleId="2" w:type="paragraph">
    <w:name w:val="heading 1"/>
    <w:basedOn w:val="1"/>
    <w:next w:val="1"/>
    <w:link w:val="32"/>
    <w:qFormat/>
    <w:uiPriority w:val="99"/>
    <w:pPr>
      <w:keepNext/>
      <w:keepLines/>
      <w:spacing w:after="330" w:before="340" w:line="578" w:lineRule="auto"/>
      <w:outlineLvl w:val="0"/>
    </w:pPr>
    <w:rPr>
      <w:b/>
      <w:bCs/>
      <w:kern w:val="44"/>
      <w:sz w:val="44"/>
      <w:szCs w:val="44"/>
    </w:rPr>
  </w:style>
  <w:style w:styleId="3" w:type="paragraph">
    <w:name w:val="heading 2"/>
    <w:basedOn w:val="1"/>
    <w:next w:val="4"/>
    <w:link w:val="33"/>
    <w:qFormat/>
    <w:uiPriority w:val="99"/>
    <w:pPr>
      <w:keepNext/>
      <w:keepLines/>
      <w:spacing w:after="260" w:before="260" w:line="360" w:lineRule="auto"/>
      <w:outlineLvl w:val="1"/>
    </w:pPr>
    <w:rPr>
      <w:rFonts w:ascii="Arial" w:cs="Arial" w:hAnsi="Arial"/>
      <w:b/>
      <w:bCs/>
      <w:sz w:val="24"/>
      <w:szCs w:val="24"/>
    </w:rPr>
  </w:style>
  <w:style w:styleId="5" w:type="paragraph">
    <w:name w:val="heading 3"/>
    <w:basedOn w:val="1"/>
    <w:next w:val="1"/>
    <w:link w:val="34"/>
    <w:qFormat/>
    <w:uiPriority w:val="99"/>
    <w:pPr>
      <w:keepNext/>
      <w:keepLines/>
      <w:spacing w:after="260" w:before="260" w:line="416" w:lineRule="auto"/>
      <w:outlineLvl w:val="2"/>
    </w:pPr>
    <w:rPr>
      <w:b/>
      <w:bCs/>
      <w:sz w:val="32"/>
      <w:szCs w:val="32"/>
    </w:rPr>
  </w:style>
  <w:style w:default="1" w:styleId="23" w:type="character">
    <w:name w:val="Default Paragraph Font"/>
    <w:unhideWhenUsed/>
    <w:qFormat/>
    <w:uiPriority w:val="1"/>
  </w:style>
  <w:style w:default="1" w:styleId="30" w:type="table">
    <w:name w:val="Normal Table"/>
    <w:unhideWhenUsed/>
    <w:qFormat/>
    <w:uiPriority w:val="99"/>
    <w:tblPr>
      <w:tblLayout w:type="fixed"/>
      <w:tblCellMar>
        <w:top w:type="dxa" w:w="0"/>
        <w:left w:type="dxa" w:w="108"/>
        <w:bottom w:type="dxa" w:w="0"/>
        <w:right w:type="dxa" w:w="108"/>
      </w:tblCellMar>
    </w:tblPr>
  </w:style>
  <w:style w:styleId="4" w:type="paragraph">
    <w:name w:val="Normal Indent"/>
    <w:basedOn w:val="1"/>
    <w:uiPriority w:val="99"/>
    <w:pPr>
      <w:ind w:firstLine="420" w:firstLineChars="200"/>
    </w:pPr>
  </w:style>
  <w:style w:styleId="6" w:type="paragraph">
    <w:name w:val="annotation subject"/>
    <w:basedOn w:val="7"/>
    <w:next w:val="7"/>
    <w:link w:val="62"/>
    <w:semiHidden/>
    <w:qFormat/>
    <w:uiPriority w:val="99"/>
    <w:rPr>
      <w:b/>
      <w:bCs/>
    </w:rPr>
  </w:style>
  <w:style w:styleId="7" w:type="paragraph">
    <w:name w:val="annotation text"/>
    <w:basedOn w:val="1"/>
    <w:link w:val="61"/>
    <w:semiHidden/>
    <w:qFormat/>
    <w:uiPriority w:val="99"/>
    <w:pPr>
      <w:jc w:val="left"/>
    </w:pPr>
  </w:style>
  <w:style w:styleId="8" w:type="paragraph">
    <w:name w:val="Document Map"/>
    <w:basedOn w:val="1"/>
    <w:link w:val="64"/>
    <w:semiHidden/>
    <w:uiPriority w:val="99"/>
    <w:pPr>
      <w:shd w:color="auto" w:fill="000080" w:val="clear"/>
    </w:pPr>
  </w:style>
  <w:style w:styleId="9" w:type="paragraph">
    <w:name w:val="Body Text"/>
    <w:basedOn w:val="1"/>
    <w:link w:val="41"/>
    <w:qFormat/>
    <w:uiPriority w:val="99"/>
    <w:pPr>
      <w:spacing w:after="120"/>
    </w:pPr>
  </w:style>
  <w:style w:styleId="10" w:type="paragraph">
    <w:name w:val="Body Text Indent"/>
    <w:basedOn w:val="1"/>
    <w:link w:val="35"/>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11" w:type="paragraph">
    <w:name w:val="Plain Text"/>
    <w:basedOn w:val="1"/>
    <w:link w:val="36"/>
    <w:uiPriority w:val="99"/>
    <w:rPr>
      <w:rFonts w:ascii="宋体" w:cs="宋体" w:hAnsi="Courier New"/>
    </w:rPr>
  </w:style>
  <w:style w:styleId="12" w:type="paragraph">
    <w:name w:val="Date"/>
    <w:basedOn w:val="1"/>
    <w:next w:val="1"/>
    <w:link w:val="42"/>
    <w:qFormat/>
    <w:uiPriority w:val="0"/>
    <w:rPr>
      <w:sz w:val="24"/>
      <w:szCs w:val="24"/>
    </w:rPr>
  </w:style>
  <w:style w:styleId="13" w:type="paragraph">
    <w:name w:val="Body Text Indent 2"/>
    <w:basedOn w:val="1"/>
    <w:link w:val="37"/>
    <w:qFormat/>
    <w:uiPriority w:val="99"/>
    <w:pPr>
      <w:spacing w:line="560" w:lineRule="exact"/>
      <w:ind w:firstLine="480" w:firstLineChars="200"/>
    </w:pPr>
    <w:rPr>
      <w:rFonts w:ascii="宋体" w:cs="宋体" w:hAnsi="宋体"/>
      <w:color w:val="FF0000"/>
      <w:sz w:val="24"/>
      <w:szCs w:val="24"/>
    </w:rPr>
  </w:style>
  <w:style w:styleId="14" w:type="paragraph">
    <w:name w:val="Balloon Text"/>
    <w:basedOn w:val="1"/>
    <w:link w:val="60"/>
    <w:semiHidden/>
    <w:qFormat/>
    <w:uiPriority w:val="99"/>
    <w:rPr>
      <w:sz w:val="18"/>
      <w:szCs w:val="18"/>
    </w:rPr>
  </w:style>
  <w:style w:styleId="15" w:type="paragraph">
    <w:name w:val="footer"/>
    <w:basedOn w:val="1"/>
    <w:link w:val="38"/>
    <w:qFormat/>
    <w:uiPriority w:val="99"/>
    <w:pPr>
      <w:tabs>
        <w:tab w:pos="4153" w:val="center"/>
        <w:tab w:pos="8306" w:val="right"/>
      </w:tabs>
      <w:snapToGrid w:val="0"/>
      <w:jc w:val="left"/>
    </w:pPr>
    <w:rPr>
      <w:sz w:val="18"/>
      <w:szCs w:val="18"/>
    </w:rPr>
  </w:style>
  <w:style w:styleId="16" w:type="paragraph">
    <w:name w:val="header"/>
    <w:basedOn w:val="1"/>
    <w:link w:val="40"/>
    <w:uiPriority w:val="99"/>
    <w:pPr>
      <w:pBdr>
        <w:bottom w:color="auto" w:space="1" w:sz="6" w:val="single"/>
      </w:pBdr>
      <w:tabs>
        <w:tab w:pos="4153" w:val="center"/>
        <w:tab w:pos="8306" w:val="right"/>
      </w:tabs>
      <w:snapToGrid w:val="0"/>
      <w:jc w:val="center"/>
    </w:pPr>
    <w:rPr>
      <w:sz w:val="18"/>
      <w:szCs w:val="18"/>
    </w:rPr>
  </w:style>
  <w:style w:styleId="17" w:type="paragraph">
    <w:name w:val="List"/>
    <w:basedOn w:val="9"/>
    <w:uiPriority w:val="99"/>
    <w:pPr>
      <w:spacing w:after="220" w:line="220" w:lineRule="atLeast"/>
      <w:ind w:hanging="360" w:left="1440"/>
    </w:pPr>
  </w:style>
  <w:style w:styleId="18" w:type="paragraph">
    <w:name w:val="footnote text"/>
    <w:basedOn w:val="1"/>
    <w:link w:val="66"/>
    <w:uiPriority w:val="0"/>
    <w:pPr>
      <w:snapToGrid w:val="0"/>
      <w:jc w:val="left"/>
    </w:pPr>
    <w:rPr>
      <w:sz w:val="18"/>
      <w:szCs w:val="18"/>
    </w:rPr>
  </w:style>
  <w:style w:styleId="19" w:type="paragraph">
    <w:name w:val="Body Text Indent 3"/>
    <w:basedOn w:val="1"/>
    <w:link w:val="39"/>
    <w:uiPriority w:val="99"/>
    <w:pPr>
      <w:spacing w:line="560" w:lineRule="exact"/>
      <w:ind w:firstLine="420" w:firstLineChars="200"/>
    </w:pPr>
    <w:rPr>
      <w:rFonts w:ascii="Arial" w:cs="Arial" w:hAnsi="Arial"/>
      <w:color w:val="FF0000"/>
    </w:rPr>
  </w:style>
  <w:style w:styleId="20" w:type="paragraph">
    <w:name w:val="Normal (Web)"/>
    <w:basedOn w:val="1"/>
    <w:uiPriority w:val="99"/>
    <w:pPr>
      <w:widowControl/>
      <w:spacing w:after="100" w:afterAutospacing="1" w:before="100" w:beforeAutospacing="1"/>
      <w:jc w:val="left"/>
    </w:pPr>
    <w:rPr>
      <w:rFonts w:ascii="宋体" w:cs="宋体" w:hAnsi="宋体"/>
      <w:kern w:val="0"/>
      <w:sz w:val="24"/>
      <w:szCs w:val="24"/>
    </w:rPr>
  </w:style>
  <w:style w:styleId="21" w:type="paragraph">
    <w:name w:val="index 1"/>
    <w:basedOn w:val="1"/>
    <w:next w:val="1"/>
    <w:semiHidden/>
    <w:qFormat/>
    <w:uiPriority w:val="99"/>
    <w:pPr>
      <w:jc w:val="right"/>
    </w:pPr>
    <w:rPr>
      <w:color w:val="008000"/>
    </w:rPr>
  </w:style>
  <w:style w:styleId="22" w:type="paragraph">
    <w:name w:val="Title"/>
    <w:basedOn w:val="1"/>
    <w:next w:val="1"/>
    <w:link w:val="70"/>
    <w:qFormat/>
    <w:uiPriority w:val="99"/>
    <w:pPr>
      <w:spacing w:after="60" w:before="240"/>
      <w:jc w:val="center"/>
      <w:outlineLvl w:val="0"/>
    </w:pPr>
    <w:rPr>
      <w:rFonts w:ascii="Cambria" w:cs="Cambria" w:hAnsi="Cambria"/>
      <w:b/>
      <w:bCs/>
      <w:sz w:val="32"/>
      <w:szCs w:val="32"/>
    </w:rPr>
  </w:style>
  <w:style w:styleId="24" w:type="character">
    <w:name w:val="Strong"/>
    <w:basedOn w:val="23"/>
    <w:qFormat/>
    <w:uiPriority w:val="22"/>
    <w:rPr>
      <w:b/>
      <w:bCs/>
    </w:rPr>
  </w:style>
  <w:style w:styleId="25" w:type="character">
    <w:name w:val="page number"/>
    <w:basedOn w:val="23"/>
    <w:uiPriority w:val="99"/>
  </w:style>
  <w:style w:styleId="26" w:type="character">
    <w:name w:val="FollowedHyperlink"/>
    <w:basedOn w:val="23"/>
    <w:qFormat/>
    <w:uiPriority w:val="99"/>
    <w:rPr>
      <w:color w:val="800080"/>
      <w:u w:val="single"/>
    </w:rPr>
  </w:style>
  <w:style w:styleId="27" w:type="character">
    <w:name w:val="Hyperlink"/>
    <w:basedOn w:val="23"/>
    <w:uiPriority w:val="99"/>
    <w:rPr>
      <w:color w:val="0000FF"/>
      <w:u w:val="single"/>
    </w:rPr>
  </w:style>
  <w:style w:styleId="28" w:type="character">
    <w:name w:val="annotation reference"/>
    <w:basedOn w:val="23"/>
    <w:semiHidden/>
    <w:qFormat/>
    <w:uiPriority w:val="99"/>
    <w:rPr>
      <w:sz w:val="21"/>
      <w:szCs w:val="21"/>
    </w:rPr>
  </w:style>
  <w:style w:styleId="29" w:type="character">
    <w:name w:val="footnote reference"/>
    <w:basedOn w:val="23"/>
    <w:uiPriority w:val="0"/>
    <w:rPr>
      <w:vertAlign w:val="superscript"/>
    </w:rPr>
  </w:style>
  <w:style w:styleId="31" w:type="table">
    <w:name w:val="Table Grid"/>
    <w:basedOn w:val="30"/>
    <w:uiPriority w:val="99"/>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style>
  <w:style w:customStyle="1" w:styleId="32" w:type="character">
    <w:name w:val="标题 1 Char"/>
    <w:basedOn w:val="23"/>
    <w:link w:val="2"/>
    <w:uiPriority w:val="99"/>
    <w:rPr>
      <w:rFonts w:ascii="Times New Roman" w:cs="Times New Roman" w:eastAsia="宋体" w:hAnsi="Times New Roman"/>
      <w:b/>
      <w:bCs/>
      <w:kern w:val="44"/>
      <w:sz w:val="44"/>
      <w:szCs w:val="44"/>
    </w:rPr>
  </w:style>
  <w:style w:customStyle="1" w:styleId="33" w:type="character">
    <w:name w:val="标题 2 Char"/>
    <w:basedOn w:val="23"/>
    <w:link w:val="3"/>
    <w:uiPriority w:val="99"/>
    <w:rPr>
      <w:rFonts w:ascii="Arial" w:cs="Arial" w:eastAsia="宋体" w:hAnsi="Arial"/>
      <w:b/>
      <w:bCs/>
      <w:sz w:val="24"/>
      <w:szCs w:val="24"/>
    </w:rPr>
  </w:style>
  <w:style w:customStyle="1" w:styleId="34" w:type="character">
    <w:name w:val="标题 3 Char"/>
    <w:basedOn w:val="23"/>
    <w:link w:val="5"/>
    <w:uiPriority w:val="99"/>
    <w:rPr>
      <w:rFonts w:ascii="Times New Roman" w:cs="Times New Roman" w:eastAsia="宋体" w:hAnsi="Times New Roman"/>
      <w:b/>
      <w:bCs/>
      <w:sz w:val="32"/>
      <w:szCs w:val="32"/>
    </w:rPr>
  </w:style>
  <w:style w:customStyle="1" w:styleId="35" w:type="character">
    <w:name w:val="正文文本缩进 Char"/>
    <w:basedOn w:val="23"/>
    <w:link w:val="10"/>
    <w:uiPriority w:val="99"/>
    <w:rPr>
      <w:rFonts w:ascii="Arial Unicode MS" w:cs="Arial Unicode MS" w:eastAsia="Arial Unicode MS" w:hAnsi="Arial Unicode MS"/>
      <w:kern w:val="0"/>
      <w:sz w:val="24"/>
      <w:szCs w:val="24"/>
    </w:rPr>
  </w:style>
  <w:style w:customStyle="1" w:styleId="36" w:type="character">
    <w:name w:val="纯文本 Char"/>
    <w:basedOn w:val="23"/>
    <w:link w:val="11"/>
    <w:uiPriority w:val="99"/>
    <w:rPr>
      <w:rFonts w:ascii="宋体" w:cs="宋体" w:eastAsia="宋体" w:hAnsi="Courier New"/>
      <w:szCs w:val="21"/>
    </w:rPr>
  </w:style>
  <w:style w:customStyle="1" w:styleId="37" w:type="character">
    <w:name w:val="正文文本缩进 2 Char"/>
    <w:basedOn w:val="23"/>
    <w:link w:val="13"/>
    <w:uiPriority w:val="99"/>
    <w:rPr>
      <w:rFonts w:ascii="宋体" w:cs="宋体" w:eastAsia="宋体" w:hAnsi="宋体"/>
      <w:color w:val="FF0000"/>
      <w:sz w:val="24"/>
      <w:szCs w:val="24"/>
    </w:rPr>
  </w:style>
  <w:style w:customStyle="1" w:styleId="38" w:type="character">
    <w:name w:val="页脚 Char"/>
    <w:basedOn w:val="23"/>
    <w:link w:val="15"/>
    <w:uiPriority w:val="99"/>
    <w:rPr>
      <w:rFonts w:ascii="Times New Roman" w:cs="Times New Roman" w:eastAsia="宋体" w:hAnsi="Times New Roman"/>
      <w:sz w:val="18"/>
      <w:szCs w:val="18"/>
    </w:rPr>
  </w:style>
  <w:style w:customStyle="1" w:styleId="39" w:type="character">
    <w:name w:val="正文文本缩进 3 Char"/>
    <w:basedOn w:val="23"/>
    <w:link w:val="19"/>
    <w:uiPriority w:val="99"/>
    <w:rPr>
      <w:rFonts w:ascii="Arial" w:cs="Arial" w:eastAsia="宋体" w:hAnsi="Arial"/>
      <w:color w:val="FF0000"/>
      <w:szCs w:val="21"/>
    </w:rPr>
  </w:style>
  <w:style w:customStyle="1" w:styleId="40" w:type="character">
    <w:name w:val="页眉 Char"/>
    <w:basedOn w:val="23"/>
    <w:link w:val="16"/>
    <w:uiPriority w:val="99"/>
    <w:rPr>
      <w:rFonts w:ascii="Times New Roman" w:cs="Times New Roman" w:eastAsia="宋体" w:hAnsi="Times New Roman"/>
      <w:sz w:val="18"/>
      <w:szCs w:val="18"/>
    </w:rPr>
  </w:style>
  <w:style w:customStyle="1" w:styleId="41" w:type="character">
    <w:name w:val="正文文本 Char"/>
    <w:basedOn w:val="23"/>
    <w:link w:val="9"/>
    <w:qFormat/>
    <w:uiPriority w:val="99"/>
    <w:rPr>
      <w:rFonts w:ascii="Times New Roman" w:cs="Times New Roman" w:eastAsia="宋体" w:hAnsi="Times New Roman"/>
      <w:szCs w:val="21"/>
    </w:rPr>
  </w:style>
  <w:style w:customStyle="1" w:styleId="42" w:type="character">
    <w:name w:val="日期 Char"/>
    <w:basedOn w:val="23"/>
    <w:link w:val="12"/>
    <w:qFormat/>
    <w:uiPriority w:val="0"/>
    <w:rPr>
      <w:rFonts w:ascii="Times New Roman" w:cs="Times New Roman" w:eastAsia="宋体" w:hAnsi="Times New Roman"/>
      <w:sz w:val="24"/>
      <w:szCs w:val="24"/>
    </w:rPr>
  </w:style>
  <w:style w:customStyle="1" w:styleId="43" w:type="character">
    <w:name w:val="c1"/>
    <w:basedOn w:val="23"/>
    <w:qFormat/>
    <w:uiPriority w:val="99"/>
    <w:rPr>
      <w:color w:val="000000"/>
      <w:sz w:val="18"/>
      <w:szCs w:val="18"/>
    </w:rPr>
  </w:style>
  <w:style w:customStyle="1" w:styleId="44" w:type="paragraph">
    <w:name w:val="font5"/>
    <w:basedOn w:val="1"/>
    <w:qFormat/>
    <w:uiPriority w:val="99"/>
    <w:pPr>
      <w:widowControl/>
      <w:spacing w:after="100" w:afterAutospacing="1" w:before="100" w:beforeAutospacing="1"/>
      <w:jc w:val="left"/>
    </w:pPr>
    <w:rPr>
      <w:rFonts w:ascii="宋体" w:cs="宋体" w:hAnsi="宋体"/>
      <w:kern w:val="0"/>
      <w:sz w:val="18"/>
      <w:szCs w:val="18"/>
    </w:rPr>
  </w:style>
  <w:style w:customStyle="1" w:styleId="45" w:type="paragraph">
    <w:name w:val="xl24"/>
    <w:basedOn w:val="1"/>
    <w:qFormat/>
    <w:uiPriority w:val="99"/>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46" w:type="paragraph">
    <w:name w:val="xl25"/>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47" w:type="paragraph">
    <w:name w:val="xl26"/>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48" w:type="paragraph">
    <w:name w:val="xl27"/>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49" w:type="paragraph">
    <w:name w:val="xl28"/>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0" w:type="paragraph">
    <w:name w:val="xl29"/>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1" w:type="paragraph">
    <w:name w:val="xl30"/>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2" w:type="paragraph">
    <w:name w:val="xl31"/>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3" w:type="paragraph">
    <w:name w:val="xl32"/>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4" w:type="paragraph">
    <w:name w:val="xl33"/>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55" w:type="paragraph">
    <w:name w:val="xl34"/>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6" w:type="paragraph">
    <w:name w:val="xl35"/>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57" w:type="paragraph">
    <w:name w:val="xl36"/>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58" w:type="paragraph">
    <w:name w:val="xl37"/>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59" w:type="paragraph">
    <w:name w:val="xl38"/>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60" w:type="character">
    <w:name w:val="批注框文本 Char"/>
    <w:basedOn w:val="23"/>
    <w:link w:val="14"/>
    <w:semiHidden/>
    <w:qFormat/>
    <w:uiPriority w:val="99"/>
    <w:rPr>
      <w:rFonts w:ascii="Times New Roman" w:cs="Times New Roman" w:eastAsia="宋体" w:hAnsi="Times New Roman"/>
      <w:sz w:val="18"/>
      <w:szCs w:val="18"/>
    </w:rPr>
  </w:style>
  <w:style w:customStyle="1" w:styleId="61" w:type="character">
    <w:name w:val="批注文字 Char"/>
    <w:basedOn w:val="23"/>
    <w:link w:val="7"/>
    <w:semiHidden/>
    <w:qFormat/>
    <w:uiPriority w:val="99"/>
    <w:rPr>
      <w:rFonts w:ascii="Times New Roman" w:cs="Times New Roman" w:eastAsia="宋体" w:hAnsi="Times New Roman"/>
      <w:szCs w:val="21"/>
    </w:rPr>
  </w:style>
  <w:style w:customStyle="1" w:styleId="62" w:type="character">
    <w:name w:val="批注主题 Char"/>
    <w:basedOn w:val="61"/>
    <w:link w:val="6"/>
    <w:semiHidden/>
    <w:qFormat/>
    <w:uiPriority w:val="99"/>
    <w:rPr>
      <w:rFonts w:ascii="Times New Roman" w:cs="Times New Roman" w:eastAsia="宋体" w:hAnsi="Times New Roman"/>
      <w:b/>
      <w:bCs/>
      <w:szCs w:val="21"/>
    </w:rPr>
  </w:style>
  <w:style w:customStyle="1" w:styleId="63" w:type="paragraph">
    <w:name w:val="Char"/>
    <w:basedOn w:val="1"/>
    <w:qFormat/>
    <w:uiPriority w:val="99"/>
  </w:style>
  <w:style w:customStyle="1" w:styleId="64" w:type="character">
    <w:name w:val="文档结构图 Char"/>
    <w:basedOn w:val="23"/>
    <w:link w:val="8"/>
    <w:semiHidden/>
    <w:uiPriority w:val="99"/>
    <w:rPr>
      <w:rFonts w:ascii="Times New Roman" w:cs="Times New Roman" w:eastAsia="宋体" w:hAnsi="Times New Roman"/>
      <w:szCs w:val="21"/>
      <w:shd w:color="auto" w:fill="000080" w:val="clear"/>
    </w:rPr>
  </w:style>
  <w:style w:customStyle="1" w:styleId="65" w:type="paragraph">
    <w:name w:val="正文 + (符号) 宋体"/>
    <w:basedOn w:val="1"/>
    <w:uiPriority w:val="99"/>
    <w:pPr>
      <w:autoSpaceDE w:val="0"/>
      <w:autoSpaceDN w:val="0"/>
      <w:adjustRightInd w:val="0"/>
      <w:ind w:firstLine="1229" w:firstLineChars="512" w:right="1409" w:rightChars="671"/>
      <w:jc w:val="distribute"/>
    </w:pPr>
    <w:rPr>
      <w:sz w:val="24"/>
      <w:szCs w:val="24"/>
    </w:rPr>
  </w:style>
  <w:style w:customStyle="1" w:styleId="66" w:type="character">
    <w:name w:val="脚注文本 Char"/>
    <w:basedOn w:val="23"/>
    <w:link w:val="18"/>
    <w:uiPriority w:val="0"/>
    <w:rPr>
      <w:rFonts w:ascii="Times New Roman" w:cs="Times New Roman" w:eastAsia="宋体" w:hAnsi="Times New Roman"/>
      <w:sz w:val="18"/>
      <w:szCs w:val="18"/>
    </w:rPr>
  </w:style>
  <w:style w:customStyle="1" w:styleId="67" w:type="paragraph">
    <w:name w:val="Char1"/>
    <w:basedOn w:val="1"/>
    <w:uiPriority w:val="99"/>
  </w:style>
  <w:style w:customStyle="1" w:styleId="68" w:type="paragraph">
    <w:name w:val="Char Char Char Char Char Char1 Char Char Char"/>
    <w:basedOn w:val="1"/>
    <w:uiPriority w:val="99"/>
    <w:pPr>
      <w:autoSpaceDE w:val="0"/>
      <w:autoSpaceDN w:val="0"/>
      <w:adjustRightInd w:val="0"/>
      <w:jc w:val="left"/>
      <w:textAlignment w:val="baseline"/>
    </w:pPr>
    <w:rPr>
      <w:rFonts w:ascii="宋体" w:cs="宋体"/>
      <w:kern w:val="0"/>
      <w:sz w:val="34"/>
      <w:szCs w:val="34"/>
    </w:rPr>
  </w:style>
  <w:style w:customStyle="1" w:styleId="69" w:type="paragraph">
    <w:name w:val="Char Char Char Char Char Char1 Char Char Char2"/>
    <w:basedOn w:val="1"/>
    <w:uiPriority w:val="99"/>
    <w:pPr>
      <w:autoSpaceDE w:val="0"/>
      <w:autoSpaceDN w:val="0"/>
      <w:adjustRightInd w:val="0"/>
      <w:jc w:val="left"/>
      <w:textAlignment w:val="baseline"/>
    </w:pPr>
    <w:rPr>
      <w:rFonts w:ascii="宋体" w:cs="宋体"/>
      <w:kern w:val="0"/>
      <w:sz w:val="34"/>
      <w:szCs w:val="34"/>
    </w:rPr>
  </w:style>
  <w:style w:customStyle="1" w:styleId="70" w:type="character">
    <w:name w:val="标题 Char"/>
    <w:basedOn w:val="23"/>
    <w:link w:val="22"/>
    <w:uiPriority w:val="99"/>
    <w:rPr>
      <w:rFonts w:ascii="Cambria" w:cs="Cambria" w:eastAsia="宋体" w:hAnsi="Cambria"/>
      <w:b/>
      <w:bCs/>
      <w:sz w:val="32"/>
      <w:szCs w:val="32"/>
    </w:rPr>
  </w:style>
  <w:style w:customStyle="1" w:styleId="71" w:type="paragraph">
    <w:name w:val="Char Char Char Char Char Char1 Char Char Char1"/>
    <w:basedOn w:val="1"/>
    <w:uiPriority w:val="99"/>
    <w:pPr>
      <w:autoSpaceDE w:val="0"/>
      <w:autoSpaceDN w:val="0"/>
      <w:adjustRightInd w:val="0"/>
      <w:jc w:val="left"/>
      <w:textAlignment w:val="baseline"/>
    </w:pPr>
    <w:rPr>
      <w:rFonts w:ascii="宋体" w:cs="宋体"/>
      <w:kern w:val="0"/>
      <w:sz w:val="34"/>
      <w:szCs w:val="34"/>
    </w:rPr>
  </w:style>
  <w:style w:customStyle="1" w:styleId="72" w:type="paragraph">
    <w:name w:val="No Spacing"/>
    <w:link w:val="73"/>
    <w:qFormat/>
    <w:uiPriority w:val="1"/>
    <w:rPr>
      <w:rFonts w:ascii="Calibri" w:cs="Calibri" w:eastAsia="宋体" w:hAnsi="Calibri"/>
      <w:kern w:val="0"/>
      <w:sz w:val="22"/>
      <w:szCs w:val="22"/>
      <w:lang w:bidi="ar-SA" w:eastAsia="zh-CN" w:val="en-US"/>
    </w:rPr>
  </w:style>
  <w:style w:customStyle="1" w:styleId="73" w:type="character">
    <w:name w:val="无间隔 Char"/>
    <w:basedOn w:val="23"/>
    <w:link w:val="72"/>
    <w:locked/>
    <w:uiPriority w:val="1"/>
    <w:rPr>
      <w:rFonts w:ascii="Calibri" w:cs="Calibri" w:eastAsia="宋体" w:hAnsi="Calibri"/>
      <w:kern w:val="0"/>
      <w:sz w:val="22"/>
    </w:rPr>
  </w:style>
  <w:style w:customStyle="1" w:styleId="74" w:type="character">
    <w:name w:val="t1"/>
    <w:basedOn w:val="23"/>
    <w:uiPriority w:val="99"/>
    <w:rPr>
      <w:color w:val="auto"/>
    </w:rPr>
  </w:style>
  <w:style w:customStyle="1" w:styleId="75" w:type="paragraph">
    <w:name w:val="List Paragraph"/>
    <w:basedOn w:val="1"/>
    <w:qFormat/>
    <w:uiPriority w:val="34"/>
    <w:pPr>
      <w:ind w:firstLine="420" w:firstLineChars="200"/>
    </w:pPr>
  </w:style>
  <w:style w:customStyle="1" w:styleId="76" w:type="paragraph">
    <w:name w:val="Default"/>
    <w:uiPriority w:val="0"/>
    <w:pPr>
      <w:widowControl w:val="0"/>
      <w:autoSpaceDE w:val="0"/>
      <w:autoSpaceDN w:val="0"/>
      <w:adjustRightInd w:val="0"/>
    </w:pPr>
    <w:rPr>
      <w:rFonts w:ascii="仿宋" w:cs="仿宋" w:eastAsia="宋体" w:hAnsi="仿宋"/>
      <w:color w:val="000000"/>
      <w:kern w:val="0"/>
      <w:sz w:val="24"/>
      <w:szCs w:val="24"/>
      <w:lang w:bidi="ar-SA" w:eastAsia="zh-CN" w:val="en-US"/>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footer1.xml" Type="http://schemas.openxmlformats.org/officeDocument/2006/relationships/footer"/>
<Relationship Id="rId5" Target="footer2.xml" Type="http://schemas.openxmlformats.org/officeDocument/2006/relationships/footer"/>
<Relationship Id="rId6" Target="theme/theme1.xml" Type="http://schemas.openxmlformats.org/officeDocument/2006/relationships/theme"/>
<Relationship Id="rId7" Target="media/image1.jpeg" Type="http://schemas.openxmlformats.org/officeDocument/2006/relationships/image"/>
<Relationship Id="rId8" Target="../customXml/item1.xml" Type="http://schemas.openxmlformats.org/officeDocument/2006/relationships/customXml"/>
<Relationship Id="rId9" Target="../customXml/item2.xml" Type="http://schemas.openxmlformats.org/officeDocument/2006/relationships/custom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3834</Words>
  <Characters>21859</Characters>
  <Lines>182</Lines>
  <Paragraphs>51</Paragraphs>
  <TotalTime>0</TotalTime>
  <ScaleCrop>false</ScaleCrop>
  <LinksUpToDate>false</LinksUpToDate>
  <CharactersWithSpaces>25642</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Administrator</cp:lastModifiedBy>
  <dcterms:modified xsi:type="dcterms:W3CDTF">2017-07-11T07:07:49Z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