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上投摩根双核平衡混合型证券投资基金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B5652" w:rsidRDefault="00C36D5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B5652" w:rsidRDefault="00C36D5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B5652" w:rsidRDefault="00C36D5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B5652" w:rsidRDefault="00C36D5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B5652" w:rsidRDefault="00C36D5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上投摩根双核平衡混合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373020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2008</w:t>
            </w:r>
            <w:r w:rsidRPr="00B27A29">
              <w:rPr>
                <w:rFonts w:eastAsiaTheme="minorEastAsia"/>
                <w:color w:val="000000" w:themeColor="text1"/>
                <w:kern w:val="0"/>
                <w:szCs w:val="21"/>
              </w:rPr>
              <w:t>年</w:t>
            </w:r>
            <w:r w:rsidRPr="00B27A29">
              <w:rPr>
                <w:rFonts w:eastAsiaTheme="minorEastAsia"/>
                <w:color w:val="000000" w:themeColor="text1"/>
                <w:kern w:val="0"/>
                <w:szCs w:val="21"/>
              </w:rPr>
              <w:t>5</w:t>
            </w:r>
            <w:r w:rsidRPr="00B27A29">
              <w:rPr>
                <w:rFonts w:eastAsiaTheme="minorEastAsia"/>
                <w:color w:val="000000" w:themeColor="text1"/>
                <w:kern w:val="0"/>
                <w:szCs w:val="21"/>
              </w:rPr>
              <w:t>月</w:t>
            </w:r>
            <w:r w:rsidRPr="00B27A29">
              <w:rPr>
                <w:rFonts w:eastAsiaTheme="minorEastAsia"/>
                <w:color w:val="000000" w:themeColor="text1"/>
                <w:kern w:val="0"/>
                <w:szCs w:val="21"/>
              </w:rPr>
              <w:t>21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229,629,715.54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本基金深化价值投资理念，精选具备较高估值优势的上市公司股票与优质债券等，持续优化投资风险与收益的动态匹配，通过积极主动的组合管理，追求基金资产的长期稳定增值。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B5652" w:rsidRDefault="00C36D5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2B5652" w:rsidRDefault="00C36D5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价值投资注重股票内在价值的发现。在内在价值确定以后，通过股票市场价格和内在价值的比较，就可以明确投资方向。特别当股票的价格低于它的内在价值时，就存在一个正的安全边际。足够的安全边际使投资拥有更容易取</w:t>
            </w:r>
            <w:r>
              <w:rPr>
                <w:rFonts w:eastAsiaTheme="minorEastAsia"/>
                <w:color w:val="000000" w:themeColor="text1"/>
                <w:kern w:val="0"/>
                <w:szCs w:val="21"/>
              </w:rPr>
              <w:lastRenderedPageBreak/>
              <w:t>胜的优势，因为在价值引力作用下，股票价格更倾向于上涨。所以，安全边际越高，投资风险就会相对较低。</w:t>
            </w:r>
          </w:p>
          <w:p w:rsidR="002B5652" w:rsidRDefault="00C36D5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运用安全边际策略有效挖掘价值低估的股票类投资品种。在控制宏观经济趋势、产业发展周期等宏观经济环境变量基础上，考察上市公司的商业模式、管理能力、财务状况等影响企业持续经营的因素，然后综合运用量化价值模型来衡量股票价格是高估还是低估。根据不同的产业和行业特征，本基金将有针对性地选用不同的</w:t>
            </w:r>
            <w:r>
              <w:rPr>
                <w:rFonts w:eastAsiaTheme="minorEastAsia"/>
                <w:color w:val="000000" w:themeColor="text1"/>
                <w:kern w:val="0"/>
                <w:szCs w:val="21"/>
              </w:rPr>
              <w:t>P/E</w:t>
            </w:r>
            <w:r>
              <w:rPr>
                <w:rFonts w:eastAsiaTheme="minorEastAsia"/>
                <w:color w:val="000000" w:themeColor="text1"/>
                <w:kern w:val="0"/>
                <w:szCs w:val="21"/>
              </w:rPr>
              <w:t>、</w:t>
            </w:r>
            <w:r>
              <w:rPr>
                <w:rFonts w:eastAsiaTheme="minorEastAsia"/>
                <w:color w:val="000000" w:themeColor="text1"/>
                <w:kern w:val="0"/>
                <w:szCs w:val="21"/>
              </w:rPr>
              <w:t>P/CFPS</w:t>
            </w:r>
            <w:r>
              <w:rPr>
                <w:rFonts w:eastAsiaTheme="minorEastAsia"/>
                <w:color w:val="000000" w:themeColor="text1"/>
                <w:kern w:val="0"/>
                <w:szCs w:val="21"/>
              </w:rPr>
              <w:t>、</w:t>
            </w:r>
            <w:r>
              <w:rPr>
                <w:rFonts w:eastAsiaTheme="minorEastAsia"/>
                <w:color w:val="000000" w:themeColor="text1"/>
                <w:kern w:val="0"/>
                <w:szCs w:val="21"/>
              </w:rPr>
              <w:t>P/S</w:t>
            </w:r>
            <w:r>
              <w:rPr>
                <w:rFonts w:eastAsiaTheme="minorEastAsia"/>
                <w:color w:val="000000" w:themeColor="text1"/>
                <w:kern w:val="0"/>
                <w:szCs w:val="21"/>
              </w:rPr>
              <w:t>、</w:t>
            </w:r>
            <w:r>
              <w:rPr>
                <w:rFonts w:eastAsiaTheme="minorEastAsia"/>
                <w:color w:val="000000" w:themeColor="text1"/>
                <w:kern w:val="0"/>
                <w:szCs w:val="21"/>
              </w:rPr>
              <w:t>P/B</w:t>
            </w:r>
            <w:r>
              <w:rPr>
                <w:rFonts w:eastAsiaTheme="minorEastAsia"/>
                <w:color w:val="000000" w:themeColor="text1"/>
                <w:kern w:val="0"/>
                <w:szCs w:val="21"/>
              </w:rPr>
              <w:t>等乘数法和</w:t>
            </w:r>
            <w:r>
              <w:rPr>
                <w:rFonts w:eastAsiaTheme="minorEastAsia"/>
                <w:color w:val="000000" w:themeColor="text1"/>
                <w:kern w:val="0"/>
                <w:szCs w:val="21"/>
              </w:rPr>
              <w:t>DCF</w:t>
            </w:r>
            <w:r>
              <w:rPr>
                <w:rFonts w:eastAsiaTheme="minorEastAsia"/>
                <w:color w:val="000000" w:themeColor="text1"/>
                <w:kern w:val="0"/>
                <w:szCs w:val="21"/>
              </w:rPr>
              <w:t>增长模型建立股票选择池。</w:t>
            </w:r>
          </w:p>
          <w:p w:rsidR="002B5652" w:rsidRDefault="00C36D5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）宏观经济分析</w:t>
            </w:r>
          </w:p>
          <w:p w:rsidR="002B5652" w:rsidRDefault="00C36D5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基于对宏观经济运行状况及政策分析、财政政策与货币政策运行状况分析、行业运行景气状况分析的基础上，重点判断宏观经济周期对市场不同行业的影响，作为资产配置的依据。同时根据宏观经济对市场影响的分析，初步判断市场的多空方向，决定大类资产配置。</w:t>
            </w:r>
          </w:p>
          <w:p w:rsidR="002B5652" w:rsidRDefault="00C36D5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）行业分析</w:t>
            </w:r>
          </w:p>
          <w:p w:rsidR="002B5652" w:rsidRDefault="00C36D5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各行业所处生命周期、产业竞争结构、近期发展趋势等方面因素对各行业的相对盈利能力及投资吸引力进行评价，考察净资产收益率、营运周期、销售收入、净利润等指标，对各行业投资机会进行评估，并根据行业综合评价结果确定股票资产中各行业的权重。</w:t>
            </w:r>
          </w:p>
          <w:p w:rsidR="002B5652" w:rsidRDefault="00C36D5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）公司质地分析</w:t>
            </w:r>
          </w:p>
          <w:p w:rsidR="002B5652" w:rsidRDefault="00C36D5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企业在行业中的相对竞争力是决定企业成败和投资价值的关键，本基金将根据公司质地对上市公司当前和未来的竞争优势加以评估。公司质地良好的企业通常具备以下特征：企业在管理、品牌、资源、技术、创新能力中的某一方面或多个方面具有竞争对手在短时间内难以模仿的显著优势，从而能够获得超越行业平均的盈利水平和增长速度。本基金将通过包括实际调研在内的多种分析手段，对上市公司质地进行判断。</w:t>
            </w:r>
          </w:p>
          <w:p w:rsidR="002B5652" w:rsidRDefault="00C36D5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4</w:t>
            </w:r>
            <w:r>
              <w:rPr>
                <w:rFonts w:eastAsiaTheme="minorEastAsia"/>
                <w:color w:val="000000" w:themeColor="text1"/>
                <w:kern w:val="0"/>
                <w:szCs w:val="21"/>
              </w:rPr>
              <w:t>）股票估值水平分析</w:t>
            </w:r>
          </w:p>
          <w:p w:rsidR="002B5652" w:rsidRDefault="00C36D5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战略目标是构造可以创造主动管理报酬的投资组合，上市公司经过竞争优势指标筛选之后，将由研究团队进行估值水平考察。通过基本面和估值指标筛选的基础组合即被纳入上投摩根基金公司策略性评价体系。本基金在对股票进行估值时，首先采用现金流折现模型（</w:t>
            </w:r>
            <w:r>
              <w:rPr>
                <w:rFonts w:eastAsiaTheme="minorEastAsia"/>
                <w:color w:val="000000" w:themeColor="text1"/>
                <w:kern w:val="0"/>
                <w:szCs w:val="21"/>
              </w:rPr>
              <w:t>DCF</w:t>
            </w:r>
            <w:r>
              <w:rPr>
                <w:rFonts w:eastAsiaTheme="minorEastAsia"/>
                <w:color w:val="000000" w:themeColor="text1"/>
                <w:kern w:val="0"/>
                <w:szCs w:val="21"/>
              </w:rPr>
              <w:t>）计算出股票的内在价值，然后在第二阶段采用乘数估值法（</w:t>
            </w:r>
            <w:r>
              <w:rPr>
                <w:rFonts w:eastAsiaTheme="minorEastAsia"/>
                <w:color w:val="000000" w:themeColor="text1"/>
                <w:kern w:val="0"/>
                <w:szCs w:val="21"/>
              </w:rPr>
              <w:t>Multiple</w:t>
            </w:r>
            <w:r>
              <w:rPr>
                <w:rFonts w:eastAsiaTheme="minorEastAsia"/>
                <w:color w:val="000000" w:themeColor="text1"/>
                <w:kern w:val="0"/>
                <w:szCs w:val="21"/>
              </w:rPr>
              <w:t>），通过对对同行业公司的情况对样本公司价值进行比较修正，使得对于股票价值的评估更加准确可靠。</w:t>
            </w:r>
          </w:p>
          <w:p w:rsidR="002B5652" w:rsidRDefault="00C36D5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2B5652" w:rsidRDefault="00C36D5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债券投资策略是建立在对债券核心内在价值的认识上。我们将采用更为有效的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利率预期策略、骑乘收益曲线策略和类属资产配置策略等积极策略配置各类债券资产。</w:t>
            </w:r>
          </w:p>
          <w:p w:rsidR="002B5652" w:rsidRDefault="00C36D5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利率预期策略：本基金将首先根据对国内外经济形势的预测，分析市场投资环境的变化趋势，重点关注利率趋势变化。通过全面分析宏观经济、货币政策与财政政策、物价水平变化趋势等因素，对利率走势形成合理预期。</w:t>
            </w:r>
          </w:p>
          <w:p w:rsidR="002B5652" w:rsidRDefault="00C36D5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骑乘收益率曲线策略：骑乘收益率曲线策略是短期货币市场证券管理中流行的一种策略。具体操作时买入收益率曲线最突起部位所在剩余期限的债券，这一期限的收益率水平此时处于相对较高的位置，随着一段时间的持有，当收益率下降时，对应的将是债券价格的走高，而这一期限债券的涨幅将会高于其他期限，这样就可以获得更好的价差收益。</w:t>
            </w:r>
          </w:p>
          <w:p w:rsidR="002B5652" w:rsidRDefault="00C36D5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类属资产配置：在类属资产配置层次，本基金根据市场和类属资产的风险收益特征，在判断各类属的利率期限结构与交易活跃的国家信用等级短期券利率期限结构应具有的合理利差水平基础上，将市场细分为交易所国债、交易所企业债、银行间国债、银行间金融债等子市场。结合各类属资产的市场容量、信用等级和流动性特点，在此基础上运用修正的均值</w:t>
            </w:r>
            <w:r>
              <w:rPr>
                <w:rFonts w:eastAsiaTheme="minorEastAsia"/>
                <w:color w:val="000000" w:themeColor="text1"/>
                <w:kern w:val="0"/>
                <w:szCs w:val="21"/>
              </w:rPr>
              <w:t>-</w:t>
            </w:r>
            <w:r>
              <w:rPr>
                <w:rFonts w:eastAsiaTheme="minorEastAsia"/>
                <w:color w:val="000000" w:themeColor="text1"/>
                <w:kern w:val="0"/>
                <w:szCs w:val="21"/>
              </w:rPr>
              <w:t>方差等模型，定期对投资组合类属资产进行最优化配置和调整，确定类属资产的最优权重。</w:t>
            </w:r>
          </w:p>
          <w:p w:rsidR="002B5652" w:rsidRDefault="00C36D5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、权证投资策略</w:t>
            </w:r>
          </w:p>
          <w:p w:rsidR="002B5652" w:rsidRDefault="00C36D5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法律法规及基金合同规定的范围内，采取积极的态度进行权证投资。权证投资的主要目的在于对冲组合中证券的持有风险，及在正确估值标的证券的基础上获取权证投资收益。本基金将采用业界广泛应用的</w:t>
            </w:r>
            <w:r>
              <w:rPr>
                <w:rFonts w:eastAsiaTheme="minorEastAsia"/>
                <w:color w:val="000000" w:themeColor="text1"/>
                <w:kern w:val="0"/>
                <w:szCs w:val="21"/>
              </w:rPr>
              <w:t>Black-Scholes Pricing Model(BSPM)</w:t>
            </w:r>
            <w:r>
              <w:rPr>
                <w:rFonts w:eastAsiaTheme="minorEastAsia"/>
                <w:color w:val="000000" w:themeColor="text1"/>
                <w:kern w:val="0"/>
                <w:szCs w:val="21"/>
              </w:rPr>
              <w:t>对权证进行估价。对于股票基本面和投资价值的判断一贯是本公司投资的重要依据。在投资权证前，基金管理人员和研究员应对标的股票的基本面和内在价值作出分析判断。</w:t>
            </w:r>
          </w:p>
          <w:p w:rsidR="002B5652" w:rsidRDefault="00C36D5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、资产支持证券投资策略</w:t>
            </w:r>
          </w:p>
          <w:p w:rsidR="002B5652" w:rsidRDefault="00C36D5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投资资产支持证券时，将综合运用久期管理、收益率曲线、个券选择和把握市场交易机会等积极策略，在严格控制风险的情况下，通过信用研究和对个案的具体分析，确定资产合理配置比例，在保证资产安全性的前提条件下，以期获得长期稳定收益。</w:t>
            </w:r>
          </w:p>
          <w:p w:rsidR="002B5652" w:rsidRDefault="00C36D5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、资产配置策略</w:t>
            </w:r>
          </w:p>
          <w:p w:rsidR="002B5652" w:rsidRDefault="00C36D5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资产配置是本基金资产管理的重要环节。本基金是一只注重价值投资的平衡型基金，资产配置策略依据对宏观经济、股市政策、市场趋势等因素的判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并取得尽可能大的主动管理回报。</w:t>
            </w:r>
          </w:p>
          <w:p w:rsidR="002B5652" w:rsidRDefault="00C36D5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股票市场安全边际降低，且综合考虑收益风险后投资吸引力低于固定收益资产时，本基金将降低权益类资产的配置比例；相反，在股票市场安全边际增厚时，本基金将相应增加权益类资产的配置比例。</w:t>
            </w:r>
          </w:p>
          <w:p w:rsidR="002B5652" w:rsidRDefault="00C36D5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、存托凭证投资策略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2B5652" w:rsidRDefault="00C36D5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本基金是混合型基金，在证券投资基金中属于中高风险品种，其预期风险收益水平低于股票型基金，高于债券基金与货币市场基金。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上投摩根双核平衡混合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上投摩根双核平衡混合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373020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015174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229,626,855.50</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2,860.04</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上投摩根双核平衡混合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上投摩根双核平衡混合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-86,177,271.68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-93.70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-92,123,966.28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-61.32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4E1BB3">
            <w:pPr>
              <w:adjustRightInd w:val="0"/>
              <w:spacing w:before="29" w:line="360" w:lineRule="auto"/>
              <w:ind w:left="17"/>
              <w:jc w:val="right"/>
              <w:rPr>
                <w:rFonts w:eastAsiaTheme="minorEastAsia"/>
                <w:color w:val="000000" w:themeColor="text1"/>
                <w:szCs w:val="21"/>
              </w:rPr>
            </w:pPr>
            <w:r w:rsidRPr="004E1BB3">
              <w:rPr>
                <w:rFonts w:eastAsiaTheme="minorEastAsia"/>
                <w:color w:val="000000" w:themeColor="text1"/>
                <w:szCs w:val="21"/>
              </w:rPr>
              <w:t>-0.3624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-0.0281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480,098,991.26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5,978.68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2.0908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2.0904</w:t>
            </w:r>
          </w:p>
        </w:tc>
      </w:tr>
    </w:tbl>
    <w:p w:rsidR="002B5652" w:rsidRDefault="00C36D5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2B5652" w:rsidRDefault="00C36D5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本基金自</w:t>
      </w:r>
      <w:r w:rsidRPr="00B27A29">
        <w:rPr>
          <w:rFonts w:eastAsiaTheme="minorEastAsia"/>
          <w:color w:val="000000" w:themeColor="text1"/>
          <w:szCs w:val="21"/>
        </w:rPr>
        <w:t xml:space="preserve"> 2022 </w:t>
      </w:r>
      <w:r w:rsidRPr="00B27A29">
        <w:rPr>
          <w:rFonts w:eastAsiaTheme="minorEastAsia"/>
          <w:color w:val="000000" w:themeColor="text1"/>
          <w:szCs w:val="21"/>
        </w:rPr>
        <w:t>年</w:t>
      </w:r>
      <w:r w:rsidRPr="00B27A29">
        <w:rPr>
          <w:rFonts w:eastAsiaTheme="minorEastAsia"/>
          <w:color w:val="000000" w:themeColor="text1"/>
          <w:szCs w:val="21"/>
        </w:rPr>
        <w:t>2</w:t>
      </w:r>
      <w:r w:rsidRPr="00B27A29">
        <w:rPr>
          <w:rFonts w:eastAsiaTheme="minorEastAsia"/>
          <w:color w:val="000000" w:themeColor="text1"/>
          <w:szCs w:val="21"/>
        </w:rPr>
        <w:t>月</w:t>
      </w:r>
      <w:r w:rsidRPr="00B27A29">
        <w:rPr>
          <w:rFonts w:eastAsiaTheme="minorEastAsia"/>
          <w:color w:val="000000" w:themeColor="text1"/>
          <w:szCs w:val="21"/>
        </w:rPr>
        <w:t>22</w:t>
      </w:r>
      <w:r w:rsidRPr="00B27A29">
        <w:rPr>
          <w:rFonts w:eastAsiaTheme="minorEastAsia"/>
          <w:color w:val="000000" w:themeColor="text1"/>
          <w:szCs w:val="21"/>
        </w:rPr>
        <w:t>日起，增设</w:t>
      </w:r>
      <w:r w:rsidRPr="00B27A29">
        <w:rPr>
          <w:rFonts w:eastAsiaTheme="minorEastAsia"/>
          <w:color w:val="000000" w:themeColor="text1"/>
          <w:szCs w:val="21"/>
        </w:rPr>
        <w:t xml:space="preserve"> C </w:t>
      </w:r>
      <w:r w:rsidRPr="00B27A29">
        <w:rPr>
          <w:rFonts w:eastAsiaTheme="minorEastAsia"/>
          <w:color w:val="000000" w:themeColor="text1"/>
          <w:szCs w:val="21"/>
        </w:rPr>
        <w:t>类基金份额。</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上投摩根双核平衡混合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B5652">
        <w:tc>
          <w:tcPr>
            <w:tcW w:w="1290" w:type="dxa"/>
            <w:vAlign w:val="center"/>
          </w:tcPr>
          <w:p w:rsidR="002B5652" w:rsidRDefault="00C36D55">
            <w:pPr>
              <w:jc w:val="left"/>
            </w:pPr>
            <w:r>
              <w:rPr>
                <w:rFonts w:eastAsiaTheme="minorEastAsia"/>
                <w:color w:val="000000" w:themeColor="text1"/>
                <w:szCs w:val="21"/>
              </w:rPr>
              <w:t>过去三个月</w:t>
            </w:r>
          </w:p>
        </w:tc>
        <w:tc>
          <w:tcPr>
            <w:tcW w:w="1291" w:type="dxa"/>
            <w:vAlign w:val="center"/>
          </w:tcPr>
          <w:p w:rsidR="002B5652" w:rsidRDefault="00C36D55">
            <w:pPr>
              <w:jc w:val="right"/>
            </w:pPr>
            <w:r>
              <w:rPr>
                <w:rFonts w:eastAsiaTheme="minorEastAsia"/>
                <w:color w:val="000000" w:themeColor="text1"/>
                <w:szCs w:val="21"/>
              </w:rPr>
              <w:t>-13.84%</w:t>
            </w:r>
          </w:p>
        </w:tc>
        <w:tc>
          <w:tcPr>
            <w:tcW w:w="1291" w:type="dxa"/>
            <w:vAlign w:val="center"/>
          </w:tcPr>
          <w:p w:rsidR="002B5652" w:rsidRDefault="00C36D55">
            <w:pPr>
              <w:jc w:val="right"/>
            </w:pPr>
            <w:r>
              <w:rPr>
                <w:rFonts w:eastAsiaTheme="minorEastAsia"/>
                <w:color w:val="000000" w:themeColor="text1"/>
                <w:szCs w:val="21"/>
              </w:rPr>
              <w:t>1.32%</w:t>
            </w:r>
          </w:p>
        </w:tc>
        <w:tc>
          <w:tcPr>
            <w:tcW w:w="1291" w:type="dxa"/>
            <w:vAlign w:val="center"/>
          </w:tcPr>
          <w:p w:rsidR="002B5652" w:rsidRDefault="00C36D55">
            <w:pPr>
              <w:jc w:val="right"/>
            </w:pPr>
            <w:r>
              <w:rPr>
                <w:rFonts w:eastAsiaTheme="minorEastAsia"/>
                <w:color w:val="000000" w:themeColor="text1"/>
                <w:szCs w:val="21"/>
              </w:rPr>
              <w:t>-6.79%</w:t>
            </w:r>
          </w:p>
        </w:tc>
        <w:tc>
          <w:tcPr>
            <w:tcW w:w="1291" w:type="dxa"/>
            <w:vAlign w:val="center"/>
          </w:tcPr>
          <w:p w:rsidR="002B5652" w:rsidRDefault="00C36D55">
            <w:pPr>
              <w:jc w:val="right"/>
            </w:pPr>
            <w:r>
              <w:rPr>
                <w:rFonts w:eastAsiaTheme="minorEastAsia"/>
                <w:color w:val="000000" w:themeColor="text1"/>
                <w:szCs w:val="21"/>
              </w:rPr>
              <w:t>0.73%</w:t>
            </w:r>
          </w:p>
        </w:tc>
        <w:tc>
          <w:tcPr>
            <w:tcW w:w="1291" w:type="dxa"/>
            <w:vAlign w:val="center"/>
          </w:tcPr>
          <w:p w:rsidR="002B5652" w:rsidRDefault="00C36D55">
            <w:pPr>
              <w:jc w:val="right"/>
            </w:pPr>
            <w:r>
              <w:rPr>
                <w:rFonts w:eastAsiaTheme="minorEastAsia"/>
                <w:color w:val="000000" w:themeColor="text1"/>
                <w:szCs w:val="21"/>
              </w:rPr>
              <w:t>-7.05%</w:t>
            </w:r>
          </w:p>
        </w:tc>
        <w:tc>
          <w:tcPr>
            <w:tcW w:w="1291" w:type="dxa"/>
            <w:vAlign w:val="center"/>
          </w:tcPr>
          <w:p w:rsidR="002B5652" w:rsidRDefault="00C36D55">
            <w:pPr>
              <w:jc w:val="right"/>
            </w:pPr>
            <w:r>
              <w:rPr>
                <w:rFonts w:eastAsiaTheme="minorEastAsia"/>
                <w:color w:val="000000" w:themeColor="text1"/>
                <w:szCs w:val="21"/>
              </w:rPr>
              <w:t>0.59%</w:t>
            </w:r>
          </w:p>
        </w:tc>
      </w:tr>
      <w:tr w:rsidR="002B5652">
        <w:tc>
          <w:tcPr>
            <w:tcW w:w="1290" w:type="dxa"/>
            <w:vAlign w:val="center"/>
          </w:tcPr>
          <w:p w:rsidR="002B5652" w:rsidRDefault="00C36D55">
            <w:pPr>
              <w:jc w:val="left"/>
            </w:pPr>
            <w:r>
              <w:rPr>
                <w:rFonts w:eastAsiaTheme="minorEastAsia"/>
                <w:color w:val="000000" w:themeColor="text1"/>
                <w:szCs w:val="21"/>
              </w:rPr>
              <w:t>过去六个月</w:t>
            </w:r>
          </w:p>
        </w:tc>
        <w:tc>
          <w:tcPr>
            <w:tcW w:w="1291" w:type="dxa"/>
            <w:vAlign w:val="center"/>
          </w:tcPr>
          <w:p w:rsidR="002B5652" w:rsidRDefault="00C36D55">
            <w:pPr>
              <w:jc w:val="right"/>
            </w:pPr>
            <w:r>
              <w:rPr>
                <w:rFonts w:eastAsiaTheme="minorEastAsia"/>
                <w:color w:val="000000" w:themeColor="text1"/>
                <w:szCs w:val="21"/>
              </w:rPr>
              <w:t>-20.86%</w:t>
            </w:r>
          </w:p>
        </w:tc>
        <w:tc>
          <w:tcPr>
            <w:tcW w:w="1291" w:type="dxa"/>
            <w:vAlign w:val="center"/>
          </w:tcPr>
          <w:p w:rsidR="002B5652" w:rsidRDefault="00C36D55">
            <w:pPr>
              <w:jc w:val="right"/>
            </w:pPr>
            <w:r>
              <w:rPr>
                <w:rFonts w:eastAsiaTheme="minorEastAsia"/>
                <w:color w:val="000000" w:themeColor="text1"/>
                <w:szCs w:val="21"/>
              </w:rPr>
              <w:t>1.17%</w:t>
            </w:r>
          </w:p>
        </w:tc>
        <w:tc>
          <w:tcPr>
            <w:tcW w:w="1291" w:type="dxa"/>
            <w:vAlign w:val="center"/>
          </w:tcPr>
          <w:p w:rsidR="002B5652" w:rsidRDefault="00C36D55">
            <w:pPr>
              <w:jc w:val="right"/>
            </w:pPr>
            <w:r>
              <w:rPr>
                <w:rFonts w:eastAsiaTheme="minorEastAsia"/>
                <w:color w:val="000000" w:themeColor="text1"/>
                <w:szCs w:val="21"/>
              </w:rPr>
              <w:t>-5.62%</w:t>
            </w:r>
          </w:p>
        </w:tc>
        <w:tc>
          <w:tcPr>
            <w:tcW w:w="1291" w:type="dxa"/>
            <w:vAlign w:val="center"/>
          </w:tcPr>
          <w:p w:rsidR="002B5652" w:rsidRDefault="00C36D55">
            <w:pPr>
              <w:jc w:val="right"/>
            </w:pPr>
            <w:r>
              <w:rPr>
                <w:rFonts w:eastAsiaTheme="minorEastAsia"/>
                <w:color w:val="000000" w:themeColor="text1"/>
                <w:szCs w:val="21"/>
              </w:rPr>
              <w:t>0.59%</w:t>
            </w:r>
          </w:p>
        </w:tc>
        <w:tc>
          <w:tcPr>
            <w:tcW w:w="1291" w:type="dxa"/>
            <w:vAlign w:val="center"/>
          </w:tcPr>
          <w:p w:rsidR="002B5652" w:rsidRDefault="00C36D55">
            <w:pPr>
              <w:jc w:val="right"/>
            </w:pPr>
            <w:r>
              <w:rPr>
                <w:rFonts w:eastAsiaTheme="minorEastAsia"/>
                <w:color w:val="000000" w:themeColor="text1"/>
                <w:szCs w:val="21"/>
              </w:rPr>
              <w:t>-15.24%</w:t>
            </w:r>
          </w:p>
        </w:tc>
        <w:tc>
          <w:tcPr>
            <w:tcW w:w="1291" w:type="dxa"/>
            <w:vAlign w:val="center"/>
          </w:tcPr>
          <w:p w:rsidR="002B5652" w:rsidRDefault="00C36D55">
            <w:pPr>
              <w:jc w:val="right"/>
            </w:pPr>
            <w:r>
              <w:rPr>
                <w:rFonts w:eastAsiaTheme="minorEastAsia"/>
                <w:color w:val="000000" w:themeColor="text1"/>
                <w:szCs w:val="21"/>
              </w:rPr>
              <w:t>0.58%</w:t>
            </w:r>
          </w:p>
        </w:tc>
      </w:tr>
      <w:tr w:rsidR="002B5652">
        <w:tc>
          <w:tcPr>
            <w:tcW w:w="1290" w:type="dxa"/>
            <w:vAlign w:val="center"/>
          </w:tcPr>
          <w:p w:rsidR="002B5652" w:rsidRDefault="00C36D55">
            <w:pPr>
              <w:jc w:val="left"/>
            </w:pPr>
            <w:r>
              <w:rPr>
                <w:rFonts w:eastAsiaTheme="minorEastAsia"/>
                <w:color w:val="000000" w:themeColor="text1"/>
                <w:szCs w:val="21"/>
              </w:rPr>
              <w:t>过去一年</w:t>
            </w:r>
          </w:p>
        </w:tc>
        <w:tc>
          <w:tcPr>
            <w:tcW w:w="1291" w:type="dxa"/>
            <w:vAlign w:val="center"/>
          </w:tcPr>
          <w:p w:rsidR="002B5652" w:rsidRDefault="00C36D55">
            <w:pPr>
              <w:jc w:val="right"/>
            </w:pPr>
            <w:r>
              <w:rPr>
                <w:rFonts w:eastAsiaTheme="minorEastAsia"/>
                <w:color w:val="000000" w:themeColor="text1"/>
                <w:szCs w:val="21"/>
              </w:rPr>
              <w:t>-5.14%</w:t>
            </w:r>
          </w:p>
        </w:tc>
        <w:tc>
          <w:tcPr>
            <w:tcW w:w="1291" w:type="dxa"/>
            <w:vAlign w:val="center"/>
          </w:tcPr>
          <w:p w:rsidR="002B5652" w:rsidRDefault="00C36D55">
            <w:pPr>
              <w:jc w:val="right"/>
            </w:pPr>
            <w:r>
              <w:rPr>
                <w:rFonts w:eastAsiaTheme="minorEastAsia"/>
                <w:color w:val="000000" w:themeColor="text1"/>
                <w:szCs w:val="21"/>
              </w:rPr>
              <w:t>1.39%</w:t>
            </w:r>
          </w:p>
        </w:tc>
        <w:tc>
          <w:tcPr>
            <w:tcW w:w="1291" w:type="dxa"/>
            <w:vAlign w:val="center"/>
          </w:tcPr>
          <w:p w:rsidR="002B5652" w:rsidRDefault="00C36D55">
            <w:pPr>
              <w:jc w:val="right"/>
            </w:pPr>
            <w:r>
              <w:rPr>
                <w:rFonts w:eastAsiaTheme="minorEastAsia"/>
                <w:color w:val="000000" w:themeColor="text1"/>
                <w:szCs w:val="21"/>
              </w:rPr>
              <w:t>-5.99%</w:t>
            </w:r>
          </w:p>
        </w:tc>
        <w:tc>
          <w:tcPr>
            <w:tcW w:w="1291" w:type="dxa"/>
            <w:vAlign w:val="center"/>
          </w:tcPr>
          <w:p w:rsidR="002B5652" w:rsidRDefault="00C36D55">
            <w:pPr>
              <w:jc w:val="right"/>
            </w:pPr>
            <w:r>
              <w:rPr>
                <w:rFonts w:eastAsiaTheme="minorEastAsia"/>
                <w:color w:val="000000" w:themeColor="text1"/>
                <w:szCs w:val="21"/>
              </w:rPr>
              <w:t>0.57%</w:t>
            </w:r>
          </w:p>
        </w:tc>
        <w:tc>
          <w:tcPr>
            <w:tcW w:w="1291" w:type="dxa"/>
            <w:vAlign w:val="center"/>
          </w:tcPr>
          <w:p w:rsidR="002B5652" w:rsidRDefault="00C36D55">
            <w:pPr>
              <w:jc w:val="right"/>
            </w:pPr>
            <w:r>
              <w:rPr>
                <w:rFonts w:eastAsiaTheme="minorEastAsia"/>
                <w:color w:val="000000" w:themeColor="text1"/>
                <w:szCs w:val="21"/>
              </w:rPr>
              <w:t>0.85%</w:t>
            </w:r>
          </w:p>
        </w:tc>
        <w:tc>
          <w:tcPr>
            <w:tcW w:w="1291" w:type="dxa"/>
            <w:vAlign w:val="center"/>
          </w:tcPr>
          <w:p w:rsidR="002B5652" w:rsidRDefault="00C36D55">
            <w:pPr>
              <w:jc w:val="right"/>
            </w:pPr>
            <w:r>
              <w:rPr>
                <w:rFonts w:eastAsiaTheme="minorEastAsia"/>
                <w:color w:val="000000" w:themeColor="text1"/>
                <w:szCs w:val="21"/>
              </w:rPr>
              <w:t>0.82%</w:t>
            </w:r>
          </w:p>
        </w:tc>
      </w:tr>
      <w:tr w:rsidR="002B5652">
        <w:tc>
          <w:tcPr>
            <w:tcW w:w="1290" w:type="dxa"/>
            <w:vAlign w:val="center"/>
          </w:tcPr>
          <w:p w:rsidR="002B5652" w:rsidRDefault="00C36D55">
            <w:pPr>
              <w:jc w:val="left"/>
            </w:pPr>
            <w:r>
              <w:rPr>
                <w:rFonts w:eastAsiaTheme="minorEastAsia"/>
                <w:color w:val="000000" w:themeColor="text1"/>
                <w:szCs w:val="21"/>
              </w:rPr>
              <w:t>过去三年</w:t>
            </w:r>
          </w:p>
        </w:tc>
        <w:tc>
          <w:tcPr>
            <w:tcW w:w="1291" w:type="dxa"/>
            <w:vAlign w:val="center"/>
          </w:tcPr>
          <w:p w:rsidR="002B5652" w:rsidRDefault="00C36D55">
            <w:pPr>
              <w:jc w:val="right"/>
            </w:pPr>
            <w:r>
              <w:rPr>
                <w:rFonts w:eastAsiaTheme="minorEastAsia"/>
                <w:color w:val="000000" w:themeColor="text1"/>
                <w:szCs w:val="21"/>
              </w:rPr>
              <w:t>84.23%</w:t>
            </w:r>
          </w:p>
        </w:tc>
        <w:tc>
          <w:tcPr>
            <w:tcW w:w="1291" w:type="dxa"/>
            <w:vAlign w:val="center"/>
          </w:tcPr>
          <w:p w:rsidR="002B5652" w:rsidRDefault="00C36D55">
            <w:pPr>
              <w:jc w:val="right"/>
            </w:pPr>
            <w:r>
              <w:rPr>
                <w:rFonts w:eastAsiaTheme="minorEastAsia"/>
                <w:color w:val="000000" w:themeColor="text1"/>
                <w:szCs w:val="21"/>
              </w:rPr>
              <w:t>1.34%</w:t>
            </w:r>
          </w:p>
        </w:tc>
        <w:tc>
          <w:tcPr>
            <w:tcW w:w="1291" w:type="dxa"/>
            <w:vAlign w:val="center"/>
          </w:tcPr>
          <w:p w:rsidR="002B5652" w:rsidRDefault="00C36D55">
            <w:pPr>
              <w:jc w:val="right"/>
            </w:pPr>
            <w:r>
              <w:rPr>
                <w:rFonts w:eastAsiaTheme="minorEastAsia"/>
                <w:color w:val="000000" w:themeColor="text1"/>
                <w:szCs w:val="21"/>
              </w:rPr>
              <w:t>10.73%</w:t>
            </w:r>
          </w:p>
        </w:tc>
        <w:tc>
          <w:tcPr>
            <w:tcW w:w="1291" w:type="dxa"/>
            <w:vAlign w:val="center"/>
          </w:tcPr>
          <w:p w:rsidR="002B5652" w:rsidRDefault="00C36D55">
            <w:pPr>
              <w:jc w:val="right"/>
            </w:pPr>
            <w:r>
              <w:rPr>
                <w:rFonts w:eastAsiaTheme="minorEastAsia"/>
                <w:color w:val="000000" w:themeColor="text1"/>
                <w:szCs w:val="21"/>
              </w:rPr>
              <w:t>0.64%</w:t>
            </w:r>
          </w:p>
        </w:tc>
        <w:tc>
          <w:tcPr>
            <w:tcW w:w="1291" w:type="dxa"/>
            <w:vAlign w:val="center"/>
          </w:tcPr>
          <w:p w:rsidR="002B5652" w:rsidRDefault="00C36D55">
            <w:pPr>
              <w:jc w:val="right"/>
            </w:pPr>
            <w:r>
              <w:rPr>
                <w:rFonts w:eastAsiaTheme="minorEastAsia"/>
                <w:color w:val="000000" w:themeColor="text1"/>
                <w:szCs w:val="21"/>
              </w:rPr>
              <w:t>73.50%</w:t>
            </w:r>
          </w:p>
        </w:tc>
        <w:tc>
          <w:tcPr>
            <w:tcW w:w="1291" w:type="dxa"/>
            <w:vAlign w:val="center"/>
          </w:tcPr>
          <w:p w:rsidR="002B5652" w:rsidRDefault="00C36D55">
            <w:pPr>
              <w:jc w:val="right"/>
            </w:pPr>
            <w:r>
              <w:rPr>
                <w:rFonts w:eastAsiaTheme="minorEastAsia"/>
                <w:color w:val="000000" w:themeColor="text1"/>
                <w:szCs w:val="21"/>
              </w:rPr>
              <w:t>0.70%</w:t>
            </w:r>
          </w:p>
        </w:tc>
      </w:tr>
      <w:tr w:rsidR="002B5652">
        <w:tc>
          <w:tcPr>
            <w:tcW w:w="1290" w:type="dxa"/>
            <w:vAlign w:val="center"/>
          </w:tcPr>
          <w:p w:rsidR="002B5652" w:rsidRDefault="00C36D55">
            <w:pPr>
              <w:jc w:val="left"/>
            </w:pPr>
            <w:r>
              <w:rPr>
                <w:rFonts w:eastAsiaTheme="minorEastAsia"/>
                <w:color w:val="000000" w:themeColor="text1"/>
                <w:szCs w:val="21"/>
              </w:rPr>
              <w:t>过去五年</w:t>
            </w:r>
          </w:p>
        </w:tc>
        <w:tc>
          <w:tcPr>
            <w:tcW w:w="1291" w:type="dxa"/>
            <w:vAlign w:val="center"/>
          </w:tcPr>
          <w:p w:rsidR="002B5652" w:rsidRDefault="00C36D55">
            <w:pPr>
              <w:jc w:val="right"/>
            </w:pPr>
            <w:r>
              <w:rPr>
                <w:rFonts w:eastAsiaTheme="minorEastAsia"/>
                <w:color w:val="000000" w:themeColor="text1"/>
                <w:szCs w:val="21"/>
              </w:rPr>
              <w:t>88.12%</w:t>
            </w:r>
          </w:p>
        </w:tc>
        <w:tc>
          <w:tcPr>
            <w:tcW w:w="1291" w:type="dxa"/>
            <w:vAlign w:val="center"/>
          </w:tcPr>
          <w:p w:rsidR="002B5652" w:rsidRDefault="00C36D55">
            <w:pPr>
              <w:jc w:val="right"/>
            </w:pPr>
            <w:r>
              <w:rPr>
                <w:rFonts w:eastAsiaTheme="minorEastAsia"/>
                <w:color w:val="000000" w:themeColor="text1"/>
                <w:szCs w:val="21"/>
              </w:rPr>
              <w:t>1.22%</w:t>
            </w:r>
          </w:p>
        </w:tc>
        <w:tc>
          <w:tcPr>
            <w:tcW w:w="1291" w:type="dxa"/>
            <w:vAlign w:val="center"/>
          </w:tcPr>
          <w:p w:rsidR="002B5652" w:rsidRDefault="00C36D55">
            <w:pPr>
              <w:jc w:val="right"/>
            </w:pPr>
            <w:r>
              <w:rPr>
                <w:rFonts w:eastAsiaTheme="minorEastAsia"/>
                <w:color w:val="000000" w:themeColor="text1"/>
                <w:szCs w:val="21"/>
              </w:rPr>
              <w:t>21.45%</w:t>
            </w:r>
          </w:p>
        </w:tc>
        <w:tc>
          <w:tcPr>
            <w:tcW w:w="1291" w:type="dxa"/>
            <w:vAlign w:val="center"/>
          </w:tcPr>
          <w:p w:rsidR="002B5652" w:rsidRDefault="00C36D55">
            <w:pPr>
              <w:jc w:val="right"/>
            </w:pPr>
            <w:r>
              <w:rPr>
                <w:rFonts w:eastAsiaTheme="minorEastAsia"/>
                <w:color w:val="000000" w:themeColor="text1"/>
                <w:szCs w:val="21"/>
              </w:rPr>
              <w:t>0.62%</w:t>
            </w:r>
          </w:p>
        </w:tc>
        <w:tc>
          <w:tcPr>
            <w:tcW w:w="1291" w:type="dxa"/>
            <w:vAlign w:val="center"/>
          </w:tcPr>
          <w:p w:rsidR="002B5652" w:rsidRDefault="00C36D55">
            <w:pPr>
              <w:jc w:val="right"/>
            </w:pPr>
            <w:r>
              <w:rPr>
                <w:rFonts w:eastAsiaTheme="minorEastAsia"/>
                <w:color w:val="000000" w:themeColor="text1"/>
                <w:szCs w:val="21"/>
              </w:rPr>
              <w:t>66.67%</w:t>
            </w:r>
          </w:p>
        </w:tc>
        <w:tc>
          <w:tcPr>
            <w:tcW w:w="1291" w:type="dxa"/>
            <w:vAlign w:val="center"/>
          </w:tcPr>
          <w:p w:rsidR="002B5652" w:rsidRDefault="00C36D55">
            <w:pPr>
              <w:jc w:val="right"/>
            </w:pPr>
            <w:r>
              <w:rPr>
                <w:rFonts w:eastAsiaTheme="minorEastAsia"/>
                <w:color w:val="000000" w:themeColor="text1"/>
                <w:szCs w:val="21"/>
              </w:rPr>
              <w:t>0.60%</w:t>
            </w:r>
          </w:p>
        </w:tc>
      </w:tr>
      <w:tr w:rsidR="002B5652">
        <w:tc>
          <w:tcPr>
            <w:tcW w:w="1290" w:type="dxa"/>
            <w:vAlign w:val="center"/>
          </w:tcPr>
          <w:p w:rsidR="002B5652" w:rsidRDefault="00C36D55">
            <w:pPr>
              <w:jc w:val="left"/>
            </w:pPr>
            <w:r>
              <w:rPr>
                <w:rFonts w:eastAsiaTheme="minorEastAsia"/>
                <w:color w:val="000000" w:themeColor="text1"/>
                <w:szCs w:val="21"/>
              </w:rPr>
              <w:t>自基金合同生效起至今</w:t>
            </w:r>
          </w:p>
        </w:tc>
        <w:tc>
          <w:tcPr>
            <w:tcW w:w="1291" w:type="dxa"/>
            <w:vAlign w:val="center"/>
          </w:tcPr>
          <w:p w:rsidR="002B5652" w:rsidRDefault="00C36D55">
            <w:pPr>
              <w:jc w:val="right"/>
            </w:pPr>
            <w:r>
              <w:rPr>
                <w:rFonts w:eastAsiaTheme="minorEastAsia"/>
                <w:color w:val="000000" w:themeColor="text1"/>
                <w:szCs w:val="21"/>
              </w:rPr>
              <w:t>352.96%</w:t>
            </w:r>
          </w:p>
        </w:tc>
        <w:tc>
          <w:tcPr>
            <w:tcW w:w="1291" w:type="dxa"/>
            <w:vAlign w:val="center"/>
          </w:tcPr>
          <w:p w:rsidR="002B5652" w:rsidRDefault="00C36D55">
            <w:pPr>
              <w:jc w:val="right"/>
            </w:pPr>
            <w:r>
              <w:rPr>
                <w:rFonts w:eastAsiaTheme="minorEastAsia"/>
                <w:color w:val="000000" w:themeColor="text1"/>
                <w:szCs w:val="21"/>
              </w:rPr>
              <w:t>1.24%</w:t>
            </w:r>
          </w:p>
        </w:tc>
        <w:tc>
          <w:tcPr>
            <w:tcW w:w="1291" w:type="dxa"/>
            <w:vAlign w:val="center"/>
          </w:tcPr>
          <w:p w:rsidR="002B5652" w:rsidRDefault="00C36D55">
            <w:pPr>
              <w:jc w:val="right"/>
            </w:pPr>
            <w:r>
              <w:rPr>
                <w:rFonts w:eastAsiaTheme="minorEastAsia"/>
                <w:color w:val="000000" w:themeColor="text1"/>
                <w:szCs w:val="21"/>
              </w:rPr>
              <w:t>42.21%</w:t>
            </w:r>
          </w:p>
        </w:tc>
        <w:tc>
          <w:tcPr>
            <w:tcW w:w="1291" w:type="dxa"/>
            <w:vAlign w:val="center"/>
          </w:tcPr>
          <w:p w:rsidR="002B5652" w:rsidRDefault="00C36D55">
            <w:pPr>
              <w:jc w:val="right"/>
            </w:pPr>
            <w:r>
              <w:rPr>
                <w:rFonts w:eastAsiaTheme="minorEastAsia"/>
                <w:color w:val="000000" w:themeColor="text1"/>
                <w:szCs w:val="21"/>
              </w:rPr>
              <w:t>0.79%</w:t>
            </w:r>
          </w:p>
        </w:tc>
        <w:tc>
          <w:tcPr>
            <w:tcW w:w="1291" w:type="dxa"/>
            <w:vAlign w:val="center"/>
          </w:tcPr>
          <w:p w:rsidR="002B5652" w:rsidRDefault="00C36D55">
            <w:pPr>
              <w:jc w:val="right"/>
            </w:pPr>
            <w:r>
              <w:rPr>
                <w:rFonts w:eastAsiaTheme="minorEastAsia"/>
                <w:color w:val="000000" w:themeColor="text1"/>
                <w:szCs w:val="21"/>
              </w:rPr>
              <w:t>310.75%</w:t>
            </w:r>
          </w:p>
        </w:tc>
        <w:tc>
          <w:tcPr>
            <w:tcW w:w="1291" w:type="dxa"/>
            <w:vAlign w:val="center"/>
          </w:tcPr>
          <w:p w:rsidR="002B5652" w:rsidRDefault="00C36D55">
            <w:pPr>
              <w:jc w:val="right"/>
            </w:pPr>
            <w:r>
              <w:rPr>
                <w:rFonts w:eastAsiaTheme="minorEastAsia"/>
                <w:color w:val="000000" w:themeColor="text1"/>
                <w:szCs w:val="21"/>
              </w:rPr>
              <w:t>0.45%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上投摩根双核平衡混合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B5652">
        <w:tc>
          <w:tcPr>
            <w:tcW w:w="1290" w:type="dxa"/>
            <w:vAlign w:val="center"/>
          </w:tcPr>
          <w:p w:rsidR="002B5652" w:rsidRDefault="00C36D55">
            <w:pPr>
              <w:jc w:val="left"/>
            </w:pPr>
            <w:r>
              <w:rPr>
                <w:rFonts w:eastAsiaTheme="minorEastAsia"/>
                <w:color w:val="000000" w:themeColor="text1"/>
                <w:szCs w:val="21"/>
              </w:rPr>
              <w:t>过去三个月</w:t>
            </w:r>
          </w:p>
        </w:tc>
        <w:tc>
          <w:tcPr>
            <w:tcW w:w="1291" w:type="dxa"/>
            <w:vAlign w:val="center"/>
          </w:tcPr>
          <w:p w:rsidR="002B5652" w:rsidRDefault="00C36D55">
            <w:pPr>
              <w:jc w:val="right"/>
            </w:pPr>
            <w:r>
              <w:rPr>
                <w:rFonts w:eastAsiaTheme="minorEastAsia"/>
                <w:color w:val="000000" w:themeColor="text1"/>
                <w:szCs w:val="21"/>
              </w:rPr>
              <w:t>-</w:t>
            </w:r>
          </w:p>
        </w:tc>
        <w:tc>
          <w:tcPr>
            <w:tcW w:w="1291" w:type="dxa"/>
            <w:vAlign w:val="center"/>
          </w:tcPr>
          <w:p w:rsidR="002B5652" w:rsidRDefault="00C36D55">
            <w:pPr>
              <w:jc w:val="right"/>
            </w:pPr>
            <w:r>
              <w:rPr>
                <w:rFonts w:eastAsiaTheme="minorEastAsia"/>
                <w:color w:val="000000" w:themeColor="text1"/>
                <w:szCs w:val="21"/>
              </w:rPr>
              <w:t>-</w:t>
            </w:r>
          </w:p>
        </w:tc>
        <w:tc>
          <w:tcPr>
            <w:tcW w:w="1291" w:type="dxa"/>
            <w:vAlign w:val="center"/>
          </w:tcPr>
          <w:p w:rsidR="002B5652" w:rsidRDefault="00C36D55">
            <w:pPr>
              <w:jc w:val="right"/>
            </w:pPr>
            <w:r>
              <w:rPr>
                <w:rFonts w:eastAsiaTheme="minorEastAsia"/>
                <w:color w:val="000000" w:themeColor="text1"/>
                <w:szCs w:val="21"/>
              </w:rPr>
              <w:t>-</w:t>
            </w:r>
          </w:p>
        </w:tc>
        <w:tc>
          <w:tcPr>
            <w:tcW w:w="1291" w:type="dxa"/>
            <w:vAlign w:val="center"/>
          </w:tcPr>
          <w:p w:rsidR="002B5652" w:rsidRDefault="00C36D55">
            <w:pPr>
              <w:jc w:val="right"/>
            </w:pPr>
            <w:r>
              <w:rPr>
                <w:rFonts w:eastAsiaTheme="minorEastAsia"/>
                <w:color w:val="000000" w:themeColor="text1"/>
                <w:szCs w:val="21"/>
              </w:rPr>
              <w:t>-</w:t>
            </w:r>
          </w:p>
        </w:tc>
        <w:tc>
          <w:tcPr>
            <w:tcW w:w="1291" w:type="dxa"/>
            <w:vAlign w:val="center"/>
          </w:tcPr>
          <w:p w:rsidR="002B5652" w:rsidRDefault="00C36D55">
            <w:pPr>
              <w:jc w:val="right"/>
            </w:pPr>
            <w:r>
              <w:rPr>
                <w:rFonts w:eastAsiaTheme="minorEastAsia"/>
                <w:color w:val="000000" w:themeColor="text1"/>
                <w:szCs w:val="21"/>
              </w:rPr>
              <w:t>-</w:t>
            </w:r>
          </w:p>
        </w:tc>
        <w:tc>
          <w:tcPr>
            <w:tcW w:w="1291" w:type="dxa"/>
            <w:vAlign w:val="center"/>
          </w:tcPr>
          <w:p w:rsidR="002B5652" w:rsidRDefault="00C36D55">
            <w:pPr>
              <w:jc w:val="right"/>
            </w:pPr>
            <w:r>
              <w:rPr>
                <w:rFonts w:eastAsiaTheme="minorEastAsia"/>
                <w:color w:val="000000" w:themeColor="text1"/>
                <w:szCs w:val="21"/>
              </w:rPr>
              <w:t>-</w:t>
            </w:r>
          </w:p>
        </w:tc>
      </w:tr>
      <w:tr w:rsidR="002B5652">
        <w:tc>
          <w:tcPr>
            <w:tcW w:w="1290" w:type="dxa"/>
            <w:vAlign w:val="center"/>
          </w:tcPr>
          <w:p w:rsidR="002B5652" w:rsidRDefault="00C36D55">
            <w:pPr>
              <w:jc w:val="left"/>
            </w:pPr>
            <w:r>
              <w:rPr>
                <w:rFonts w:eastAsiaTheme="minorEastAsia"/>
                <w:color w:val="000000" w:themeColor="text1"/>
                <w:szCs w:val="21"/>
              </w:rPr>
              <w:t>过去六个月</w:t>
            </w:r>
          </w:p>
        </w:tc>
        <w:tc>
          <w:tcPr>
            <w:tcW w:w="1291" w:type="dxa"/>
            <w:vAlign w:val="center"/>
          </w:tcPr>
          <w:p w:rsidR="002B5652" w:rsidRDefault="00C36D55">
            <w:pPr>
              <w:jc w:val="right"/>
            </w:pPr>
            <w:r>
              <w:rPr>
                <w:rFonts w:eastAsiaTheme="minorEastAsia"/>
                <w:color w:val="000000" w:themeColor="text1"/>
                <w:szCs w:val="21"/>
              </w:rPr>
              <w:t>-</w:t>
            </w:r>
          </w:p>
        </w:tc>
        <w:tc>
          <w:tcPr>
            <w:tcW w:w="1291" w:type="dxa"/>
            <w:vAlign w:val="center"/>
          </w:tcPr>
          <w:p w:rsidR="002B5652" w:rsidRDefault="00C36D55">
            <w:pPr>
              <w:jc w:val="right"/>
            </w:pPr>
            <w:r>
              <w:rPr>
                <w:rFonts w:eastAsiaTheme="minorEastAsia"/>
                <w:color w:val="000000" w:themeColor="text1"/>
                <w:szCs w:val="21"/>
              </w:rPr>
              <w:t>-</w:t>
            </w:r>
          </w:p>
        </w:tc>
        <w:tc>
          <w:tcPr>
            <w:tcW w:w="1291" w:type="dxa"/>
            <w:vAlign w:val="center"/>
          </w:tcPr>
          <w:p w:rsidR="002B5652" w:rsidRDefault="00C36D55">
            <w:pPr>
              <w:jc w:val="right"/>
            </w:pPr>
            <w:r>
              <w:rPr>
                <w:rFonts w:eastAsiaTheme="minorEastAsia"/>
                <w:color w:val="000000" w:themeColor="text1"/>
                <w:szCs w:val="21"/>
              </w:rPr>
              <w:t>-</w:t>
            </w:r>
          </w:p>
        </w:tc>
        <w:tc>
          <w:tcPr>
            <w:tcW w:w="1291" w:type="dxa"/>
            <w:vAlign w:val="center"/>
          </w:tcPr>
          <w:p w:rsidR="002B5652" w:rsidRDefault="00C36D55">
            <w:pPr>
              <w:jc w:val="right"/>
            </w:pPr>
            <w:r>
              <w:rPr>
                <w:rFonts w:eastAsiaTheme="minorEastAsia"/>
                <w:color w:val="000000" w:themeColor="text1"/>
                <w:szCs w:val="21"/>
              </w:rPr>
              <w:t>-</w:t>
            </w:r>
          </w:p>
        </w:tc>
        <w:tc>
          <w:tcPr>
            <w:tcW w:w="1291" w:type="dxa"/>
            <w:vAlign w:val="center"/>
          </w:tcPr>
          <w:p w:rsidR="002B5652" w:rsidRDefault="00C36D55">
            <w:pPr>
              <w:jc w:val="right"/>
            </w:pPr>
            <w:r>
              <w:rPr>
                <w:rFonts w:eastAsiaTheme="minorEastAsia"/>
                <w:color w:val="000000" w:themeColor="text1"/>
                <w:szCs w:val="21"/>
              </w:rPr>
              <w:t>-</w:t>
            </w:r>
          </w:p>
        </w:tc>
        <w:tc>
          <w:tcPr>
            <w:tcW w:w="1291" w:type="dxa"/>
            <w:vAlign w:val="center"/>
          </w:tcPr>
          <w:p w:rsidR="002B5652" w:rsidRDefault="00C36D55">
            <w:pPr>
              <w:jc w:val="right"/>
            </w:pPr>
            <w:r>
              <w:rPr>
                <w:rFonts w:eastAsiaTheme="minorEastAsia"/>
                <w:color w:val="000000" w:themeColor="text1"/>
                <w:szCs w:val="21"/>
              </w:rPr>
              <w:t>-</w:t>
            </w:r>
          </w:p>
        </w:tc>
      </w:tr>
      <w:tr w:rsidR="002B5652">
        <w:tc>
          <w:tcPr>
            <w:tcW w:w="1290" w:type="dxa"/>
            <w:vAlign w:val="center"/>
          </w:tcPr>
          <w:p w:rsidR="002B5652" w:rsidRDefault="00C36D55">
            <w:pPr>
              <w:jc w:val="left"/>
            </w:pPr>
            <w:r>
              <w:rPr>
                <w:rFonts w:eastAsiaTheme="minorEastAsia"/>
                <w:color w:val="000000" w:themeColor="text1"/>
                <w:szCs w:val="21"/>
              </w:rPr>
              <w:t>过去一年</w:t>
            </w:r>
          </w:p>
        </w:tc>
        <w:tc>
          <w:tcPr>
            <w:tcW w:w="1291" w:type="dxa"/>
            <w:vAlign w:val="center"/>
          </w:tcPr>
          <w:p w:rsidR="002B5652" w:rsidRDefault="00C36D55">
            <w:pPr>
              <w:jc w:val="right"/>
            </w:pPr>
            <w:r>
              <w:rPr>
                <w:rFonts w:eastAsiaTheme="minorEastAsia"/>
                <w:color w:val="000000" w:themeColor="text1"/>
                <w:szCs w:val="21"/>
              </w:rPr>
              <w:t>-</w:t>
            </w:r>
          </w:p>
        </w:tc>
        <w:tc>
          <w:tcPr>
            <w:tcW w:w="1291" w:type="dxa"/>
            <w:vAlign w:val="center"/>
          </w:tcPr>
          <w:p w:rsidR="002B5652" w:rsidRDefault="00C36D55">
            <w:pPr>
              <w:jc w:val="right"/>
            </w:pPr>
            <w:r>
              <w:rPr>
                <w:rFonts w:eastAsiaTheme="minorEastAsia"/>
                <w:color w:val="000000" w:themeColor="text1"/>
                <w:szCs w:val="21"/>
              </w:rPr>
              <w:t>-</w:t>
            </w:r>
          </w:p>
        </w:tc>
        <w:tc>
          <w:tcPr>
            <w:tcW w:w="1291" w:type="dxa"/>
            <w:vAlign w:val="center"/>
          </w:tcPr>
          <w:p w:rsidR="002B5652" w:rsidRDefault="00C36D55">
            <w:pPr>
              <w:jc w:val="right"/>
            </w:pPr>
            <w:r>
              <w:rPr>
                <w:rFonts w:eastAsiaTheme="minorEastAsia"/>
                <w:color w:val="000000" w:themeColor="text1"/>
                <w:szCs w:val="21"/>
              </w:rPr>
              <w:t>-</w:t>
            </w:r>
          </w:p>
        </w:tc>
        <w:tc>
          <w:tcPr>
            <w:tcW w:w="1291" w:type="dxa"/>
            <w:vAlign w:val="center"/>
          </w:tcPr>
          <w:p w:rsidR="002B5652" w:rsidRDefault="00C36D55">
            <w:pPr>
              <w:jc w:val="right"/>
            </w:pPr>
            <w:r>
              <w:rPr>
                <w:rFonts w:eastAsiaTheme="minorEastAsia"/>
                <w:color w:val="000000" w:themeColor="text1"/>
                <w:szCs w:val="21"/>
              </w:rPr>
              <w:t>-</w:t>
            </w:r>
          </w:p>
        </w:tc>
        <w:tc>
          <w:tcPr>
            <w:tcW w:w="1291" w:type="dxa"/>
            <w:vAlign w:val="center"/>
          </w:tcPr>
          <w:p w:rsidR="002B5652" w:rsidRDefault="00C36D55">
            <w:pPr>
              <w:jc w:val="right"/>
            </w:pPr>
            <w:r>
              <w:rPr>
                <w:rFonts w:eastAsiaTheme="minorEastAsia"/>
                <w:color w:val="000000" w:themeColor="text1"/>
                <w:szCs w:val="21"/>
              </w:rPr>
              <w:t>-</w:t>
            </w:r>
          </w:p>
        </w:tc>
        <w:tc>
          <w:tcPr>
            <w:tcW w:w="1291" w:type="dxa"/>
            <w:vAlign w:val="center"/>
          </w:tcPr>
          <w:p w:rsidR="002B5652" w:rsidRDefault="00C36D55">
            <w:pPr>
              <w:jc w:val="right"/>
            </w:pPr>
            <w:r>
              <w:rPr>
                <w:rFonts w:eastAsiaTheme="minorEastAsia"/>
                <w:color w:val="000000" w:themeColor="text1"/>
                <w:szCs w:val="21"/>
              </w:rPr>
              <w:t>-</w:t>
            </w:r>
          </w:p>
        </w:tc>
      </w:tr>
      <w:tr w:rsidR="002B5652">
        <w:tc>
          <w:tcPr>
            <w:tcW w:w="1290" w:type="dxa"/>
            <w:vAlign w:val="center"/>
          </w:tcPr>
          <w:p w:rsidR="002B5652" w:rsidRDefault="00C36D55">
            <w:pPr>
              <w:jc w:val="left"/>
            </w:pPr>
            <w:r>
              <w:rPr>
                <w:rFonts w:eastAsiaTheme="minorEastAsia"/>
                <w:color w:val="000000" w:themeColor="text1"/>
                <w:szCs w:val="21"/>
              </w:rPr>
              <w:t>过去三年</w:t>
            </w:r>
          </w:p>
        </w:tc>
        <w:tc>
          <w:tcPr>
            <w:tcW w:w="1291" w:type="dxa"/>
            <w:vAlign w:val="center"/>
          </w:tcPr>
          <w:p w:rsidR="002B5652" w:rsidRDefault="00C36D55">
            <w:pPr>
              <w:jc w:val="right"/>
            </w:pPr>
            <w:r>
              <w:rPr>
                <w:rFonts w:eastAsiaTheme="minorEastAsia"/>
                <w:color w:val="000000" w:themeColor="text1"/>
                <w:szCs w:val="21"/>
              </w:rPr>
              <w:t>-</w:t>
            </w:r>
          </w:p>
        </w:tc>
        <w:tc>
          <w:tcPr>
            <w:tcW w:w="1291" w:type="dxa"/>
            <w:vAlign w:val="center"/>
          </w:tcPr>
          <w:p w:rsidR="002B5652" w:rsidRDefault="00C36D55">
            <w:pPr>
              <w:jc w:val="right"/>
            </w:pPr>
            <w:r>
              <w:rPr>
                <w:rFonts w:eastAsiaTheme="minorEastAsia"/>
                <w:color w:val="000000" w:themeColor="text1"/>
                <w:szCs w:val="21"/>
              </w:rPr>
              <w:t>-</w:t>
            </w:r>
          </w:p>
        </w:tc>
        <w:tc>
          <w:tcPr>
            <w:tcW w:w="1291" w:type="dxa"/>
            <w:vAlign w:val="center"/>
          </w:tcPr>
          <w:p w:rsidR="002B5652" w:rsidRDefault="00C36D55">
            <w:pPr>
              <w:jc w:val="right"/>
            </w:pPr>
            <w:r>
              <w:rPr>
                <w:rFonts w:eastAsiaTheme="minorEastAsia"/>
                <w:color w:val="000000" w:themeColor="text1"/>
                <w:szCs w:val="21"/>
              </w:rPr>
              <w:t>-</w:t>
            </w:r>
          </w:p>
        </w:tc>
        <w:tc>
          <w:tcPr>
            <w:tcW w:w="1291" w:type="dxa"/>
            <w:vAlign w:val="center"/>
          </w:tcPr>
          <w:p w:rsidR="002B5652" w:rsidRDefault="00C36D55">
            <w:pPr>
              <w:jc w:val="right"/>
            </w:pPr>
            <w:r>
              <w:rPr>
                <w:rFonts w:eastAsiaTheme="minorEastAsia"/>
                <w:color w:val="000000" w:themeColor="text1"/>
                <w:szCs w:val="21"/>
              </w:rPr>
              <w:t>-</w:t>
            </w:r>
          </w:p>
        </w:tc>
        <w:tc>
          <w:tcPr>
            <w:tcW w:w="1291" w:type="dxa"/>
            <w:vAlign w:val="center"/>
          </w:tcPr>
          <w:p w:rsidR="002B5652" w:rsidRDefault="00C36D55">
            <w:pPr>
              <w:jc w:val="right"/>
            </w:pPr>
            <w:r>
              <w:rPr>
                <w:rFonts w:eastAsiaTheme="minorEastAsia"/>
                <w:color w:val="000000" w:themeColor="text1"/>
                <w:szCs w:val="21"/>
              </w:rPr>
              <w:t>-</w:t>
            </w:r>
          </w:p>
        </w:tc>
        <w:tc>
          <w:tcPr>
            <w:tcW w:w="1291" w:type="dxa"/>
            <w:vAlign w:val="center"/>
          </w:tcPr>
          <w:p w:rsidR="002B5652" w:rsidRDefault="00C36D55">
            <w:pPr>
              <w:jc w:val="right"/>
            </w:pPr>
            <w:r>
              <w:rPr>
                <w:rFonts w:eastAsiaTheme="minorEastAsia"/>
                <w:color w:val="000000" w:themeColor="text1"/>
                <w:szCs w:val="21"/>
              </w:rPr>
              <w:t>-</w:t>
            </w:r>
          </w:p>
        </w:tc>
      </w:tr>
      <w:tr w:rsidR="002B5652">
        <w:tc>
          <w:tcPr>
            <w:tcW w:w="1290" w:type="dxa"/>
            <w:vAlign w:val="center"/>
          </w:tcPr>
          <w:p w:rsidR="002B5652" w:rsidRDefault="00C36D55">
            <w:pPr>
              <w:jc w:val="left"/>
            </w:pPr>
            <w:r>
              <w:rPr>
                <w:rFonts w:eastAsiaTheme="minorEastAsia"/>
                <w:color w:val="000000" w:themeColor="text1"/>
                <w:szCs w:val="21"/>
              </w:rPr>
              <w:t>过去五年</w:t>
            </w:r>
          </w:p>
        </w:tc>
        <w:tc>
          <w:tcPr>
            <w:tcW w:w="1291" w:type="dxa"/>
            <w:vAlign w:val="center"/>
          </w:tcPr>
          <w:p w:rsidR="002B5652" w:rsidRDefault="00C36D55">
            <w:pPr>
              <w:jc w:val="right"/>
            </w:pPr>
            <w:r>
              <w:rPr>
                <w:rFonts w:eastAsiaTheme="minorEastAsia"/>
                <w:color w:val="000000" w:themeColor="text1"/>
                <w:szCs w:val="21"/>
              </w:rPr>
              <w:t>-</w:t>
            </w:r>
          </w:p>
        </w:tc>
        <w:tc>
          <w:tcPr>
            <w:tcW w:w="1291" w:type="dxa"/>
            <w:vAlign w:val="center"/>
          </w:tcPr>
          <w:p w:rsidR="002B5652" w:rsidRDefault="00C36D55">
            <w:pPr>
              <w:jc w:val="right"/>
            </w:pPr>
            <w:r>
              <w:rPr>
                <w:rFonts w:eastAsiaTheme="minorEastAsia"/>
                <w:color w:val="000000" w:themeColor="text1"/>
                <w:szCs w:val="21"/>
              </w:rPr>
              <w:t>-</w:t>
            </w:r>
          </w:p>
        </w:tc>
        <w:tc>
          <w:tcPr>
            <w:tcW w:w="1291" w:type="dxa"/>
            <w:vAlign w:val="center"/>
          </w:tcPr>
          <w:p w:rsidR="002B5652" w:rsidRDefault="00C36D55">
            <w:pPr>
              <w:jc w:val="right"/>
            </w:pPr>
            <w:r>
              <w:rPr>
                <w:rFonts w:eastAsiaTheme="minorEastAsia"/>
                <w:color w:val="000000" w:themeColor="text1"/>
                <w:szCs w:val="21"/>
              </w:rPr>
              <w:t>-</w:t>
            </w:r>
          </w:p>
        </w:tc>
        <w:tc>
          <w:tcPr>
            <w:tcW w:w="1291" w:type="dxa"/>
            <w:vAlign w:val="center"/>
          </w:tcPr>
          <w:p w:rsidR="002B5652" w:rsidRDefault="00C36D55">
            <w:pPr>
              <w:jc w:val="right"/>
            </w:pPr>
            <w:r>
              <w:rPr>
                <w:rFonts w:eastAsiaTheme="minorEastAsia"/>
                <w:color w:val="000000" w:themeColor="text1"/>
                <w:szCs w:val="21"/>
              </w:rPr>
              <w:t>-</w:t>
            </w:r>
          </w:p>
        </w:tc>
        <w:tc>
          <w:tcPr>
            <w:tcW w:w="1291" w:type="dxa"/>
            <w:vAlign w:val="center"/>
          </w:tcPr>
          <w:p w:rsidR="002B5652" w:rsidRDefault="00C36D55">
            <w:pPr>
              <w:jc w:val="right"/>
            </w:pPr>
            <w:r>
              <w:rPr>
                <w:rFonts w:eastAsiaTheme="minorEastAsia"/>
                <w:color w:val="000000" w:themeColor="text1"/>
                <w:szCs w:val="21"/>
              </w:rPr>
              <w:t>-</w:t>
            </w:r>
          </w:p>
        </w:tc>
        <w:tc>
          <w:tcPr>
            <w:tcW w:w="1291" w:type="dxa"/>
            <w:vAlign w:val="center"/>
          </w:tcPr>
          <w:p w:rsidR="002B5652" w:rsidRDefault="00C36D55">
            <w:pPr>
              <w:jc w:val="right"/>
            </w:pPr>
            <w:r>
              <w:rPr>
                <w:rFonts w:eastAsiaTheme="minorEastAsia"/>
                <w:color w:val="000000" w:themeColor="text1"/>
                <w:szCs w:val="21"/>
              </w:rPr>
              <w:t>-</w:t>
            </w:r>
          </w:p>
        </w:tc>
      </w:tr>
      <w:tr w:rsidR="002B5652">
        <w:tc>
          <w:tcPr>
            <w:tcW w:w="1290" w:type="dxa"/>
            <w:vAlign w:val="center"/>
          </w:tcPr>
          <w:p w:rsidR="002B5652" w:rsidRDefault="00C36D55">
            <w:pPr>
              <w:jc w:val="left"/>
            </w:pPr>
            <w:r>
              <w:rPr>
                <w:rFonts w:eastAsiaTheme="minorEastAsia"/>
                <w:color w:val="000000" w:themeColor="text1"/>
                <w:szCs w:val="21"/>
              </w:rPr>
              <w:t>自基金合同生效起至今</w:t>
            </w:r>
          </w:p>
        </w:tc>
        <w:tc>
          <w:tcPr>
            <w:tcW w:w="1291" w:type="dxa"/>
            <w:vAlign w:val="center"/>
          </w:tcPr>
          <w:p w:rsidR="002B5652" w:rsidRDefault="00C36D55">
            <w:pPr>
              <w:jc w:val="right"/>
            </w:pPr>
            <w:r>
              <w:rPr>
                <w:rFonts w:eastAsiaTheme="minorEastAsia"/>
                <w:color w:val="000000" w:themeColor="text1"/>
                <w:szCs w:val="21"/>
              </w:rPr>
              <w:t>-1.13%</w:t>
            </w:r>
          </w:p>
        </w:tc>
        <w:tc>
          <w:tcPr>
            <w:tcW w:w="1291" w:type="dxa"/>
            <w:vAlign w:val="center"/>
          </w:tcPr>
          <w:p w:rsidR="002B5652" w:rsidRDefault="00C36D55">
            <w:pPr>
              <w:jc w:val="right"/>
            </w:pPr>
            <w:r>
              <w:rPr>
                <w:rFonts w:eastAsiaTheme="minorEastAsia"/>
                <w:color w:val="000000" w:themeColor="text1"/>
                <w:szCs w:val="21"/>
              </w:rPr>
              <w:t>1.39%</w:t>
            </w:r>
          </w:p>
        </w:tc>
        <w:tc>
          <w:tcPr>
            <w:tcW w:w="1291" w:type="dxa"/>
            <w:vAlign w:val="center"/>
          </w:tcPr>
          <w:p w:rsidR="002B5652" w:rsidRDefault="00C36D55">
            <w:pPr>
              <w:jc w:val="right"/>
            </w:pPr>
            <w:r>
              <w:rPr>
                <w:rFonts w:eastAsiaTheme="minorEastAsia"/>
                <w:color w:val="000000" w:themeColor="text1"/>
                <w:szCs w:val="21"/>
              </w:rPr>
              <w:t>-0.91%</w:t>
            </w:r>
          </w:p>
        </w:tc>
        <w:tc>
          <w:tcPr>
            <w:tcW w:w="1291" w:type="dxa"/>
            <w:vAlign w:val="center"/>
          </w:tcPr>
          <w:p w:rsidR="002B5652" w:rsidRDefault="00C36D55">
            <w:pPr>
              <w:jc w:val="right"/>
            </w:pPr>
            <w:r>
              <w:rPr>
                <w:rFonts w:eastAsiaTheme="minorEastAsia"/>
                <w:color w:val="000000" w:themeColor="text1"/>
                <w:szCs w:val="21"/>
              </w:rPr>
              <w:t>1.13%</w:t>
            </w:r>
          </w:p>
        </w:tc>
        <w:tc>
          <w:tcPr>
            <w:tcW w:w="1291" w:type="dxa"/>
            <w:vAlign w:val="center"/>
          </w:tcPr>
          <w:p w:rsidR="002B5652" w:rsidRDefault="00C36D55">
            <w:pPr>
              <w:jc w:val="right"/>
            </w:pPr>
            <w:r>
              <w:rPr>
                <w:rFonts w:eastAsiaTheme="minorEastAsia"/>
                <w:color w:val="000000" w:themeColor="text1"/>
                <w:szCs w:val="21"/>
              </w:rPr>
              <w:t>-0.22%</w:t>
            </w:r>
          </w:p>
        </w:tc>
        <w:tc>
          <w:tcPr>
            <w:tcW w:w="1291" w:type="dxa"/>
            <w:vAlign w:val="center"/>
          </w:tcPr>
          <w:p w:rsidR="002B5652" w:rsidRDefault="00C36D55">
            <w:pPr>
              <w:jc w:val="right"/>
            </w:pPr>
            <w:r>
              <w:rPr>
                <w:rFonts w:eastAsiaTheme="minorEastAsia"/>
                <w:color w:val="000000" w:themeColor="text1"/>
                <w:szCs w:val="21"/>
              </w:rPr>
              <w:t>0.26%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上投摩根双核平衡混合型证券投资基金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5</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．上投摩根双核平衡混合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B5652" w:rsidRDefault="00C36D5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．上投摩根双核平衡混合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B5652" w:rsidRDefault="00C36D5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sidR="00A82970">
        <w:rPr>
          <w:rFonts w:eastAsiaTheme="minorEastAsia"/>
          <w:color w:val="000000" w:themeColor="text1"/>
          <w:szCs w:val="21"/>
        </w:rPr>
        <w:t>年</w:t>
      </w:r>
      <w:r w:rsidR="00A82970">
        <w:rPr>
          <w:rFonts w:eastAsiaTheme="minorEastAsia"/>
          <w:color w:val="000000" w:themeColor="text1"/>
          <w:szCs w:val="21"/>
        </w:rPr>
        <w:t>2</w:t>
      </w:r>
      <w:r w:rsidR="00A82970">
        <w:rPr>
          <w:rFonts w:eastAsiaTheme="minorEastAsia"/>
          <w:color w:val="000000" w:themeColor="text1"/>
          <w:szCs w:val="21"/>
        </w:rPr>
        <w:t>月</w:t>
      </w:r>
      <w:r w:rsidR="00A82970">
        <w:rPr>
          <w:rFonts w:eastAsiaTheme="minorEastAsia"/>
          <w:color w:val="000000" w:themeColor="text1"/>
          <w:szCs w:val="21"/>
        </w:rPr>
        <w:t>22</w:t>
      </w:r>
      <w:r w:rsidR="00A82970">
        <w:rPr>
          <w:rFonts w:eastAsiaTheme="minorEastAsia"/>
          <w:color w:val="000000" w:themeColor="text1"/>
          <w:szCs w:val="21"/>
        </w:rPr>
        <w:t>日</w:t>
      </w:r>
      <w:r>
        <w:rPr>
          <w:rFonts w:eastAsiaTheme="minorEastAsia"/>
          <w:color w:val="000000" w:themeColor="text1"/>
          <w:szCs w:val="21"/>
        </w:rPr>
        <w:t>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B5652">
        <w:tc>
          <w:tcPr>
            <w:tcW w:w="952" w:type="dxa"/>
            <w:vAlign w:val="center"/>
          </w:tcPr>
          <w:p w:rsidR="002B5652" w:rsidRDefault="00C36D55">
            <w:pPr>
              <w:jc w:val="center"/>
            </w:pPr>
            <w:r>
              <w:rPr>
                <w:rFonts w:eastAsiaTheme="minorEastAsia"/>
                <w:color w:val="000000" w:themeColor="text1"/>
                <w:szCs w:val="21"/>
              </w:rPr>
              <w:t>陈思郁</w:t>
            </w:r>
          </w:p>
        </w:tc>
        <w:tc>
          <w:tcPr>
            <w:tcW w:w="930" w:type="dxa"/>
            <w:vAlign w:val="center"/>
          </w:tcPr>
          <w:p w:rsidR="002B5652" w:rsidRDefault="00C36D55">
            <w:pPr>
              <w:jc w:val="center"/>
            </w:pPr>
            <w:r>
              <w:rPr>
                <w:rFonts w:eastAsiaTheme="minorEastAsia"/>
                <w:color w:val="000000" w:themeColor="text1"/>
                <w:szCs w:val="21"/>
              </w:rPr>
              <w:t>本基金基金经理</w:t>
            </w:r>
          </w:p>
        </w:tc>
        <w:tc>
          <w:tcPr>
            <w:tcW w:w="1210" w:type="dxa"/>
            <w:vAlign w:val="center"/>
          </w:tcPr>
          <w:p w:rsidR="002B5652" w:rsidRDefault="00C36D55">
            <w:pPr>
              <w:jc w:val="center"/>
            </w:pPr>
            <w:r>
              <w:rPr>
                <w:rFonts w:eastAsiaTheme="minorEastAsia"/>
                <w:color w:val="000000" w:themeColor="text1"/>
                <w:szCs w:val="21"/>
              </w:rPr>
              <w:t>2015-08-04</w:t>
            </w:r>
          </w:p>
        </w:tc>
        <w:tc>
          <w:tcPr>
            <w:tcW w:w="1309" w:type="dxa"/>
            <w:vAlign w:val="center"/>
          </w:tcPr>
          <w:p w:rsidR="002B5652" w:rsidRDefault="00C36D55">
            <w:pPr>
              <w:jc w:val="center"/>
            </w:pPr>
            <w:r>
              <w:rPr>
                <w:rFonts w:eastAsiaTheme="minorEastAsia"/>
                <w:color w:val="000000" w:themeColor="text1"/>
                <w:szCs w:val="21"/>
              </w:rPr>
              <w:t>-</w:t>
            </w:r>
          </w:p>
        </w:tc>
        <w:tc>
          <w:tcPr>
            <w:tcW w:w="1254" w:type="dxa"/>
            <w:vAlign w:val="center"/>
          </w:tcPr>
          <w:p w:rsidR="002B5652" w:rsidRDefault="00C36D55">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2B5652" w:rsidRDefault="00C36D55">
            <w:r>
              <w:rPr>
                <w:rFonts w:eastAsiaTheme="minorEastAsia"/>
                <w:color w:val="000000" w:themeColor="text1"/>
                <w:szCs w:val="21"/>
              </w:rPr>
              <w:t>陈思郁女士，英国伦敦大学学院经济学硕士，</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月在国泰君安研究所担任研究员。自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月起加入上投摩根基金管理有限公司，历任行业专家、基金经理助理，现任国内权益投资部基金经理，自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月起担任上投摩根双核平衡混合型证券投资基金基金经理，自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月起同时担任上投摩根安全战略股票型证券投资基金基金经理，自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月起同时担任上投摩根景气甄选混合型证券投资基金基金经理。</w:t>
            </w:r>
          </w:p>
        </w:tc>
      </w:tr>
    </w:tbl>
    <w:p w:rsidR="002B5652" w:rsidRDefault="00C36D5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双核平衡混合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B5652" w:rsidRDefault="00C36D5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B5652" w:rsidRDefault="00C36D5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B5652" w:rsidRDefault="00C36D5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B5652" w:rsidRDefault="00C36D55">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今年以来，市场延续了去年四季度的颓势，依然非常疲弱，赛道股均出现了较大调整，基本面出问题的个股高点回撤</w:t>
      </w:r>
      <w:r>
        <w:rPr>
          <w:rFonts w:eastAsiaTheme="minorEastAsia"/>
          <w:color w:val="000000" w:themeColor="text1"/>
          <w:szCs w:val="21"/>
        </w:rPr>
        <w:t>50%</w:t>
      </w:r>
      <w:r>
        <w:rPr>
          <w:rFonts w:eastAsiaTheme="minorEastAsia"/>
          <w:color w:val="000000" w:themeColor="text1"/>
          <w:szCs w:val="21"/>
        </w:rPr>
        <w:t>甚至更多，基本面没有出问题的个股也出现了杀估值的情况，成长型的基金回撤幅度均比较大。市场如此羸弱的原因，一方面，经济本身处于向下的大周期当中，压力较大，稳增长政策目前落地的并不多；另一方面黑天鹅事件频出，俄乌战争让本已经有回落趋势的大宗商品价格向上急剧抬升，</w:t>
      </w:r>
      <w:r>
        <w:rPr>
          <w:rFonts w:eastAsiaTheme="minorEastAsia"/>
          <w:color w:val="000000" w:themeColor="text1"/>
          <w:szCs w:val="21"/>
        </w:rPr>
        <w:t>PPI</w:t>
      </w:r>
      <w:r>
        <w:rPr>
          <w:rFonts w:eastAsiaTheme="minorEastAsia"/>
          <w:color w:val="000000" w:themeColor="text1"/>
          <w:szCs w:val="21"/>
        </w:rPr>
        <w:t>提升至近年的高位，市场对于滞涨的担心提升到了较高水平，同时国内疫情此起彼伏，给上市公司经营带来了较大的扰乱，进而影响公司业绩，马上到来的财报季，可能存在较多公司业绩下修的情况，也给投资增加了难度。</w:t>
      </w:r>
    </w:p>
    <w:p w:rsidR="002B5652" w:rsidRDefault="00C36D5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从去年下半年来就降低了仓位，保守应对，但由于拿的均是景气度较高的赛道股，依然有所回撤。但较低的仓位还是给基金提供了一定的保护。同时对于市场上轮动较快的热点，也并没有过多参与，比如元宇宙、绿电等，避免了损失。</w:t>
      </w:r>
    </w:p>
    <w:p w:rsidR="002B5652" w:rsidRDefault="00C36D55">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展望未来，我们并不悲观，主要原因有二：其一，本轮回撤，幅度已经较大，从历史复盘看，超过此次调整的只有</w:t>
      </w:r>
      <w:r>
        <w:rPr>
          <w:rFonts w:eastAsiaTheme="minorEastAsia"/>
          <w:color w:val="000000" w:themeColor="text1"/>
          <w:szCs w:val="21"/>
        </w:rPr>
        <w:t>2015</w:t>
      </w:r>
      <w:r>
        <w:rPr>
          <w:rFonts w:eastAsiaTheme="minorEastAsia"/>
          <w:color w:val="000000" w:themeColor="text1"/>
          <w:szCs w:val="21"/>
        </w:rPr>
        <w:t>年和</w:t>
      </w:r>
      <w:r>
        <w:rPr>
          <w:rFonts w:eastAsiaTheme="minorEastAsia"/>
          <w:color w:val="000000" w:themeColor="text1"/>
          <w:szCs w:val="21"/>
        </w:rPr>
        <w:t>2008</w:t>
      </w:r>
      <w:r>
        <w:rPr>
          <w:rFonts w:eastAsiaTheme="minorEastAsia"/>
          <w:color w:val="000000" w:themeColor="text1"/>
          <w:szCs w:val="21"/>
        </w:rPr>
        <w:t>年次贷危机了，同时调整的时间也有半年，至少可以期待一个像样的反弹；其二，市场的情绪已经接近冰点，大家都开始杀入稳增长板块，稳增长板块更多的是处于避险和资金博弈（因为目前稳增长政策都还没有落地，刚刚开完两会，现在更重要的任务是控制疫情，因此这些稳增长的标的业绩可能是没有增量的），市场一旦有一个未经验证的传言就会给一个行业的短期表现带来巨大影响，这些迹象都是底部的特征。因此在目前的时候我们并不悲观，加上本基金仓位偏低，因此更多的是要思考何时加仓，以及加仓什么标的的时候。</w:t>
      </w:r>
    </w:p>
    <w:p w:rsidR="002B5652" w:rsidRDefault="00C36D55">
      <w:pPr>
        <w:spacing w:line="360" w:lineRule="auto"/>
        <w:ind w:firstLineChars="200" w:firstLine="420"/>
        <w:rPr>
          <w:rFonts w:eastAsiaTheme="minorEastAsia"/>
          <w:color w:val="000000" w:themeColor="text1"/>
          <w:szCs w:val="21"/>
        </w:rPr>
      </w:pPr>
      <w:r>
        <w:rPr>
          <w:rFonts w:eastAsiaTheme="minorEastAsia"/>
          <w:color w:val="000000" w:themeColor="text1"/>
          <w:szCs w:val="21"/>
        </w:rPr>
        <w:t>熊市做反弹并不容易，因此本基金会逐步缓慢的加仓，方向依然是结合马上要披露的一季报，买入短期业绩好，甚至有望超预期，中长期逻辑通顺，天花板高的板块和标的。依然看好新能源汽车、军工、医药等。</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现在我们处于一个经济面和情绪面的低点，经历了战争和疫情，但我们相信这些迟早会过去，稳增长政策一定会出台，经济底部并不遥远。回顾历史，我们都经历过大幅回调、熔断、次贷危机、欧债危机，当时我们都很难过，大环境不好、情绪低迷，净值暴跌，但后面我们都走出来了，净值也不断的创新高，同样，现在我们是不容易，很难过，但一切都是周期，我们现在或就是周期的底部。</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B5652" w:rsidRDefault="00C36D5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本报告期上投摩根双核平衡混合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:-13.84%</w:t>
      </w:r>
      <w:r>
        <w:rPr>
          <w:rFonts w:eastAsiaTheme="minorEastAsia"/>
          <w:color w:val="000000" w:themeColor="text1"/>
          <w:szCs w:val="21"/>
        </w:rPr>
        <w:t>，同期业绩比较基准收益率为</w:t>
      </w:r>
      <w:r>
        <w:rPr>
          <w:rFonts w:eastAsiaTheme="minorEastAsia"/>
          <w:color w:val="000000" w:themeColor="text1"/>
          <w:szCs w:val="21"/>
        </w:rPr>
        <w:t>:-6.79%</w:t>
      </w:r>
      <w:r>
        <w:rPr>
          <w:rFonts w:eastAsiaTheme="minorEastAsia"/>
          <w:color w:val="000000" w:themeColor="text1"/>
          <w:szCs w:val="21"/>
        </w:rPr>
        <w:t>。</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上投摩根双核平衡混合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:-1.13%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283,320,523.22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58.68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283,320,523.22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58.68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174,671,668.25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36.18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174,671,668.25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36.18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20,049,914.11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4,739,915.73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482,782,021.31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238,359,975.53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49.65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29,823.90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16,541.00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7,603.20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28,952,076.11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15,949,489.38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5,014.10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283,320,523.22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59.01</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B5652">
        <w:tc>
          <w:tcPr>
            <w:tcW w:w="817" w:type="dxa"/>
            <w:vAlign w:val="center"/>
          </w:tcPr>
          <w:p w:rsidR="002B5652" w:rsidRDefault="00C36D55">
            <w:pPr>
              <w:jc w:val="center"/>
            </w:pPr>
            <w:r>
              <w:rPr>
                <w:rFonts w:eastAsiaTheme="minorEastAsia"/>
                <w:kern w:val="0"/>
                <w:szCs w:val="21"/>
              </w:rPr>
              <w:t>1</w:t>
            </w:r>
          </w:p>
        </w:tc>
        <w:tc>
          <w:tcPr>
            <w:tcW w:w="1276" w:type="dxa"/>
            <w:vAlign w:val="center"/>
          </w:tcPr>
          <w:p w:rsidR="002B5652" w:rsidRDefault="00C36D55">
            <w:pPr>
              <w:jc w:val="center"/>
            </w:pPr>
            <w:r>
              <w:rPr>
                <w:rFonts w:eastAsiaTheme="minorEastAsia"/>
                <w:kern w:val="0"/>
                <w:szCs w:val="21"/>
              </w:rPr>
              <w:t>600519</w:t>
            </w:r>
          </w:p>
        </w:tc>
        <w:tc>
          <w:tcPr>
            <w:tcW w:w="1701" w:type="dxa"/>
            <w:vAlign w:val="center"/>
          </w:tcPr>
          <w:p w:rsidR="002B5652" w:rsidRDefault="00C36D55">
            <w:pPr>
              <w:jc w:val="center"/>
            </w:pPr>
            <w:r>
              <w:rPr>
                <w:rFonts w:eastAsiaTheme="minorEastAsia"/>
                <w:kern w:val="0"/>
                <w:szCs w:val="21"/>
              </w:rPr>
              <w:t>贵州茅台</w:t>
            </w:r>
          </w:p>
        </w:tc>
        <w:tc>
          <w:tcPr>
            <w:tcW w:w="1276" w:type="dxa"/>
            <w:vAlign w:val="center"/>
          </w:tcPr>
          <w:p w:rsidR="002B5652" w:rsidRDefault="00C36D55">
            <w:pPr>
              <w:jc w:val="right"/>
            </w:pPr>
            <w:r>
              <w:rPr>
                <w:rFonts w:eastAsiaTheme="minorEastAsia"/>
                <w:kern w:val="0"/>
                <w:szCs w:val="21"/>
              </w:rPr>
              <w:t>14,693</w:t>
            </w:r>
          </w:p>
        </w:tc>
        <w:tc>
          <w:tcPr>
            <w:tcW w:w="1842" w:type="dxa"/>
            <w:vAlign w:val="center"/>
          </w:tcPr>
          <w:p w:rsidR="002B5652" w:rsidRDefault="00C36D55">
            <w:pPr>
              <w:jc w:val="right"/>
            </w:pPr>
            <w:r>
              <w:rPr>
                <w:rFonts w:eastAsiaTheme="minorEastAsia"/>
                <w:kern w:val="0"/>
                <w:szCs w:val="21"/>
              </w:rPr>
              <w:t>25,257,267.00</w:t>
            </w:r>
          </w:p>
        </w:tc>
        <w:tc>
          <w:tcPr>
            <w:tcW w:w="1616" w:type="dxa"/>
            <w:vAlign w:val="center"/>
          </w:tcPr>
          <w:p w:rsidR="002B5652" w:rsidRDefault="00C36D55">
            <w:pPr>
              <w:jc w:val="right"/>
            </w:pPr>
            <w:r>
              <w:rPr>
                <w:rFonts w:eastAsiaTheme="minorEastAsia"/>
                <w:kern w:val="0"/>
                <w:szCs w:val="21"/>
              </w:rPr>
              <w:t>5.26</w:t>
            </w:r>
          </w:p>
        </w:tc>
      </w:tr>
      <w:tr w:rsidR="002B5652">
        <w:tc>
          <w:tcPr>
            <w:tcW w:w="817" w:type="dxa"/>
            <w:vAlign w:val="center"/>
          </w:tcPr>
          <w:p w:rsidR="002B5652" w:rsidRDefault="00C36D55">
            <w:pPr>
              <w:jc w:val="center"/>
            </w:pPr>
            <w:r>
              <w:rPr>
                <w:rFonts w:eastAsiaTheme="minorEastAsia"/>
                <w:kern w:val="0"/>
                <w:szCs w:val="21"/>
              </w:rPr>
              <w:t>2</w:t>
            </w:r>
          </w:p>
        </w:tc>
        <w:tc>
          <w:tcPr>
            <w:tcW w:w="1276" w:type="dxa"/>
            <w:vAlign w:val="center"/>
          </w:tcPr>
          <w:p w:rsidR="002B5652" w:rsidRDefault="00C36D55">
            <w:pPr>
              <w:jc w:val="center"/>
            </w:pPr>
            <w:r>
              <w:rPr>
                <w:rFonts w:eastAsiaTheme="minorEastAsia"/>
                <w:kern w:val="0"/>
                <w:szCs w:val="21"/>
              </w:rPr>
              <w:t>002812</w:t>
            </w:r>
          </w:p>
        </w:tc>
        <w:tc>
          <w:tcPr>
            <w:tcW w:w="1701" w:type="dxa"/>
            <w:vAlign w:val="center"/>
          </w:tcPr>
          <w:p w:rsidR="002B5652" w:rsidRDefault="00C36D55">
            <w:pPr>
              <w:jc w:val="center"/>
            </w:pPr>
            <w:r>
              <w:rPr>
                <w:rFonts w:eastAsiaTheme="minorEastAsia"/>
                <w:kern w:val="0"/>
                <w:szCs w:val="21"/>
              </w:rPr>
              <w:t>恩捷股份</w:t>
            </w:r>
          </w:p>
        </w:tc>
        <w:tc>
          <w:tcPr>
            <w:tcW w:w="1276" w:type="dxa"/>
            <w:vAlign w:val="center"/>
          </w:tcPr>
          <w:p w:rsidR="002B5652" w:rsidRDefault="00C36D55">
            <w:pPr>
              <w:jc w:val="right"/>
            </w:pPr>
            <w:r>
              <w:rPr>
                <w:rFonts w:eastAsiaTheme="minorEastAsia"/>
                <w:kern w:val="0"/>
                <w:szCs w:val="21"/>
              </w:rPr>
              <w:t>90,079</w:t>
            </w:r>
          </w:p>
        </w:tc>
        <w:tc>
          <w:tcPr>
            <w:tcW w:w="1842" w:type="dxa"/>
            <w:vAlign w:val="center"/>
          </w:tcPr>
          <w:p w:rsidR="002B5652" w:rsidRDefault="00C36D55">
            <w:pPr>
              <w:jc w:val="right"/>
            </w:pPr>
            <w:r>
              <w:rPr>
                <w:rFonts w:eastAsiaTheme="minorEastAsia"/>
                <w:kern w:val="0"/>
                <w:szCs w:val="21"/>
              </w:rPr>
              <w:t>19,817,380.00</w:t>
            </w:r>
          </w:p>
        </w:tc>
        <w:tc>
          <w:tcPr>
            <w:tcW w:w="1616" w:type="dxa"/>
            <w:vAlign w:val="center"/>
          </w:tcPr>
          <w:p w:rsidR="002B5652" w:rsidRDefault="00C36D55">
            <w:pPr>
              <w:jc w:val="right"/>
            </w:pPr>
            <w:r>
              <w:rPr>
                <w:rFonts w:eastAsiaTheme="minorEastAsia"/>
                <w:kern w:val="0"/>
                <w:szCs w:val="21"/>
              </w:rPr>
              <w:t>4.13</w:t>
            </w:r>
          </w:p>
        </w:tc>
      </w:tr>
      <w:tr w:rsidR="002B5652">
        <w:tc>
          <w:tcPr>
            <w:tcW w:w="817" w:type="dxa"/>
            <w:vAlign w:val="center"/>
          </w:tcPr>
          <w:p w:rsidR="002B5652" w:rsidRDefault="00C36D55">
            <w:pPr>
              <w:jc w:val="center"/>
            </w:pPr>
            <w:r>
              <w:rPr>
                <w:rFonts w:eastAsiaTheme="minorEastAsia"/>
                <w:kern w:val="0"/>
                <w:szCs w:val="21"/>
              </w:rPr>
              <w:t>3</w:t>
            </w:r>
          </w:p>
        </w:tc>
        <w:tc>
          <w:tcPr>
            <w:tcW w:w="1276" w:type="dxa"/>
            <w:vAlign w:val="center"/>
          </w:tcPr>
          <w:p w:rsidR="002B5652" w:rsidRDefault="00C36D55">
            <w:pPr>
              <w:jc w:val="center"/>
            </w:pPr>
            <w:r>
              <w:rPr>
                <w:rFonts w:eastAsiaTheme="minorEastAsia"/>
                <w:kern w:val="0"/>
                <w:szCs w:val="21"/>
              </w:rPr>
              <w:t>300750</w:t>
            </w:r>
          </w:p>
        </w:tc>
        <w:tc>
          <w:tcPr>
            <w:tcW w:w="1701" w:type="dxa"/>
            <w:vAlign w:val="center"/>
          </w:tcPr>
          <w:p w:rsidR="002B5652" w:rsidRDefault="00C36D55">
            <w:pPr>
              <w:jc w:val="center"/>
            </w:pPr>
            <w:r>
              <w:rPr>
                <w:rFonts w:eastAsiaTheme="minorEastAsia"/>
                <w:kern w:val="0"/>
                <w:szCs w:val="21"/>
              </w:rPr>
              <w:t>宁德时代</w:t>
            </w:r>
          </w:p>
        </w:tc>
        <w:tc>
          <w:tcPr>
            <w:tcW w:w="1276" w:type="dxa"/>
            <w:vAlign w:val="center"/>
          </w:tcPr>
          <w:p w:rsidR="002B5652" w:rsidRDefault="00C36D55">
            <w:pPr>
              <w:jc w:val="right"/>
            </w:pPr>
            <w:r>
              <w:rPr>
                <w:rFonts w:eastAsiaTheme="minorEastAsia"/>
                <w:kern w:val="0"/>
                <w:szCs w:val="21"/>
              </w:rPr>
              <w:t>34,229</w:t>
            </w:r>
          </w:p>
        </w:tc>
        <w:tc>
          <w:tcPr>
            <w:tcW w:w="1842" w:type="dxa"/>
            <w:vAlign w:val="center"/>
          </w:tcPr>
          <w:p w:rsidR="002B5652" w:rsidRDefault="00C36D55">
            <w:pPr>
              <w:jc w:val="right"/>
            </w:pPr>
            <w:r>
              <w:rPr>
                <w:rFonts w:eastAsiaTheme="minorEastAsia"/>
                <w:kern w:val="0"/>
                <w:szCs w:val="21"/>
              </w:rPr>
              <w:t>17,535,516.70</w:t>
            </w:r>
          </w:p>
        </w:tc>
        <w:tc>
          <w:tcPr>
            <w:tcW w:w="1616" w:type="dxa"/>
            <w:vAlign w:val="center"/>
          </w:tcPr>
          <w:p w:rsidR="002B5652" w:rsidRDefault="00C36D55">
            <w:pPr>
              <w:jc w:val="right"/>
            </w:pPr>
            <w:r>
              <w:rPr>
                <w:rFonts w:eastAsiaTheme="minorEastAsia"/>
                <w:kern w:val="0"/>
                <w:szCs w:val="21"/>
              </w:rPr>
              <w:t>3.65</w:t>
            </w:r>
          </w:p>
        </w:tc>
      </w:tr>
      <w:tr w:rsidR="002B5652">
        <w:tc>
          <w:tcPr>
            <w:tcW w:w="817" w:type="dxa"/>
            <w:vAlign w:val="center"/>
          </w:tcPr>
          <w:p w:rsidR="002B5652" w:rsidRDefault="00C36D55">
            <w:pPr>
              <w:jc w:val="center"/>
            </w:pPr>
            <w:r>
              <w:rPr>
                <w:rFonts w:eastAsiaTheme="minorEastAsia"/>
                <w:kern w:val="0"/>
                <w:szCs w:val="21"/>
              </w:rPr>
              <w:t>4</w:t>
            </w:r>
          </w:p>
        </w:tc>
        <w:tc>
          <w:tcPr>
            <w:tcW w:w="1276" w:type="dxa"/>
            <w:vAlign w:val="center"/>
          </w:tcPr>
          <w:p w:rsidR="002B5652" w:rsidRDefault="00C36D55">
            <w:pPr>
              <w:jc w:val="center"/>
            </w:pPr>
            <w:r>
              <w:rPr>
                <w:rFonts w:eastAsiaTheme="minorEastAsia"/>
                <w:kern w:val="0"/>
                <w:szCs w:val="21"/>
              </w:rPr>
              <w:t>002049</w:t>
            </w:r>
          </w:p>
        </w:tc>
        <w:tc>
          <w:tcPr>
            <w:tcW w:w="1701" w:type="dxa"/>
            <w:vAlign w:val="center"/>
          </w:tcPr>
          <w:p w:rsidR="002B5652" w:rsidRDefault="00C36D55">
            <w:pPr>
              <w:jc w:val="center"/>
            </w:pPr>
            <w:r>
              <w:rPr>
                <w:rFonts w:eastAsiaTheme="minorEastAsia"/>
                <w:kern w:val="0"/>
                <w:szCs w:val="21"/>
              </w:rPr>
              <w:t>紫光国微</w:t>
            </w:r>
          </w:p>
        </w:tc>
        <w:tc>
          <w:tcPr>
            <w:tcW w:w="1276" w:type="dxa"/>
            <w:vAlign w:val="center"/>
          </w:tcPr>
          <w:p w:rsidR="002B5652" w:rsidRDefault="00C36D55">
            <w:pPr>
              <w:jc w:val="right"/>
            </w:pPr>
            <w:r>
              <w:rPr>
                <w:rFonts w:eastAsiaTheme="minorEastAsia"/>
                <w:kern w:val="0"/>
                <w:szCs w:val="21"/>
              </w:rPr>
              <w:t>79,712</w:t>
            </w:r>
          </w:p>
        </w:tc>
        <w:tc>
          <w:tcPr>
            <w:tcW w:w="1842" w:type="dxa"/>
            <w:vAlign w:val="center"/>
          </w:tcPr>
          <w:p w:rsidR="002B5652" w:rsidRDefault="00C36D55">
            <w:pPr>
              <w:jc w:val="right"/>
            </w:pPr>
            <w:r>
              <w:rPr>
                <w:rFonts w:eastAsiaTheme="minorEastAsia"/>
                <w:kern w:val="0"/>
                <w:szCs w:val="21"/>
              </w:rPr>
              <w:t>16,304,292.48</w:t>
            </w:r>
          </w:p>
        </w:tc>
        <w:tc>
          <w:tcPr>
            <w:tcW w:w="1616" w:type="dxa"/>
            <w:vAlign w:val="center"/>
          </w:tcPr>
          <w:p w:rsidR="002B5652" w:rsidRDefault="00C36D55">
            <w:pPr>
              <w:jc w:val="right"/>
            </w:pPr>
            <w:r>
              <w:rPr>
                <w:rFonts w:eastAsiaTheme="minorEastAsia"/>
                <w:kern w:val="0"/>
                <w:szCs w:val="21"/>
              </w:rPr>
              <w:t>3.40</w:t>
            </w:r>
          </w:p>
        </w:tc>
      </w:tr>
      <w:tr w:rsidR="002B5652">
        <w:tc>
          <w:tcPr>
            <w:tcW w:w="817" w:type="dxa"/>
            <w:vAlign w:val="center"/>
          </w:tcPr>
          <w:p w:rsidR="002B5652" w:rsidRDefault="00C36D55">
            <w:pPr>
              <w:jc w:val="center"/>
            </w:pPr>
            <w:r>
              <w:rPr>
                <w:rFonts w:eastAsiaTheme="minorEastAsia"/>
                <w:kern w:val="0"/>
                <w:szCs w:val="21"/>
              </w:rPr>
              <w:t>5</w:t>
            </w:r>
          </w:p>
        </w:tc>
        <w:tc>
          <w:tcPr>
            <w:tcW w:w="1276" w:type="dxa"/>
            <w:vAlign w:val="center"/>
          </w:tcPr>
          <w:p w:rsidR="002B5652" w:rsidRDefault="00C36D55">
            <w:pPr>
              <w:jc w:val="center"/>
            </w:pPr>
            <w:r>
              <w:rPr>
                <w:rFonts w:eastAsiaTheme="minorEastAsia"/>
                <w:kern w:val="0"/>
                <w:szCs w:val="21"/>
              </w:rPr>
              <w:t>000733</w:t>
            </w:r>
          </w:p>
        </w:tc>
        <w:tc>
          <w:tcPr>
            <w:tcW w:w="1701" w:type="dxa"/>
            <w:vAlign w:val="center"/>
          </w:tcPr>
          <w:p w:rsidR="002B5652" w:rsidRDefault="00C36D55">
            <w:pPr>
              <w:jc w:val="center"/>
            </w:pPr>
            <w:r>
              <w:rPr>
                <w:rFonts w:eastAsiaTheme="minorEastAsia"/>
                <w:kern w:val="0"/>
                <w:szCs w:val="21"/>
              </w:rPr>
              <w:t>振华科技</w:t>
            </w:r>
          </w:p>
        </w:tc>
        <w:tc>
          <w:tcPr>
            <w:tcW w:w="1276" w:type="dxa"/>
            <w:vAlign w:val="center"/>
          </w:tcPr>
          <w:p w:rsidR="002B5652" w:rsidRDefault="00C36D55">
            <w:pPr>
              <w:jc w:val="right"/>
            </w:pPr>
            <w:r>
              <w:rPr>
                <w:rFonts w:eastAsiaTheme="minorEastAsia"/>
                <w:kern w:val="0"/>
                <w:szCs w:val="21"/>
              </w:rPr>
              <w:t>141,967</w:t>
            </w:r>
          </w:p>
        </w:tc>
        <w:tc>
          <w:tcPr>
            <w:tcW w:w="1842" w:type="dxa"/>
            <w:vAlign w:val="center"/>
          </w:tcPr>
          <w:p w:rsidR="002B5652" w:rsidRDefault="00C36D55">
            <w:pPr>
              <w:jc w:val="right"/>
            </w:pPr>
            <w:r>
              <w:rPr>
                <w:rFonts w:eastAsiaTheme="minorEastAsia"/>
                <w:kern w:val="0"/>
                <w:szCs w:val="21"/>
              </w:rPr>
              <w:t>16,099,057.80</w:t>
            </w:r>
          </w:p>
        </w:tc>
        <w:tc>
          <w:tcPr>
            <w:tcW w:w="1616" w:type="dxa"/>
            <w:vAlign w:val="center"/>
          </w:tcPr>
          <w:p w:rsidR="002B5652" w:rsidRDefault="00C36D55">
            <w:pPr>
              <w:jc w:val="right"/>
            </w:pPr>
            <w:r>
              <w:rPr>
                <w:rFonts w:eastAsiaTheme="minorEastAsia"/>
                <w:kern w:val="0"/>
                <w:szCs w:val="21"/>
              </w:rPr>
              <w:t>3.35</w:t>
            </w:r>
          </w:p>
        </w:tc>
      </w:tr>
      <w:tr w:rsidR="002B5652">
        <w:tc>
          <w:tcPr>
            <w:tcW w:w="817" w:type="dxa"/>
            <w:vAlign w:val="center"/>
          </w:tcPr>
          <w:p w:rsidR="002B5652" w:rsidRDefault="00C36D55">
            <w:pPr>
              <w:jc w:val="center"/>
            </w:pPr>
            <w:r>
              <w:rPr>
                <w:rFonts w:eastAsiaTheme="minorEastAsia"/>
                <w:kern w:val="0"/>
                <w:szCs w:val="21"/>
              </w:rPr>
              <w:t>6</w:t>
            </w:r>
          </w:p>
        </w:tc>
        <w:tc>
          <w:tcPr>
            <w:tcW w:w="1276" w:type="dxa"/>
            <w:vAlign w:val="center"/>
          </w:tcPr>
          <w:p w:rsidR="002B5652" w:rsidRDefault="00C36D55">
            <w:pPr>
              <w:jc w:val="center"/>
            </w:pPr>
            <w:r>
              <w:rPr>
                <w:rFonts w:eastAsiaTheme="minorEastAsia"/>
                <w:kern w:val="0"/>
                <w:szCs w:val="21"/>
              </w:rPr>
              <w:t>688116</w:t>
            </w:r>
          </w:p>
        </w:tc>
        <w:tc>
          <w:tcPr>
            <w:tcW w:w="1701" w:type="dxa"/>
            <w:vAlign w:val="center"/>
          </w:tcPr>
          <w:p w:rsidR="002B5652" w:rsidRDefault="00C36D55">
            <w:pPr>
              <w:jc w:val="center"/>
            </w:pPr>
            <w:r>
              <w:rPr>
                <w:rFonts w:eastAsiaTheme="minorEastAsia"/>
                <w:kern w:val="0"/>
                <w:szCs w:val="21"/>
              </w:rPr>
              <w:t>天奈科技</w:t>
            </w:r>
          </w:p>
        </w:tc>
        <w:tc>
          <w:tcPr>
            <w:tcW w:w="1276" w:type="dxa"/>
            <w:vAlign w:val="center"/>
          </w:tcPr>
          <w:p w:rsidR="002B5652" w:rsidRDefault="00C36D55">
            <w:pPr>
              <w:jc w:val="right"/>
            </w:pPr>
            <w:r>
              <w:rPr>
                <w:rFonts w:eastAsiaTheme="minorEastAsia"/>
                <w:kern w:val="0"/>
                <w:szCs w:val="21"/>
              </w:rPr>
              <w:t>100,595</w:t>
            </w:r>
          </w:p>
        </w:tc>
        <w:tc>
          <w:tcPr>
            <w:tcW w:w="1842" w:type="dxa"/>
            <w:vAlign w:val="center"/>
          </w:tcPr>
          <w:p w:rsidR="002B5652" w:rsidRDefault="00C36D55">
            <w:pPr>
              <w:jc w:val="right"/>
            </w:pPr>
            <w:r>
              <w:rPr>
                <w:rFonts w:eastAsiaTheme="minorEastAsia"/>
                <w:kern w:val="0"/>
                <w:szCs w:val="21"/>
              </w:rPr>
              <w:t>14,557,102.45</w:t>
            </w:r>
          </w:p>
        </w:tc>
        <w:tc>
          <w:tcPr>
            <w:tcW w:w="1616" w:type="dxa"/>
            <w:vAlign w:val="center"/>
          </w:tcPr>
          <w:p w:rsidR="002B5652" w:rsidRDefault="00C36D55">
            <w:pPr>
              <w:jc w:val="right"/>
            </w:pPr>
            <w:r>
              <w:rPr>
                <w:rFonts w:eastAsiaTheme="minorEastAsia"/>
                <w:kern w:val="0"/>
                <w:szCs w:val="21"/>
              </w:rPr>
              <w:t>3.03</w:t>
            </w:r>
          </w:p>
        </w:tc>
      </w:tr>
      <w:tr w:rsidR="002B5652">
        <w:tc>
          <w:tcPr>
            <w:tcW w:w="817" w:type="dxa"/>
            <w:vAlign w:val="center"/>
          </w:tcPr>
          <w:p w:rsidR="002B5652" w:rsidRDefault="00C36D55">
            <w:pPr>
              <w:jc w:val="center"/>
            </w:pPr>
            <w:r>
              <w:rPr>
                <w:rFonts w:eastAsiaTheme="minorEastAsia"/>
                <w:kern w:val="0"/>
                <w:szCs w:val="21"/>
              </w:rPr>
              <w:t>7</w:t>
            </w:r>
          </w:p>
        </w:tc>
        <w:tc>
          <w:tcPr>
            <w:tcW w:w="1276" w:type="dxa"/>
            <w:vAlign w:val="center"/>
          </w:tcPr>
          <w:p w:rsidR="002B5652" w:rsidRDefault="00C36D55">
            <w:pPr>
              <w:jc w:val="center"/>
            </w:pPr>
            <w:r>
              <w:rPr>
                <w:rFonts w:eastAsiaTheme="minorEastAsia"/>
                <w:kern w:val="0"/>
                <w:szCs w:val="21"/>
              </w:rPr>
              <w:t>300122</w:t>
            </w:r>
          </w:p>
        </w:tc>
        <w:tc>
          <w:tcPr>
            <w:tcW w:w="1701" w:type="dxa"/>
            <w:vAlign w:val="center"/>
          </w:tcPr>
          <w:p w:rsidR="002B5652" w:rsidRDefault="00C36D55">
            <w:pPr>
              <w:jc w:val="center"/>
            </w:pPr>
            <w:r>
              <w:rPr>
                <w:rFonts w:eastAsiaTheme="minorEastAsia"/>
                <w:kern w:val="0"/>
                <w:szCs w:val="21"/>
              </w:rPr>
              <w:t>智飞生物</w:t>
            </w:r>
          </w:p>
        </w:tc>
        <w:tc>
          <w:tcPr>
            <w:tcW w:w="1276" w:type="dxa"/>
            <w:vAlign w:val="center"/>
          </w:tcPr>
          <w:p w:rsidR="002B5652" w:rsidRDefault="00C36D55">
            <w:pPr>
              <w:jc w:val="right"/>
            </w:pPr>
            <w:r>
              <w:rPr>
                <w:rFonts w:eastAsiaTheme="minorEastAsia"/>
                <w:kern w:val="0"/>
                <w:szCs w:val="21"/>
              </w:rPr>
              <w:t>102,700</w:t>
            </w:r>
          </w:p>
        </w:tc>
        <w:tc>
          <w:tcPr>
            <w:tcW w:w="1842" w:type="dxa"/>
            <w:vAlign w:val="center"/>
          </w:tcPr>
          <w:p w:rsidR="002B5652" w:rsidRDefault="00C36D55">
            <w:pPr>
              <w:jc w:val="right"/>
            </w:pPr>
            <w:r>
              <w:rPr>
                <w:rFonts w:eastAsiaTheme="minorEastAsia"/>
                <w:kern w:val="0"/>
                <w:szCs w:val="21"/>
              </w:rPr>
              <w:t>14,172,600.00</w:t>
            </w:r>
          </w:p>
        </w:tc>
        <w:tc>
          <w:tcPr>
            <w:tcW w:w="1616" w:type="dxa"/>
            <w:vAlign w:val="center"/>
          </w:tcPr>
          <w:p w:rsidR="002B5652" w:rsidRDefault="00C36D55">
            <w:pPr>
              <w:jc w:val="right"/>
            </w:pPr>
            <w:r>
              <w:rPr>
                <w:rFonts w:eastAsiaTheme="minorEastAsia"/>
                <w:kern w:val="0"/>
                <w:szCs w:val="21"/>
              </w:rPr>
              <w:t>2.95</w:t>
            </w:r>
          </w:p>
        </w:tc>
      </w:tr>
      <w:tr w:rsidR="002B5652">
        <w:tc>
          <w:tcPr>
            <w:tcW w:w="817" w:type="dxa"/>
            <w:vAlign w:val="center"/>
          </w:tcPr>
          <w:p w:rsidR="002B5652" w:rsidRDefault="00C36D55">
            <w:pPr>
              <w:jc w:val="center"/>
            </w:pPr>
            <w:r>
              <w:rPr>
                <w:rFonts w:eastAsiaTheme="minorEastAsia"/>
                <w:kern w:val="0"/>
                <w:szCs w:val="21"/>
              </w:rPr>
              <w:t>8</w:t>
            </w:r>
          </w:p>
        </w:tc>
        <w:tc>
          <w:tcPr>
            <w:tcW w:w="1276" w:type="dxa"/>
            <w:vAlign w:val="center"/>
          </w:tcPr>
          <w:p w:rsidR="002B5652" w:rsidRDefault="00C36D55">
            <w:pPr>
              <w:jc w:val="center"/>
            </w:pPr>
            <w:r>
              <w:rPr>
                <w:rFonts w:eastAsiaTheme="minorEastAsia"/>
                <w:kern w:val="0"/>
                <w:szCs w:val="21"/>
              </w:rPr>
              <w:t>300769</w:t>
            </w:r>
          </w:p>
        </w:tc>
        <w:tc>
          <w:tcPr>
            <w:tcW w:w="1701" w:type="dxa"/>
            <w:vAlign w:val="center"/>
          </w:tcPr>
          <w:p w:rsidR="002B5652" w:rsidRDefault="00C36D55">
            <w:pPr>
              <w:jc w:val="center"/>
            </w:pPr>
            <w:r>
              <w:rPr>
                <w:rFonts w:eastAsiaTheme="minorEastAsia"/>
                <w:kern w:val="0"/>
                <w:szCs w:val="21"/>
              </w:rPr>
              <w:t>德方纳米</w:t>
            </w:r>
          </w:p>
        </w:tc>
        <w:tc>
          <w:tcPr>
            <w:tcW w:w="1276" w:type="dxa"/>
            <w:vAlign w:val="center"/>
          </w:tcPr>
          <w:p w:rsidR="002B5652" w:rsidRDefault="00C36D55">
            <w:pPr>
              <w:jc w:val="right"/>
            </w:pPr>
            <w:r>
              <w:rPr>
                <w:rFonts w:eastAsiaTheme="minorEastAsia"/>
                <w:kern w:val="0"/>
                <w:szCs w:val="21"/>
              </w:rPr>
              <w:t>24,594</w:t>
            </w:r>
          </w:p>
        </w:tc>
        <w:tc>
          <w:tcPr>
            <w:tcW w:w="1842" w:type="dxa"/>
            <w:vAlign w:val="center"/>
          </w:tcPr>
          <w:p w:rsidR="002B5652" w:rsidRDefault="00C36D55">
            <w:pPr>
              <w:jc w:val="right"/>
            </w:pPr>
            <w:r>
              <w:rPr>
                <w:rFonts w:eastAsiaTheme="minorEastAsia"/>
                <w:kern w:val="0"/>
                <w:szCs w:val="21"/>
              </w:rPr>
              <w:t>13,986,607.80</w:t>
            </w:r>
          </w:p>
        </w:tc>
        <w:tc>
          <w:tcPr>
            <w:tcW w:w="1616" w:type="dxa"/>
            <w:vAlign w:val="center"/>
          </w:tcPr>
          <w:p w:rsidR="002B5652" w:rsidRDefault="00C36D55">
            <w:pPr>
              <w:jc w:val="right"/>
            </w:pPr>
            <w:r>
              <w:rPr>
                <w:rFonts w:eastAsiaTheme="minorEastAsia"/>
                <w:kern w:val="0"/>
                <w:szCs w:val="21"/>
              </w:rPr>
              <w:t>2.91</w:t>
            </w:r>
          </w:p>
        </w:tc>
      </w:tr>
      <w:tr w:rsidR="002B5652">
        <w:tc>
          <w:tcPr>
            <w:tcW w:w="817" w:type="dxa"/>
            <w:vAlign w:val="center"/>
          </w:tcPr>
          <w:p w:rsidR="002B5652" w:rsidRDefault="00C36D55">
            <w:pPr>
              <w:jc w:val="center"/>
            </w:pPr>
            <w:r>
              <w:rPr>
                <w:rFonts w:eastAsiaTheme="minorEastAsia"/>
                <w:kern w:val="0"/>
                <w:szCs w:val="21"/>
              </w:rPr>
              <w:t>9</w:t>
            </w:r>
          </w:p>
        </w:tc>
        <w:tc>
          <w:tcPr>
            <w:tcW w:w="1276" w:type="dxa"/>
            <w:vAlign w:val="center"/>
          </w:tcPr>
          <w:p w:rsidR="002B5652" w:rsidRDefault="00C36D55">
            <w:pPr>
              <w:jc w:val="center"/>
            </w:pPr>
            <w:r>
              <w:rPr>
                <w:rFonts w:eastAsiaTheme="minorEastAsia"/>
                <w:kern w:val="0"/>
                <w:szCs w:val="21"/>
              </w:rPr>
              <w:t>688536</w:t>
            </w:r>
          </w:p>
        </w:tc>
        <w:tc>
          <w:tcPr>
            <w:tcW w:w="1701" w:type="dxa"/>
            <w:vAlign w:val="center"/>
          </w:tcPr>
          <w:p w:rsidR="002B5652" w:rsidRDefault="00C36D55">
            <w:pPr>
              <w:jc w:val="center"/>
            </w:pPr>
            <w:r>
              <w:rPr>
                <w:rFonts w:eastAsiaTheme="minorEastAsia"/>
                <w:kern w:val="0"/>
                <w:szCs w:val="21"/>
              </w:rPr>
              <w:t>思瑞浦</w:t>
            </w:r>
          </w:p>
        </w:tc>
        <w:tc>
          <w:tcPr>
            <w:tcW w:w="1276" w:type="dxa"/>
            <w:vAlign w:val="center"/>
          </w:tcPr>
          <w:p w:rsidR="002B5652" w:rsidRDefault="00C36D55">
            <w:pPr>
              <w:jc w:val="right"/>
            </w:pPr>
            <w:r>
              <w:rPr>
                <w:rFonts w:eastAsiaTheme="minorEastAsia"/>
                <w:kern w:val="0"/>
                <w:szCs w:val="21"/>
              </w:rPr>
              <w:t>22,142</w:t>
            </w:r>
          </w:p>
        </w:tc>
        <w:tc>
          <w:tcPr>
            <w:tcW w:w="1842" w:type="dxa"/>
            <w:vAlign w:val="center"/>
          </w:tcPr>
          <w:p w:rsidR="002B5652" w:rsidRDefault="00C36D55">
            <w:pPr>
              <w:jc w:val="right"/>
            </w:pPr>
            <w:r>
              <w:rPr>
                <w:rFonts w:eastAsiaTheme="minorEastAsia"/>
                <w:kern w:val="0"/>
                <w:szCs w:val="21"/>
              </w:rPr>
              <w:t>13,727,597.16</w:t>
            </w:r>
          </w:p>
        </w:tc>
        <w:tc>
          <w:tcPr>
            <w:tcW w:w="1616" w:type="dxa"/>
            <w:vAlign w:val="center"/>
          </w:tcPr>
          <w:p w:rsidR="002B5652" w:rsidRDefault="00C36D55">
            <w:pPr>
              <w:jc w:val="right"/>
            </w:pPr>
            <w:r>
              <w:rPr>
                <w:rFonts w:eastAsiaTheme="minorEastAsia"/>
                <w:kern w:val="0"/>
                <w:szCs w:val="21"/>
              </w:rPr>
              <w:t>2.86</w:t>
            </w:r>
          </w:p>
        </w:tc>
      </w:tr>
      <w:tr w:rsidR="002B5652">
        <w:tc>
          <w:tcPr>
            <w:tcW w:w="817" w:type="dxa"/>
            <w:vAlign w:val="center"/>
          </w:tcPr>
          <w:p w:rsidR="002B5652" w:rsidRDefault="00C36D55">
            <w:pPr>
              <w:jc w:val="center"/>
            </w:pPr>
            <w:r>
              <w:rPr>
                <w:rFonts w:eastAsiaTheme="minorEastAsia"/>
                <w:kern w:val="0"/>
                <w:szCs w:val="21"/>
              </w:rPr>
              <w:t>10</w:t>
            </w:r>
          </w:p>
        </w:tc>
        <w:tc>
          <w:tcPr>
            <w:tcW w:w="1276" w:type="dxa"/>
            <w:vAlign w:val="center"/>
          </w:tcPr>
          <w:p w:rsidR="002B5652" w:rsidRDefault="00C36D55">
            <w:pPr>
              <w:jc w:val="center"/>
            </w:pPr>
            <w:r>
              <w:rPr>
                <w:rFonts w:eastAsiaTheme="minorEastAsia"/>
                <w:kern w:val="0"/>
                <w:szCs w:val="21"/>
              </w:rPr>
              <w:t>300363</w:t>
            </w:r>
          </w:p>
        </w:tc>
        <w:tc>
          <w:tcPr>
            <w:tcW w:w="1701" w:type="dxa"/>
            <w:vAlign w:val="center"/>
          </w:tcPr>
          <w:p w:rsidR="002B5652" w:rsidRDefault="00C36D55">
            <w:pPr>
              <w:jc w:val="center"/>
            </w:pPr>
            <w:r>
              <w:rPr>
                <w:rFonts w:eastAsiaTheme="minorEastAsia"/>
                <w:kern w:val="0"/>
                <w:szCs w:val="21"/>
              </w:rPr>
              <w:t>博腾股份</w:t>
            </w:r>
          </w:p>
        </w:tc>
        <w:tc>
          <w:tcPr>
            <w:tcW w:w="1276" w:type="dxa"/>
            <w:vAlign w:val="center"/>
          </w:tcPr>
          <w:p w:rsidR="002B5652" w:rsidRDefault="00C36D55">
            <w:pPr>
              <w:jc w:val="right"/>
            </w:pPr>
            <w:r>
              <w:rPr>
                <w:rFonts w:eastAsiaTheme="minorEastAsia"/>
                <w:kern w:val="0"/>
                <w:szCs w:val="21"/>
              </w:rPr>
              <w:t>140,555</w:t>
            </w:r>
          </w:p>
        </w:tc>
        <w:tc>
          <w:tcPr>
            <w:tcW w:w="1842" w:type="dxa"/>
            <w:vAlign w:val="center"/>
          </w:tcPr>
          <w:p w:rsidR="002B5652" w:rsidRDefault="00C36D55">
            <w:pPr>
              <w:jc w:val="right"/>
            </w:pPr>
            <w:r>
              <w:rPr>
                <w:rFonts w:eastAsiaTheme="minorEastAsia"/>
                <w:kern w:val="0"/>
                <w:szCs w:val="21"/>
              </w:rPr>
              <w:t>13,584,640.75</w:t>
            </w:r>
          </w:p>
        </w:tc>
        <w:tc>
          <w:tcPr>
            <w:tcW w:w="1616" w:type="dxa"/>
            <w:vAlign w:val="center"/>
          </w:tcPr>
          <w:p w:rsidR="002B5652" w:rsidRDefault="00C36D55">
            <w:pPr>
              <w:jc w:val="right"/>
            </w:pPr>
            <w:r>
              <w:rPr>
                <w:rFonts w:eastAsiaTheme="minorEastAsia"/>
                <w:kern w:val="0"/>
                <w:szCs w:val="21"/>
              </w:rPr>
              <w:t>2.83</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147,478,304.94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30.72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26,961,042.19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5.62</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26,961,042.19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232,321.12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174,671,668.25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36.38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2B5652">
        <w:tc>
          <w:tcPr>
            <w:tcW w:w="1504" w:type="dxa"/>
            <w:vAlign w:val="center"/>
          </w:tcPr>
          <w:p w:rsidR="002B5652" w:rsidRDefault="00C36D55">
            <w:pPr>
              <w:jc w:val="center"/>
            </w:pPr>
            <w:r>
              <w:rPr>
                <w:rFonts w:eastAsiaTheme="minorEastAsia"/>
                <w:color w:val="000000" w:themeColor="text1"/>
                <w:szCs w:val="21"/>
              </w:rPr>
              <w:t>1</w:t>
            </w:r>
          </w:p>
        </w:tc>
        <w:tc>
          <w:tcPr>
            <w:tcW w:w="1504" w:type="dxa"/>
            <w:vAlign w:val="center"/>
          </w:tcPr>
          <w:p w:rsidR="002B5652" w:rsidRDefault="00C36D55">
            <w:pPr>
              <w:jc w:val="center"/>
            </w:pPr>
            <w:r>
              <w:rPr>
                <w:rFonts w:eastAsiaTheme="minorEastAsia"/>
                <w:color w:val="000000" w:themeColor="text1"/>
                <w:szCs w:val="21"/>
              </w:rPr>
              <w:t>019658</w:t>
            </w:r>
          </w:p>
        </w:tc>
        <w:tc>
          <w:tcPr>
            <w:tcW w:w="1504" w:type="dxa"/>
            <w:vAlign w:val="center"/>
          </w:tcPr>
          <w:p w:rsidR="002B5652" w:rsidRDefault="00C36D55">
            <w:pPr>
              <w:jc w:val="center"/>
            </w:pPr>
            <w:r>
              <w:rPr>
                <w:rFonts w:eastAsiaTheme="minorEastAsia"/>
                <w:color w:val="000000" w:themeColor="text1"/>
                <w:szCs w:val="21"/>
              </w:rPr>
              <w:t>21</w:t>
            </w:r>
            <w:r>
              <w:rPr>
                <w:rFonts w:eastAsiaTheme="minorEastAsia"/>
                <w:color w:val="000000" w:themeColor="text1"/>
                <w:szCs w:val="21"/>
              </w:rPr>
              <w:t>国债</w:t>
            </w:r>
            <w:r>
              <w:rPr>
                <w:rFonts w:eastAsiaTheme="minorEastAsia"/>
                <w:color w:val="000000" w:themeColor="text1"/>
                <w:szCs w:val="21"/>
              </w:rPr>
              <w:t>10</w:t>
            </w:r>
          </w:p>
        </w:tc>
        <w:tc>
          <w:tcPr>
            <w:tcW w:w="1503" w:type="dxa"/>
            <w:vAlign w:val="center"/>
          </w:tcPr>
          <w:p w:rsidR="002B5652" w:rsidRDefault="00C36D55">
            <w:pPr>
              <w:jc w:val="right"/>
            </w:pPr>
            <w:r>
              <w:rPr>
                <w:rFonts w:eastAsiaTheme="minorEastAsia"/>
                <w:color w:val="000000" w:themeColor="text1"/>
                <w:szCs w:val="21"/>
              </w:rPr>
              <w:t>750,000</w:t>
            </w:r>
          </w:p>
        </w:tc>
        <w:tc>
          <w:tcPr>
            <w:tcW w:w="1503" w:type="dxa"/>
            <w:vAlign w:val="center"/>
          </w:tcPr>
          <w:p w:rsidR="002B5652" w:rsidRDefault="00C36D55">
            <w:pPr>
              <w:jc w:val="right"/>
            </w:pPr>
            <w:r>
              <w:rPr>
                <w:rFonts w:eastAsiaTheme="minorEastAsia"/>
                <w:color w:val="000000" w:themeColor="text1"/>
                <w:szCs w:val="21"/>
              </w:rPr>
              <w:t>76,017,226.03</w:t>
            </w:r>
          </w:p>
        </w:tc>
        <w:tc>
          <w:tcPr>
            <w:tcW w:w="1503" w:type="dxa"/>
            <w:vAlign w:val="center"/>
          </w:tcPr>
          <w:p w:rsidR="002B5652" w:rsidRDefault="00C36D55">
            <w:pPr>
              <w:jc w:val="right"/>
            </w:pPr>
            <w:r>
              <w:rPr>
                <w:rFonts w:eastAsiaTheme="minorEastAsia"/>
                <w:color w:val="000000" w:themeColor="text1"/>
                <w:szCs w:val="21"/>
              </w:rPr>
              <w:t>15.83</w:t>
            </w:r>
          </w:p>
        </w:tc>
      </w:tr>
      <w:tr w:rsidR="002B5652">
        <w:tc>
          <w:tcPr>
            <w:tcW w:w="1504" w:type="dxa"/>
            <w:vAlign w:val="center"/>
          </w:tcPr>
          <w:p w:rsidR="002B5652" w:rsidRDefault="00C36D55">
            <w:pPr>
              <w:jc w:val="center"/>
            </w:pPr>
            <w:r>
              <w:rPr>
                <w:rFonts w:eastAsiaTheme="minorEastAsia"/>
                <w:color w:val="000000" w:themeColor="text1"/>
                <w:szCs w:val="21"/>
              </w:rPr>
              <w:t>2</w:t>
            </w:r>
          </w:p>
        </w:tc>
        <w:tc>
          <w:tcPr>
            <w:tcW w:w="1504" w:type="dxa"/>
            <w:vAlign w:val="center"/>
          </w:tcPr>
          <w:p w:rsidR="002B5652" w:rsidRDefault="00C36D55">
            <w:pPr>
              <w:jc w:val="center"/>
            </w:pPr>
            <w:r>
              <w:rPr>
                <w:rFonts w:eastAsiaTheme="minorEastAsia"/>
                <w:color w:val="000000" w:themeColor="text1"/>
                <w:szCs w:val="21"/>
              </w:rPr>
              <w:t>019654</w:t>
            </w:r>
          </w:p>
        </w:tc>
        <w:tc>
          <w:tcPr>
            <w:tcW w:w="1504" w:type="dxa"/>
            <w:vAlign w:val="center"/>
          </w:tcPr>
          <w:p w:rsidR="002B5652" w:rsidRDefault="00C36D55">
            <w:pPr>
              <w:jc w:val="center"/>
            </w:pPr>
            <w:r>
              <w:rPr>
                <w:rFonts w:eastAsiaTheme="minorEastAsia"/>
                <w:color w:val="000000" w:themeColor="text1"/>
                <w:szCs w:val="21"/>
              </w:rPr>
              <w:t>21</w:t>
            </w:r>
            <w:r>
              <w:rPr>
                <w:rFonts w:eastAsiaTheme="minorEastAsia"/>
                <w:color w:val="000000" w:themeColor="text1"/>
                <w:szCs w:val="21"/>
              </w:rPr>
              <w:t>国债</w:t>
            </w:r>
            <w:r>
              <w:rPr>
                <w:rFonts w:eastAsiaTheme="minorEastAsia"/>
                <w:color w:val="000000" w:themeColor="text1"/>
                <w:szCs w:val="21"/>
              </w:rPr>
              <w:t>06</w:t>
            </w:r>
          </w:p>
        </w:tc>
        <w:tc>
          <w:tcPr>
            <w:tcW w:w="1503" w:type="dxa"/>
            <w:vAlign w:val="center"/>
          </w:tcPr>
          <w:p w:rsidR="002B5652" w:rsidRDefault="00C36D55">
            <w:pPr>
              <w:jc w:val="right"/>
            </w:pPr>
            <w:r>
              <w:rPr>
                <w:rFonts w:eastAsiaTheme="minorEastAsia"/>
                <w:color w:val="000000" w:themeColor="text1"/>
                <w:szCs w:val="21"/>
              </w:rPr>
              <w:t>450,000</w:t>
            </w:r>
          </w:p>
        </w:tc>
        <w:tc>
          <w:tcPr>
            <w:tcW w:w="1503" w:type="dxa"/>
            <w:vAlign w:val="center"/>
          </w:tcPr>
          <w:p w:rsidR="002B5652" w:rsidRDefault="00C36D55">
            <w:pPr>
              <w:jc w:val="right"/>
            </w:pPr>
            <w:r>
              <w:rPr>
                <w:rFonts w:eastAsiaTheme="minorEastAsia"/>
                <w:color w:val="000000" w:themeColor="text1"/>
                <w:szCs w:val="21"/>
              </w:rPr>
              <w:t>46,009,898.63</w:t>
            </w:r>
          </w:p>
        </w:tc>
        <w:tc>
          <w:tcPr>
            <w:tcW w:w="1503" w:type="dxa"/>
            <w:vAlign w:val="center"/>
          </w:tcPr>
          <w:p w:rsidR="002B5652" w:rsidRDefault="00C36D55">
            <w:pPr>
              <w:jc w:val="right"/>
            </w:pPr>
            <w:r>
              <w:rPr>
                <w:rFonts w:eastAsiaTheme="minorEastAsia"/>
                <w:color w:val="000000" w:themeColor="text1"/>
                <w:szCs w:val="21"/>
              </w:rPr>
              <w:t>9.58</w:t>
            </w:r>
          </w:p>
        </w:tc>
      </w:tr>
      <w:tr w:rsidR="002B5652">
        <w:tc>
          <w:tcPr>
            <w:tcW w:w="1504" w:type="dxa"/>
            <w:vAlign w:val="center"/>
          </w:tcPr>
          <w:p w:rsidR="002B5652" w:rsidRDefault="00C36D55">
            <w:pPr>
              <w:jc w:val="center"/>
            </w:pPr>
            <w:r>
              <w:rPr>
                <w:rFonts w:eastAsiaTheme="minorEastAsia"/>
                <w:color w:val="000000" w:themeColor="text1"/>
                <w:szCs w:val="21"/>
              </w:rPr>
              <w:t>3</w:t>
            </w:r>
          </w:p>
        </w:tc>
        <w:tc>
          <w:tcPr>
            <w:tcW w:w="1504" w:type="dxa"/>
            <w:vAlign w:val="center"/>
          </w:tcPr>
          <w:p w:rsidR="002B5652" w:rsidRDefault="00C36D55">
            <w:pPr>
              <w:jc w:val="center"/>
            </w:pPr>
            <w:r>
              <w:rPr>
                <w:rFonts w:eastAsiaTheme="minorEastAsia"/>
                <w:color w:val="000000" w:themeColor="text1"/>
                <w:szCs w:val="21"/>
              </w:rPr>
              <w:t>010303</w:t>
            </w:r>
          </w:p>
        </w:tc>
        <w:tc>
          <w:tcPr>
            <w:tcW w:w="1504" w:type="dxa"/>
            <w:vAlign w:val="center"/>
          </w:tcPr>
          <w:p w:rsidR="002B5652" w:rsidRDefault="00C36D55">
            <w:pPr>
              <w:jc w:val="center"/>
            </w:pPr>
            <w:r>
              <w:rPr>
                <w:rFonts w:eastAsiaTheme="minorEastAsia"/>
                <w:color w:val="000000" w:themeColor="text1"/>
                <w:szCs w:val="21"/>
              </w:rPr>
              <w:t>03</w:t>
            </w:r>
            <w:r>
              <w:rPr>
                <w:rFonts w:eastAsiaTheme="minorEastAsia"/>
                <w:color w:val="000000" w:themeColor="text1"/>
                <w:szCs w:val="21"/>
              </w:rPr>
              <w:t>国债</w:t>
            </w:r>
            <w:r>
              <w:rPr>
                <w:rFonts w:eastAsiaTheme="minorEastAsia"/>
                <w:color w:val="000000" w:themeColor="text1"/>
                <w:szCs w:val="21"/>
              </w:rPr>
              <w:t>⑶</w:t>
            </w:r>
          </w:p>
        </w:tc>
        <w:tc>
          <w:tcPr>
            <w:tcW w:w="1503" w:type="dxa"/>
            <w:vAlign w:val="center"/>
          </w:tcPr>
          <w:p w:rsidR="002B5652" w:rsidRDefault="00C36D55">
            <w:pPr>
              <w:jc w:val="right"/>
            </w:pPr>
            <w:r>
              <w:rPr>
                <w:rFonts w:eastAsiaTheme="minorEastAsia"/>
                <w:color w:val="000000" w:themeColor="text1"/>
                <w:szCs w:val="21"/>
              </w:rPr>
              <w:t>247,420</w:t>
            </w:r>
          </w:p>
        </w:tc>
        <w:tc>
          <w:tcPr>
            <w:tcW w:w="1503" w:type="dxa"/>
            <w:vAlign w:val="center"/>
          </w:tcPr>
          <w:p w:rsidR="002B5652" w:rsidRDefault="00C36D55">
            <w:pPr>
              <w:jc w:val="right"/>
            </w:pPr>
            <w:r>
              <w:rPr>
                <w:rFonts w:eastAsiaTheme="minorEastAsia"/>
                <w:color w:val="000000" w:themeColor="text1"/>
                <w:szCs w:val="21"/>
              </w:rPr>
              <w:t>25,451,180.28</w:t>
            </w:r>
          </w:p>
        </w:tc>
        <w:tc>
          <w:tcPr>
            <w:tcW w:w="1503" w:type="dxa"/>
            <w:vAlign w:val="center"/>
          </w:tcPr>
          <w:p w:rsidR="002B5652" w:rsidRDefault="00C36D55">
            <w:pPr>
              <w:jc w:val="right"/>
            </w:pPr>
            <w:r>
              <w:rPr>
                <w:rFonts w:eastAsiaTheme="minorEastAsia"/>
                <w:color w:val="000000" w:themeColor="text1"/>
                <w:szCs w:val="21"/>
              </w:rPr>
              <w:t>5.30</w:t>
            </w:r>
          </w:p>
        </w:tc>
      </w:tr>
      <w:tr w:rsidR="002B5652">
        <w:tc>
          <w:tcPr>
            <w:tcW w:w="1504" w:type="dxa"/>
            <w:vAlign w:val="center"/>
          </w:tcPr>
          <w:p w:rsidR="002B5652" w:rsidRDefault="00C36D55">
            <w:pPr>
              <w:jc w:val="center"/>
            </w:pPr>
            <w:r>
              <w:rPr>
                <w:rFonts w:eastAsiaTheme="minorEastAsia"/>
                <w:color w:val="000000" w:themeColor="text1"/>
                <w:szCs w:val="21"/>
              </w:rPr>
              <w:t>4</w:t>
            </w:r>
          </w:p>
        </w:tc>
        <w:tc>
          <w:tcPr>
            <w:tcW w:w="1504" w:type="dxa"/>
            <w:vAlign w:val="center"/>
          </w:tcPr>
          <w:p w:rsidR="002B5652" w:rsidRDefault="00C36D55">
            <w:pPr>
              <w:jc w:val="center"/>
            </w:pPr>
            <w:r>
              <w:rPr>
                <w:rFonts w:eastAsiaTheme="minorEastAsia"/>
                <w:color w:val="000000" w:themeColor="text1"/>
                <w:szCs w:val="21"/>
              </w:rPr>
              <w:t>018006</w:t>
            </w:r>
          </w:p>
        </w:tc>
        <w:tc>
          <w:tcPr>
            <w:tcW w:w="1504" w:type="dxa"/>
            <w:vAlign w:val="center"/>
          </w:tcPr>
          <w:p w:rsidR="002B5652" w:rsidRDefault="00C36D55">
            <w:pPr>
              <w:jc w:val="center"/>
            </w:pPr>
            <w:r>
              <w:rPr>
                <w:rFonts w:eastAsiaTheme="minorEastAsia"/>
                <w:color w:val="000000" w:themeColor="text1"/>
                <w:szCs w:val="21"/>
              </w:rPr>
              <w:t>国开</w:t>
            </w:r>
            <w:r>
              <w:rPr>
                <w:rFonts w:eastAsiaTheme="minorEastAsia"/>
                <w:color w:val="000000" w:themeColor="text1"/>
                <w:szCs w:val="21"/>
              </w:rPr>
              <w:t>1702</w:t>
            </w:r>
          </w:p>
        </w:tc>
        <w:tc>
          <w:tcPr>
            <w:tcW w:w="1503" w:type="dxa"/>
            <w:vAlign w:val="center"/>
          </w:tcPr>
          <w:p w:rsidR="002B5652" w:rsidRDefault="00C36D55">
            <w:pPr>
              <w:jc w:val="right"/>
            </w:pPr>
            <w:r>
              <w:rPr>
                <w:rFonts w:eastAsiaTheme="minorEastAsia"/>
                <w:color w:val="000000" w:themeColor="text1"/>
                <w:szCs w:val="21"/>
              </w:rPr>
              <w:t>200,000</w:t>
            </w:r>
          </w:p>
        </w:tc>
        <w:tc>
          <w:tcPr>
            <w:tcW w:w="1503" w:type="dxa"/>
            <w:vAlign w:val="center"/>
          </w:tcPr>
          <w:p w:rsidR="002B5652" w:rsidRDefault="00C36D55">
            <w:pPr>
              <w:jc w:val="right"/>
            </w:pPr>
            <w:r>
              <w:rPr>
                <w:rFonts w:eastAsiaTheme="minorEastAsia"/>
                <w:color w:val="000000" w:themeColor="text1"/>
                <w:szCs w:val="21"/>
              </w:rPr>
              <w:t>20,777,287.67</w:t>
            </w:r>
          </w:p>
        </w:tc>
        <w:tc>
          <w:tcPr>
            <w:tcW w:w="1503" w:type="dxa"/>
            <w:vAlign w:val="center"/>
          </w:tcPr>
          <w:p w:rsidR="002B5652" w:rsidRDefault="00C36D55">
            <w:pPr>
              <w:jc w:val="right"/>
            </w:pPr>
            <w:r>
              <w:rPr>
                <w:rFonts w:eastAsiaTheme="minorEastAsia"/>
                <w:color w:val="000000" w:themeColor="text1"/>
                <w:szCs w:val="21"/>
              </w:rPr>
              <w:t>4.33</w:t>
            </w:r>
          </w:p>
        </w:tc>
      </w:tr>
      <w:tr w:rsidR="002B5652">
        <w:tc>
          <w:tcPr>
            <w:tcW w:w="1504" w:type="dxa"/>
            <w:vAlign w:val="center"/>
          </w:tcPr>
          <w:p w:rsidR="002B5652" w:rsidRDefault="00C36D55">
            <w:pPr>
              <w:jc w:val="center"/>
            </w:pPr>
            <w:r>
              <w:rPr>
                <w:rFonts w:eastAsiaTheme="minorEastAsia"/>
                <w:color w:val="000000" w:themeColor="text1"/>
                <w:szCs w:val="21"/>
              </w:rPr>
              <w:t>5</w:t>
            </w:r>
          </w:p>
        </w:tc>
        <w:tc>
          <w:tcPr>
            <w:tcW w:w="1504" w:type="dxa"/>
            <w:vAlign w:val="center"/>
          </w:tcPr>
          <w:p w:rsidR="002B5652" w:rsidRDefault="00C36D55">
            <w:pPr>
              <w:jc w:val="center"/>
            </w:pPr>
            <w:r>
              <w:rPr>
                <w:rFonts w:eastAsiaTheme="minorEastAsia"/>
                <w:color w:val="000000" w:themeColor="text1"/>
                <w:szCs w:val="21"/>
              </w:rPr>
              <w:t>018082</w:t>
            </w:r>
          </w:p>
        </w:tc>
        <w:tc>
          <w:tcPr>
            <w:tcW w:w="1504" w:type="dxa"/>
            <w:vAlign w:val="center"/>
          </w:tcPr>
          <w:p w:rsidR="002B5652" w:rsidRDefault="00C36D55">
            <w:pPr>
              <w:jc w:val="center"/>
            </w:pPr>
            <w:r>
              <w:rPr>
                <w:rFonts w:eastAsiaTheme="minorEastAsia"/>
                <w:color w:val="000000" w:themeColor="text1"/>
                <w:szCs w:val="21"/>
              </w:rPr>
              <w:t>农发</w:t>
            </w:r>
            <w:r>
              <w:rPr>
                <w:rFonts w:eastAsiaTheme="minorEastAsia"/>
                <w:color w:val="000000" w:themeColor="text1"/>
                <w:szCs w:val="21"/>
              </w:rPr>
              <w:t>1902</w:t>
            </w:r>
          </w:p>
        </w:tc>
        <w:tc>
          <w:tcPr>
            <w:tcW w:w="1503" w:type="dxa"/>
            <w:vAlign w:val="center"/>
          </w:tcPr>
          <w:p w:rsidR="002B5652" w:rsidRDefault="00C36D55">
            <w:pPr>
              <w:jc w:val="right"/>
            </w:pPr>
            <w:r>
              <w:rPr>
                <w:rFonts w:eastAsiaTheme="minorEastAsia"/>
                <w:color w:val="000000" w:themeColor="text1"/>
                <w:szCs w:val="21"/>
              </w:rPr>
              <w:t>60,000</w:t>
            </w:r>
          </w:p>
        </w:tc>
        <w:tc>
          <w:tcPr>
            <w:tcW w:w="1503" w:type="dxa"/>
            <w:vAlign w:val="center"/>
          </w:tcPr>
          <w:p w:rsidR="002B5652" w:rsidRDefault="00C36D55">
            <w:pPr>
              <w:jc w:val="right"/>
            </w:pPr>
            <w:r>
              <w:rPr>
                <w:rFonts w:eastAsiaTheme="minorEastAsia"/>
                <w:color w:val="000000" w:themeColor="text1"/>
                <w:szCs w:val="21"/>
              </w:rPr>
              <w:t>6,183,754.52</w:t>
            </w:r>
          </w:p>
        </w:tc>
        <w:tc>
          <w:tcPr>
            <w:tcW w:w="1503" w:type="dxa"/>
            <w:vAlign w:val="center"/>
          </w:tcPr>
          <w:p w:rsidR="002B5652" w:rsidRDefault="00C36D55">
            <w:pPr>
              <w:jc w:val="right"/>
            </w:pPr>
            <w:r>
              <w:rPr>
                <w:rFonts w:eastAsiaTheme="minorEastAsia"/>
                <w:color w:val="000000" w:themeColor="text1"/>
                <w:szCs w:val="21"/>
              </w:rPr>
              <w:t>1.29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357,390.77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4,356,039.42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26,174.58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310.96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4,739,915.73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2B5652">
        <w:tc>
          <w:tcPr>
            <w:tcW w:w="1181" w:type="dxa"/>
            <w:vAlign w:val="center"/>
          </w:tcPr>
          <w:p w:rsidR="002B5652" w:rsidRDefault="00C36D55">
            <w:pPr>
              <w:jc w:val="center"/>
            </w:pPr>
            <w:r>
              <w:rPr>
                <w:rFonts w:eastAsiaTheme="minorEastAsia"/>
                <w:color w:val="000000" w:themeColor="text1"/>
                <w:szCs w:val="21"/>
              </w:rPr>
              <w:t>1</w:t>
            </w:r>
          </w:p>
        </w:tc>
        <w:tc>
          <w:tcPr>
            <w:tcW w:w="2497" w:type="dxa"/>
            <w:vAlign w:val="center"/>
          </w:tcPr>
          <w:p w:rsidR="002B5652" w:rsidRDefault="00C36D55">
            <w:pPr>
              <w:jc w:val="center"/>
            </w:pPr>
            <w:r>
              <w:rPr>
                <w:rFonts w:eastAsiaTheme="minorEastAsia"/>
                <w:color w:val="000000" w:themeColor="text1"/>
                <w:szCs w:val="21"/>
              </w:rPr>
              <w:t>128136</w:t>
            </w:r>
          </w:p>
        </w:tc>
        <w:tc>
          <w:tcPr>
            <w:tcW w:w="1746" w:type="dxa"/>
            <w:vAlign w:val="center"/>
          </w:tcPr>
          <w:p w:rsidR="002B5652" w:rsidRDefault="00C36D55">
            <w:pPr>
              <w:jc w:val="center"/>
            </w:pPr>
            <w:r>
              <w:rPr>
                <w:rFonts w:eastAsiaTheme="minorEastAsia"/>
                <w:color w:val="000000" w:themeColor="text1"/>
                <w:szCs w:val="21"/>
              </w:rPr>
              <w:t>立讯转债</w:t>
            </w:r>
          </w:p>
        </w:tc>
        <w:tc>
          <w:tcPr>
            <w:tcW w:w="1825" w:type="dxa"/>
            <w:vAlign w:val="center"/>
          </w:tcPr>
          <w:p w:rsidR="002B5652" w:rsidRDefault="00610DC4">
            <w:pPr>
              <w:jc w:val="right"/>
            </w:pPr>
            <w:r w:rsidRPr="00610DC4">
              <w:rPr>
                <w:rFonts w:eastAsiaTheme="minorEastAsia"/>
                <w:color w:val="000000" w:themeColor="text1"/>
                <w:szCs w:val="21"/>
              </w:rPr>
              <w:t>232</w:t>
            </w:r>
            <w:r>
              <w:rPr>
                <w:rFonts w:eastAsiaTheme="minorEastAsia"/>
                <w:color w:val="000000" w:themeColor="text1"/>
                <w:szCs w:val="21"/>
              </w:rPr>
              <w:t>,</w:t>
            </w:r>
            <w:r w:rsidRPr="00610DC4">
              <w:rPr>
                <w:rFonts w:eastAsiaTheme="minorEastAsia"/>
                <w:color w:val="000000" w:themeColor="text1"/>
                <w:szCs w:val="21"/>
              </w:rPr>
              <w:t>321.12</w:t>
            </w:r>
          </w:p>
        </w:tc>
        <w:tc>
          <w:tcPr>
            <w:tcW w:w="1679" w:type="dxa"/>
            <w:vAlign w:val="center"/>
          </w:tcPr>
          <w:p w:rsidR="002B5652" w:rsidRDefault="00C36D55">
            <w:pPr>
              <w:jc w:val="right"/>
            </w:pPr>
            <w:r>
              <w:rPr>
                <w:rFonts w:eastAsiaTheme="minorEastAsia"/>
                <w:color w:val="000000" w:themeColor="text1"/>
                <w:szCs w:val="21"/>
              </w:rPr>
              <w:t>0.05</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因四舍五入的原因，投资组合报告中分项之和与合计数可能存在尾差。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720336" w:rsidRPr="00B27A29" w:rsidTr="002662E4">
        <w:tc>
          <w:tcPr>
            <w:tcW w:w="3900" w:type="dxa"/>
            <w:tcBorders>
              <w:top w:val="single" w:sz="8" w:space="0" w:color="000000"/>
              <w:left w:val="single" w:sz="8" w:space="0" w:color="000000"/>
              <w:bottom w:val="single" w:sz="8" w:space="0" w:color="000000"/>
              <w:right w:val="single" w:sz="8" w:space="0" w:color="000000"/>
            </w:tcBorders>
            <w:vAlign w:val="center"/>
          </w:tcPr>
          <w:p w:rsidR="00720336" w:rsidRPr="00B27A29" w:rsidRDefault="00720336" w:rsidP="002662E4">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720336" w:rsidRPr="00B27A29" w:rsidRDefault="00720336" w:rsidP="002662E4">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上投摩根双核平衡混合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720336" w:rsidRPr="00B27A29" w:rsidRDefault="00720336" w:rsidP="002662E4">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上投摩根双核平衡混合</w:t>
            </w:r>
            <w:r w:rsidRPr="00B27A29">
              <w:rPr>
                <w:rFonts w:eastAsiaTheme="minorEastAsia"/>
                <w:color w:val="000000" w:themeColor="text1"/>
                <w:szCs w:val="21"/>
              </w:rPr>
              <w:t>C</w:t>
            </w:r>
          </w:p>
        </w:tc>
      </w:tr>
      <w:tr w:rsidR="00720336" w:rsidRPr="00B27A29" w:rsidTr="002662E4">
        <w:tc>
          <w:tcPr>
            <w:tcW w:w="3900" w:type="dxa"/>
            <w:tcBorders>
              <w:top w:val="single" w:sz="8" w:space="0" w:color="000000"/>
              <w:left w:val="single" w:sz="8" w:space="0" w:color="000000"/>
              <w:bottom w:val="single" w:sz="8" w:space="0" w:color="000000"/>
              <w:right w:val="single" w:sz="8" w:space="0" w:color="000000"/>
            </w:tcBorders>
            <w:vAlign w:val="center"/>
          </w:tcPr>
          <w:p w:rsidR="00720336" w:rsidRPr="00B27A29" w:rsidRDefault="00720336" w:rsidP="002662E4">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720336" w:rsidRPr="00B27A29" w:rsidRDefault="00720336" w:rsidP="002662E4">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277,275,443.18</w:t>
            </w:r>
          </w:p>
        </w:tc>
        <w:tc>
          <w:tcPr>
            <w:tcW w:w="2367" w:type="dxa"/>
            <w:tcBorders>
              <w:top w:val="single" w:sz="8" w:space="0" w:color="000000"/>
              <w:left w:val="single" w:sz="8" w:space="0" w:color="000000"/>
              <w:bottom w:val="single" w:sz="8" w:space="0" w:color="000000"/>
              <w:right w:val="single" w:sz="8" w:space="0" w:color="000000"/>
            </w:tcBorders>
            <w:vAlign w:val="center"/>
          </w:tcPr>
          <w:p w:rsidR="00720336" w:rsidRPr="00B27A29" w:rsidRDefault="00720336" w:rsidP="002662E4">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720336" w:rsidRPr="00B27A29" w:rsidTr="002662E4">
        <w:tc>
          <w:tcPr>
            <w:tcW w:w="3900" w:type="dxa"/>
            <w:tcBorders>
              <w:top w:val="single" w:sz="8" w:space="0" w:color="000000"/>
              <w:left w:val="single" w:sz="8" w:space="0" w:color="000000"/>
              <w:bottom w:val="single" w:sz="8" w:space="0" w:color="000000"/>
              <w:right w:val="single" w:sz="8" w:space="0" w:color="000000"/>
            </w:tcBorders>
            <w:vAlign w:val="center"/>
          </w:tcPr>
          <w:p w:rsidR="00720336" w:rsidRPr="00B27A29" w:rsidRDefault="00720336" w:rsidP="002662E4">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720336" w:rsidRPr="00B27A29" w:rsidRDefault="00720336" w:rsidP="002662E4">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24,839,848.90</w:t>
            </w:r>
          </w:p>
        </w:tc>
        <w:tc>
          <w:tcPr>
            <w:tcW w:w="2367" w:type="dxa"/>
            <w:tcBorders>
              <w:top w:val="single" w:sz="8" w:space="0" w:color="000000"/>
              <w:left w:val="single" w:sz="8" w:space="0" w:color="000000"/>
              <w:bottom w:val="single" w:sz="8" w:space="0" w:color="000000"/>
              <w:right w:val="single" w:sz="8" w:space="0" w:color="000000"/>
            </w:tcBorders>
            <w:vAlign w:val="center"/>
          </w:tcPr>
          <w:p w:rsidR="00720336" w:rsidRPr="00B27A29" w:rsidRDefault="00720336" w:rsidP="002662E4">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2,860.04</w:t>
            </w:r>
          </w:p>
        </w:tc>
      </w:tr>
      <w:tr w:rsidR="00720336" w:rsidRPr="00B27A29" w:rsidTr="002662E4">
        <w:tc>
          <w:tcPr>
            <w:tcW w:w="3900" w:type="dxa"/>
            <w:tcBorders>
              <w:top w:val="single" w:sz="8" w:space="0" w:color="000000"/>
              <w:left w:val="single" w:sz="8" w:space="0" w:color="000000"/>
              <w:bottom w:val="single" w:sz="8" w:space="0" w:color="000000"/>
              <w:right w:val="single" w:sz="8" w:space="0" w:color="000000"/>
            </w:tcBorders>
            <w:vAlign w:val="center"/>
          </w:tcPr>
          <w:p w:rsidR="00720336" w:rsidRPr="00B27A29" w:rsidRDefault="00720336" w:rsidP="002662E4">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720336" w:rsidRPr="00B27A29" w:rsidRDefault="00720336" w:rsidP="002662E4">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72,488,436.58</w:t>
            </w:r>
          </w:p>
        </w:tc>
        <w:tc>
          <w:tcPr>
            <w:tcW w:w="2367" w:type="dxa"/>
            <w:tcBorders>
              <w:top w:val="single" w:sz="8" w:space="0" w:color="000000"/>
              <w:left w:val="single" w:sz="8" w:space="0" w:color="000000"/>
              <w:bottom w:val="single" w:sz="8" w:space="0" w:color="000000"/>
              <w:right w:val="single" w:sz="8" w:space="0" w:color="000000"/>
            </w:tcBorders>
            <w:vAlign w:val="center"/>
          </w:tcPr>
          <w:p w:rsidR="00720336" w:rsidRPr="00B27A29" w:rsidRDefault="00720336" w:rsidP="002662E4">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720336" w:rsidRPr="00B27A29" w:rsidTr="002662E4">
        <w:tc>
          <w:tcPr>
            <w:tcW w:w="3900" w:type="dxa"/>
            <w:tcBorders>
              <w:top w:val="single" w:sz="8" w:space="0" w:color="000000"/>
              <w:left w:val="single" w:sz="8" w:space="0" w:color="000000"/>
              <w:bottom w:val="single" w:sz="8" w:space="0" w:color="000000"/>
              <w:right w:val="single" w:sz="8" w:space="0" w:color="000000"/>
            </w:tcBorders>
            <w:vAlign w:val="center"/>
          </w:tcPr>
          <w:p w:rsidR="00720336" w:rsidRPr="00B27A29" w:rsidRDefault="00720336" w:rsidP="002662E4">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720336" w:rsidRPr="00B27A29" w:rsidRDefault="00720336" w:rsidP="002662E4">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720336" w:rsidRPr="00B27A29" w:rsidRDefault="00720336" w:rsidP="002662E4">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720336" w:rsidRPr="00B27A29" w:rsidTr="002662E4">
        <w:tc>
          <w:tcPr>
            <w:tcW w:w="3900" w:type="dxa"/>
            <w:tcBorders>
              <w:top w:val="single" w:sz="8" w:space="0" w:color="000000"/>
              <w:left w:val="single" w:sz="8" w:space="0" w:color="000000"/>
              <w:bottom w:val="single" w:sz="8" w:space="0" w:color="000000"/>
              <w:right w:val="single" w:sz="8" w:space="0" w:color="000000"/>
            </w:tcBorders>
            <w:vAlign w:val="center"/>
          </w:tcPr>
          <w:p w:rsidR="00720336" w:rsidRPr="00B27A29" w:rsidRDefault="00720336" w:rsidP="002662E4">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720336" w:rsidRPr="00B27A29" w:rsidRDefault="00720336" w:rsidP="002662E4">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229,626,855.50</w:t>
            </w:r>
          </w:p>
        </w:tc>
        <w:tc>
          <w:tcPr>
            <w:tcW w:w="2367" w:type="dxa"/>
            <w:tcBorders>
              <w:top w:val="single" w:sz="8" w:space="0" w:color="000000"/>
              <w:left w:val="single" w:sz="8" w:space="0" w:color="000000"/>
              <w:bottom w:val="single" w:sz="8" w:space="0" w:color="000000"/>
              <w:right w:val="single" w:sz="8" w:space="0" w:color="000000"/>
            </w:tcBorders>
            <w:vAlign w:val="center"/>
          </w:tcPr>
          <w:p w:rsidR="00720336" w:rsidRPr="00B27A29" w:rsidRDefault="00720336" w:rsidP="002662E4">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2,860.04</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2B5652" w:rsidRDefault="00C36D55">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、中国证监会批准上投摩根双核平衡混合型证券投资基金设立的文件；</w:t>
      </w:r>
    </w:p>
    <w:p w:rsidR="002B5652" w:rsidRDefault="00C36D55">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、《上投摩根双核平衡混合型证券投资基金基金合同》；</w:t>
      </w:r>
    </w:p>
    <w:p w:rsidR="002B5652" w:rsidRDefault="00C36D55">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、《上投摩根双核平衡混合型证券投资基金托管协议》；</w:t>
      </w:r>
    </w:p>
    <w:p w:rsidR="002B5652" w:rsidRDefault="00C36D55">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p>
    <w:p w:rsidR="002B5652" w:rsidRDefault="00C36D55">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4038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40388">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C40388">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上投摩根双核平衡混合型证券投资基金</w:t>
    </w:r>
    <w:r>
      <w:t>2022</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5652"/>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1BB3"/>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0DC4"/>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0336"/>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970"/>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D55"/>
    <w:rsid w:val="00C36E74"/>
    <w:rsid w:val="00C36FF2"/>
    <w:rsid w:val="00C400CD"/>
    <w:rsid w:val="00C40388"/>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0C619E-C36E-4F40-BB72-56F02CBF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17</Pages>
  <Words>1535</Words>
  <Characters>8754</Characters>
  <Application>Microsoft Office Word</Application>
  <DocSecurity>0</DocSecurity>
  <Lines>72</Lines>
  <Paragraphs>20</Paragraphs>
  <ScaleCrop>false</ScaleCrop>
  <Company>TRT. Ltd. Co.</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223</cp:revision>
  <cp:lastPrinted>2007-07-19T00:46:00Z</cp:lastPrinted>
  <dcterms:created xsi:type="dcterms:W3CDTF">2013-06-21T06:56:00Z</dcterms:created>
  <dcterms:modified xsi:type="dcterms:W3CDTF">2022-04-21T02:24:00Z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