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上投摩根双核平衡混合型证券投资基金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bookmarkStart w:id="0" w:name="_GoBack"/>
      <w:bookmarkEnd w:id="0"/>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基金托管人：中国工商银行股份有限公司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报告送出日期：二〇二一年十月二十七日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6C6D19" w:rsidRDefault="00FE5881">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6C6D19" w:rsidRDefault="00FE5881">
      <w:pPr>
        <w:spacing w:line="360" w:lineRule="auto"/>
        <w:ind w:firstLineChars="200" w:firstLine="420"/>
        <w:rPr>
          <w:rFonts w:eastAsiaTheme="minorEastAsia"/>
          <w:color w:val="000000" w:themeColor="text1"/>
        </w:rPr>
      </w:pPr>
      <w:r>
        <w:rPr>
          <w:rFonts w:eastAsiaTheme="minorEastAsia"/>
          <w:color w:val="000000" w:themeColor="text1"/>
        </w:rPr>
        <w:t>基金托管人中国工商银行股份有限公司根据本基金合同规定，于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26</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6C6D19" w:rsidRDefault="00FE5881">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6C6D19" w:rsidRDefault="00FE5881">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6C6D19" w:rsidRDefault="00FE5881">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上投摩根双核平衡混合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373020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373020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2008</w:t>
            </w:r>
            <w:r w:rsidRPr="00FF6B9A">
              <w:rPr>
                <w:rFonts w:eastAsiaTheme="minorEastAsia"/>
                <w:color w:val="000000" w:themeColor="text1"/>
                <w:kern w:val="0"/>
              </w:rPr>
              <w:t>年</w:t>
            </w:r>
            <w:r w:rsidRPr="00FF6B9A">
              <w:rPr>
                <w:rFonts w:eastAsiaTheme="minorEastAsia"/>
                <w:color w:val="000000" w:themeColor="text1"/>
                <w:kern w:val="0"/>
              </w:rPr>
              <w:t>5</w:t>
            </w:r>
            <w:r w:rsidRPr="00FF6B9A">
              <w:rPr>
                <w:rFonts w:eastAsiaTheme="minorEastAsia"/>
                <w:color w:val="000000" w:themeColor="text1"/>
                <w:kern w:val="0"/>
              </w:rPr>
              <w:t>月</w:t>
            </w:r>
            <w:r w:rsidRPr="00FF6B9A">
              <w:rPr>
                <w:rFonts w:eastAsiaTheme="minorEastAsia"/>
                <w:color w:val="000000" w:themeColor="text1"/>
                <w:kern w:val="0"/>
              </w:rPr>
              <w:t>21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259,770,617.83</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本基金深化价值投资理念，精选具备较高估值优势的上市公司股票与优质债券等，持续优化投资风险与收益的动态匹配，通过积极主动的组合管理，追求基金资产的长期稳定增值。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、股票投资策略</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价值投资注重股票内在价值的发现。在内在价值确定以后，通过股票市场价格和内在价值的比较，就可以明确投</w:t>
            </w:r>
            <w:r>
              <w:rPr>
                <w:rFonts w:eastAsiaTheme="minorEastAsia"/>
                <w:color w:val="000000" w:themeColor="text1"/>
                <w:kern w:val="0"/>
              </w:rPr>
              <w:lastRenderedPageBreak/>
              <w:t>资方向。特别当股票的价格低于它的内在价值时，就存在一个正的安全边际。足够的安全边际使投资拥有更容易取胜的优势，因为在价值引力作用下，股票价格更倾向于上涨。所以，安全边际越高，投资风险就会相对较低。</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w:t>
            </w:r>
            <w:r>
              <w:rPr>
                <w:rFonts w:eastAsiaTheme="minorEastAsia"/>
                <w:color w:val="000000" w:themeColor="text1"/>
                <w:kern w:val="0"/>
              </w:rPr>
              <w:t>P/E</w:t>
            </w:r>
            <w:r>
              <w:rPr>
                <w:rFonts w:eastAsiaTheme="minorEastAsia"/>
                <w:color w:val="000000" w:themeColor="text1"/>
                <w:kern w:val="0"/>
              </w:rPr>
              <w:t>、</w:t>
            </w:r>
            <w:r>
              <w:rPr>
                <w:rFonts w:eastAsiaTheme="minorEastAsia"/>
                <w:color w:val="000000" w:themeColor="text1"/>
                <w:kern w:val="0"/>
              </w:rPr>
              <w:t>P/CFPS</w:t>
            </w:r>
            <w:r>
              <w:rPr>
                <w:rFonts w:eastAsiaTheme="minorEastAsia"/>
                <w:color w:val="000000" w:themeColor="text1"/>
                <w:kern w:val="0"/>
              </w:rPr>
              <w:t>、</w:t>
            </w:r>
            <w:r>
              <w:rPr>
                <w:rFonts w:eastAsiaTheme="minorEastAsia"/>
                <w:color w:val="000000" w:themeColor="text1"/>
                <w:kern w:val="0"/>
              </w:rPr>
              <w:t>P/S</w:t>
            </w:r>
            <w:r>
              <w:rPr>
                <w:rFonts w:eastAsiaTheme="minorEastAsia"/>
                <w:color w:val="000000" w:themeColor="text1"/>
                <w:kern w:val="0"/>
              </w:rPr>
              <w:t>、</w:t>
            </w:r>
            <w:r>
              <w:rPr>
                <w:rFonts w:eastAsiaTheme="minorEastAsia"/>
                <w:color w:val="000000" w:themeColor="text1"/>
                <w:kern w:val="0"/>
              </w:rPr>
              <w:t>P/B</w:t>
            </w:r>
            <w:r>
              <w:rPr>
                <w:rFonts w:eastAsiaTheme="minorEastAsia"/>
                <w:color w:val="000000" w:themeColor="text1"/>
                <w:kern w:val="0"/>
              </w:rPr>
              <w:t>等乘数法和</w:t>
            </w:r>
            <w:r>
              <w:rPr>
                <w:rFonts w:eastAsiaTheme="minorEastAsia"/>
                <w:color w:val="000000" w:themeColor="text1"/>
                <w:kern w:val="0"/>
              </w:rPr>
              <w:t>DCF</w:t>
            </w:r>
            <w:r>
              <w:rPr>
                <w:rFonts w:eastAsiaTheme="minorEastAsia"/>
                <w:color w:val="000000" w:themeColor="text1"/>
                <w:kern w:val="0"/>
              </w:rPr>
              <w:t>增长模型建立股票选择池。</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1</w:t>
            </w:r>
            <w:r>
              <w:rPr>
                <w:rFonts w:eastAsiaTheme="minorEastAsia"/>
                <w:color w:val="000000" w:themeColor="text1"/>
                <w:kern w:val="0"/>
              </w:rPr>
              <w:t>）宏观经济分析</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本基金基于对宏观经济运行状况及政策分析、财政政策与货币政策运行状况分析、行业运行景气状况分析的基础上，重点判断宏观经济周期</w:t>
            </w:r>
            <w:r>
              <w:rPr>
                <w:rFonts w:eastAsiaTheme="minorEastAsia"/>
                <w:color w:val="000000" w:themeColor="text1"/>
                <w:kern w:val="0"/>
              </w:rPr>
              <w:t>对市场不同行业的影响，作为资产配置的依据。同时根据宏观经济对市场影响的分析，初步判断市场的多空方向，决定大类资产配置。</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2</w:t>
            </w:r>
            <w:r>
              <w:rPr>
                <w:rFonts w:eastAsiaTheme="minorEastAsia"/>
                <w:color w:val="000000" w:themeColor="text1"/>
                <w:kern w:val="0"/>
              </w:rPr>
              <w:t>）行业分析</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3</w:t>
            </w:r>
            <w:r>
              <w:rPr>
                <w:rFonts w:eastAsiaTheme="minorEastAsia"/>
                <w:color w:val="000000" w:themeColor="text1"/>
                <w:kern w:val="0"/>
              </w:rPr>
              <w:t>）公司质地分析</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企业在行业中的相对竞争力是决定企业成败和投资价值的关键，本基金将根据公司质地对上市公司当前和未来的竞争优势加以评估</w:t>
            </w:r>
            <w:r>
              <w:rPr>
                <w:rFonts w:eastAsiaTheme="minorEastAsia"/>
                <w:color w:val="000000" w:themeColor="text1"/>
                <w:kern w:val="0"/>
              </w:rPr>
              <w:t>。公司质地良好的企业通常具备以下特征：企业在管理、品牌、资源、技术、创新能力中的某一</w:t>
            </w:r>
            <w:r>
              <w:rPr>
                <w:rFonts w:eastAsiaTheme="minorEastAsia"/>
                <w:color w:val="000000" w:themeColor="text1"/>
                <w:kern w:val="0"/>
              </w:rPr>
              <w:lastRenderedPageBreak/>
              <w:t>方面或多个方面具有竞争对手在短时间内难以模仿的显著优势，从而能够获得超越行业平均的盈利水平和增长速度。本基金将通过包括实际调研在内的多种分析手段，对上市公司质地进行判断。</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4</w:t>
            </w:r>
            <w:r>
              <w:rPr>
                <w:rFonts w:eastAsiaTheme="minorEastAsia"/>
                <w:color w:val="000000" w:themeColor="text1"/>
                <w:kern w:val="0"/>
              </w:rPr>
              <w:t>）股票估值水平分析</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本基金的战略目标是构造可以创造主动管理报酬的投资组合，上市公司经过竞争优势指标筛选之后，将由研究团队进行估值水平考察。通过基本面和估值指标筛选的基础组合即被纳入上投摩根基金公司策略性评价体系。本基金在对股票进行估值时，首先采用现金流折现模型（</w:t>
            </w:r>
            <w:r>
              <w:rPr>
                <w:rFonts w:eastAsiaTheme="minorEastAsia"/>
                <w:color w:val="000000" w:themeColor="text1"/>
                <w:kern w:val="0"/>
              </w:rPr>
              <w:t>DCF</w:t>
            </w:r>
            <w:r>
              <w:rPr>
                <w:rFonts w:eastAsiaTheme="minorEastAsia"/>
                <w:color w:val="000000" w:themeColor="text1"/>
                <w:kern w:val="0"/>
              </w:rPr>
              <w:t>）计算出股票的内在价值，然后在第二阶段采用乘数估值法（</w:t>
            </w:r>
            <w:r>
              <w:rPr>
                <w:rFonts w:eastAsiaTheme="minorEastAsia"/>
                <w:color w:val="000000" w:themeColor="text1"/>
                <w:kern w:val="0"/>
              </w:rPr>
              <w:t>Multiple</w:t>
            </w:r>
            <w:r>
              <w:rPr>
                <w:rFonts w:eastAsiaTheme="minorEastAsia"/>
                <w:color w:val="000000" w:themeColor="text1"/>
                <w:kern w:val="0"/>
              </w:rPr>
              <w:t>），通过对对同行业公司的情况对样本公司价值进行比较修正，使得对于股票价值的评估更加准确可靠。</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、固定收益类投资策略</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本基金的债券投资策略是建立在对债券核心内在价值的认识上。我们将采用更为有效的</w:t>
            </w:r>
            <w:r>
              <w:rPr>
                <w:rFonts w:eastAsiaTheme="minorEastAsia"/>
                <w:color w:val="000000" w:themeColor="text1"/>
                <w:kern w:val="0"/>
              </w:rPr>
              <w:t>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1</w:t>
            </w:r>
            <w:r>
              <w:rPr>
                <w:rFonts w:eastAsiaTheme="minorEastAsia"/>
                <w:color w:val="000000" w:themeColor="text1"/>
                <w:kern w:val="0"/>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2</w:t>
            </w:r>
            <w:r>
              <w:rPr>
                <w:rFonts w:eastAsiaTheme="minorEastAsia"/>
                <w:color w:val="000000" w:themeColor="text1"/>
                <w:kern w:val="0"/>
              </w:rPr>
              <w:t>）骑乘收</w:t>
            </w:r>
            <w:r>
              <w:rPr>
                <w:rFonts w:eastAsiaTheme="minorEastAsia"/>
                <w:color w:val="000000" w:themeColor="text1"/>
                <w:kern w:val="0"/>
              </w:rPr>
              <w:t>益率曲线策略：骑乘收益率曲线策略是短期货币市场证券管理中流行的一种策略。具体操作时买入收益率曲线最突起部位所在剩余期限的债券，这一期限的收</w:t>
            </w:r>
            <w:r>
              <w:rPr>
                <w:rFonts w:eastAsiaTheme="minorEastAsia"/>
                <w:color w:val="000000" w:themeColor="text1"/>
                <w:kern w:val="0"/>
              </w:rPr>
              <w:lastRenderedPageBreak/>
              <w:t>益率水平此时处于相对较高的位置，随着一段时间的持有，当收益率下降时，对应的将是债券价格的走高，而这一期限债券的涨幅将会高于其他期限，这样就可以获得更好的价差收益。</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3</w:t>
            </w:r>
            <w:r>
              <w:rPr>
                <w:rFonts w:eastAsiaTheme="minorEastAsia"/>
                <w:color w:val="000000" w:themeColor="text1"/>
                <w:kern w:val="0"/>
              </w:rPr>
              <w:t>）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w:t>
            </w:r>
            <w:r>
              <w:rPr>
                <w:rFonts w:eastAsiaTheme="minorEastAsia"/>
                <w:color w:val="000000" w:themeColor="text1"/>
                <w:kern w:val="0"/>
              </w:rPr>
              <w:t>债、银行间国债、银行间金融债等子市场。结合各类属资产的市场容量、信用等级和流动性特点，在此基础上运用修正的均值</w:t>
            </w:r>
            <w:r>
              <w:rPr>
                <w:rFonts w:eastAsiaTheme="minorEastAsia"/>
                <w:color w:val="000000" w:themeColor="text1"/>
                <w:kern w:val="0"/>
              </w:rPr>
              <w:t>-</w:t>
            </w:r>
            <w:r>
              <w:rPr>
                <w:rFonts w:eastAsiaTheme="minorEastAsia"/>
                <w:color w:val="000000" w:themeColor="text1"/>
                <w:kern w:val="0"/>
              </w:rPr>
              <w:t>方差等模型，定期对投资组合类属资产进行最优化配置和调整，确定类属资产的最优权重。</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、权证投资策略</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法律法规及基金合同规定的范围内，采取积极的态度进行权证投资。权证投资的主要目的在于对冲组合中证券的持有风险，及在正确估值标的证券的基础上获取权证投资收益。本基金将采用业界广泛应用的</w:t>
            </w:r>
            <w:r>
              <w:rPr>
                <w:rFonts w:eastAsiaTheme="minorEastAsia"/>
                <w:color w:val="000000" w:themeColor="text1"/>
                <w:kern w:val="0"/>
              </w:rPr>
              <w:t>Black-Scholes Pricing Model(BSPM)</w:t>
            </w:r>
            <w:r>
              <w:rPr>
                <w:rFonts w:eastAsiaTheme="minorEastAsia"/>
                <w:color w:val="000000" w:themeColor="text1"/>
                <w:kern w:val="0"/>
              </w:rPr>
              <w:t>对权证进行估价。对于股票基本面和投资价值的判</w:t>
            </w:r>
            <w:r>
              <w:rPr>
                <w:rFonts w:eastAsiaTheme="minorEastAsia"/>
                <w:color w:val="000000" w:themeColor="text1"/>
                <w:kern w:val="0"/>
              </w:rPr>
              <w:t>断一贯是本公司投资的重要依据。在投资权证前，基金管理人员和研究员应对标的股票的基本面和内在价值作出分析判断。</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、资产支持证券投资策略</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本基金投资资产支持证券时，将综合运用久期管理、收益率曲线、个券选择和把握市场交易机会等积极策略，在严格控制风险的情况下，通过信用研究和对个案的具体分析，确定资产合理配置比例，在保证资产安全性的前提条件下，以期获得长期稳定收益。</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5</w:t>
            </w:r>
            <w:r>
              <w:rPr>
                <w:rFonts w:eastAsiaTheme="minorEastAsia"/>
                <w:color w:val="000000" w:themeColor="text1"/>
                <w:kern w:val="0"/>
              </w:rPr>
              <w:t>、资产配置策略</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lastRenderedPageBreak/>
              <w:t>资产配置是本基金资产管理的重要环节。本基金是一只注重价值投资的平衡型基金，资产配置策略依据对宏观经济、股市政策、市场趋势等因素的判</w:t>
            </w:r>
            <w:r>
              <w:rPr>
                <w:rFonts w:eastAsiaTheme="minorEastAsia"/>
                <w:color w:val="000000" w:themeColor="text1"/>
                <w:kern w:val="0"/>
              </w:rPr>
              <w:t>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w:t>
            </w:r>
            <w:r>
              <w:rPr>
                <w:rFonts w:eastAsiaTheme="minorEastAsia"/>
                <w:color w:val="000000" w:themeColor="text1"/>
                <w:kern w:val="0"/>
              </w:rPr>
              <w:t>产时，本基金将降低权益类资产的配置比例；相反，在股票市场安全边际增厚时，本基金将相应增加权益类资产的配置比例。</w:t>
            </w:r>
          </w:p>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6</w:t>
            </w:r>
            <w:r>
              <w:rPr>
                <w:rFonts w:eastAsiaTheme="minorEastAsia"/>
                <w:color w:val="000000" w:themeColor="text1"/>
                <w:kern w:val="0"/>
              </w:rPr>
              <w:t>、存托凭证投资策略</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本基金将根据本基金的投资目标和股票投资策略，基于对基础证券投资价值的深入研究判断，进行存托凭证的投资。</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沪深</w:t>
            </w:r>
            <w:r w:rsidRPr="00FF6B9A">
              <w:rPr>
                <w:rFonts w:eastAsiaTheme="minorEastAsia"/>
                <w:color w:val="000000" w:themeColor="text1"/>
                <w:kern w:val="0"/>
              </w:rPr>
              <w:t>300</w:t>
            </w:r>
            <w:r w:rsidRPr="00FF6B9A">
              <w:rPr>
                <w:rFonts w:eastAsiaTheme="minorEastAsia"/>
                <w:color w:val="000000" w:themeColor="text1"/>
                <w:kern w:val="0"/>
              </w:rPr>
              <w:t>指数收益率</w:t>
            </w:r>
            <w:r w:rsidRPr="00FF6B9A">
              <w:rPr>
                <w:rFonts w:eastAsiaTheme="minorEastAsia"/>
                <w:color w:val="000000" w:themeColor="text1"/>
                <w:kern w:val="0"/>
              </w:rPr>
              <w:t>×50%</w:t>
            </w:r>
            <w:r w:rsidRPr="00FF6B9A">
              <w:rPr>
                <w:rFonts w:eastAsiaTheme="minorEastAsia"/>
                <w:color w:val="000000" w:themeColor="text1"/>
                <w:kern w:val="0"/>
              </w:rPr>
              <w:t>＋上证国债指数收益率</w:t>
            </w:r>
            <w:r w:rsidRPr="00FF6B9A">
              <w:rPr>
                <w:rFonts w:eastAsiaTheme="minorEastAsia"/>
                <w:color w:val="000000" w:themeColor="text1"/>
                <w:kern w:val="0"/>
              </w:rPr>
              <w:t>×50</w:t>
            </w:r>
            <w:r w:rsidRPr="00FF6B9A">
              <w:rPr>
                <w:rFonts w:eastAsiaTheme="minorEastAsia"/>
                <w:color w:val="000000" w:themeColor="text1"/>
                <w:kern w:val="0"/>
              </w:rPr>
              <w:t>％</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6C6D19" w:rsidRDefault="00FE5881">
            <w:pPr>
              <w:adjustRightInd w:val="0"/>
              <w:spacing w:before="29" w:line="360" w:lineRule="auto"/>
              <w:ind w:left="17"/>
              <w:rPr>
                <w:rFonts w:eastAsiaTheme="minorEastAsia"/>
                <w:color w:val="000000" w:themeColor="text1"/>
              </w:rPr>
            </w:pPr>
            <w:r>
              <w:rPr>
                <w:rFonts w:eastAsiaTheme="minorEastAsia"/>
                <w:color w:val="000000" w:themeColor="text1"/>
                <w:kern w:val="0"/>
              </w:rPr>
              <w:t>本基金是混合型基金，在证券投资基金中属于中高风险品种，其预期风险收益水平低于股票型基金，高于债券基金与货币市场基金。</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w:t>
            </w:r>
            <w:r w:rsidRPr="00FF6B9A">
              <w:rPr>
                <w:rFonts w:eastAsiaTheme="minorEastAsia"/>
                <w:color w:val="000000" w:themeColor="text1"/>
                <w:kern w:val="0"/>
              </w:rPr>
              <w:lastRenderedPageBreak/>
              <w:t>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中国工商银行股份有限公司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FE5881" w:rsidRPr="00FF6B9A" w:rsidTr="00FE5881">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FE5881" w:rsidRPr="00FF6B9A" w:rsidTr="00FE5881">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36,348,456.57</w:t>
            </w:r>
          </w:p>
        </w:tc>
      </w:tr>
      <w:tr w:rsidR="00FE5881" w:rsidRPr="00FF6B9A" w:rsidTr="00FE5881">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5,375,637.90</w:t>
            </w:r>
          </w:p>
        </w:tc>
      </w:tr>
      <w:tr w:rsidR="00FE5881" w:rsidRPr="00FF6B9A" w:rsidTr="00FE5881">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0.0211</w:t>
            </w:r>
          </w:p>
        </w:tc>
      </w:tr>
      <w:tr w:rsidR="00FE5881" w:rsidRPr="00FF6B9A" w:rsidTr="00FE5881">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790,269,433.16</w:t>
            </w:r>
          </w:p>
        </w:tc>
      </w:tr>
      <w:tr w:rsidR="00FE5881" w:rsidRPr="00FF6B9A" w:rsidTr="00FE5881">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3.0422</w:t>
            </w:r>
          </w:p>
        </w:tc>
      </w:tr>
    </w:tbl>
    <w:p w:rsidR="006C6D19" w:rsidRDefault="00FE5881">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6C6D19">
        <w:tc>
          <w:tcPr>
            <w:tcW w:w="1395" w:type="dxa"/>
            <w:vAlign w:val="center"/>
          </w:tcPr>
          <w:p w:rsidR="006C6D19" w:rsidRDefault="00FE5881">
            <w:pPr>
              <w:jc w:val="left"/>
            </w:pPr>
            <w:r>
              <w:rPr>
                <w:rFonts w:eastAsiaTheme="minorEastAsia"/>
                <w:color w:val="000000" w:themeColor="text1"/>
                <w:kern w:val="0"/>
              </w:rPr>
              <w:t>过去三个月</w:t>
            </w:r>
          </w:p>
        </w:tc>
        <w:tc>
          <w:tcPr>
            <w:tcW w:w="1092" w:type="dxa"/>
            <w:vAlign w:val="center"/>
          </w:tcPr>
          <w:p w:rsidR="006C6D19" w:rsidRDefault="00FE5881">
            <w:pPr>
              <w:jc w:val="center"/>
            </w:pPr>
            <w:r>
              <w:rPr>
                <w:rFonts w:eastAsiaTheme="minorEastAsia"/>
                <w:color w:val="000000" w:themeColor="text1"/>
                <w:kern w:val="0"/>
              </w:rPr>
              <w:t>0.75%</w:t>
            </w:r>
          </w:p>
        </w:tc>
        <w:tc>
          <w:tcPr>
            <w:tcW w:w="1161" w:type="dxa"/>
            <w:vAlign w:val="center"/>
          </w:tcPr>
          <w:p w:rsidR="006C6D19" w:rsidRDefault="00FE5881">
            <w:pPr>
              <w:jc w:val="center"/>
            </w:pPr>
            <w:r>
              <w:rPr>
                <w:rFonts w:eastAsiaTheme="minorEastAsia"/>
                <w:color w:val="000000" w:themeColor="text1"/>
                <w:kern w:val="0"/>
              </w:rPr>
              <w:t>1.85%</w:t>
            </w:r>
          </w:p>
        </w:tc>
        <w:tc>
          <w:tcPr>
            <w:tcW w:w="1181" w:type="dxa"/>
            <w:vAlign w:val="center"/>
          </w:tcPr>
          <w:p w:rsidR="006C6D19" w:rsidRDefault="00FE5881">
            <w:pPr>
              <w:jc w:val="center"/>
            </w:pPr>
            <w:r>
              <w:rPr>
                <w:rFonts w:eastAsiaTheme="minorEastAsia"/>
                <w:color w:val="000000" w:themeColor="text1"/>
                <w:kern w:val="0"/>
              </w:rPr>
              <w:t>-2.69%</w:t>
            </w:r>
          </w:p>
        </w:tc>
        <w:tc>
          <w:tcPr>
            <w:tcW w:w="1188" w:type="dxa"/>
            <w:vAlign w:val="center"/>
          </w:tcPr>
          <w:p w:rsidR="006C6D19" w:rsidRDefault="00FE5881">
            <w:pPr>
              <w:jc w:val="center"/>
            </w:pPr>
            <w:r>
              <w:rPr>
                <w:rFonts w:eastAsiaTheme="minorEastAsia"/>
                <w:color w:val="000000" w:themeColor="text1"/>
                <w:kern w:val="0"/>
              </w:rPr>
              <w:t>0.60%</w:t>
            </w:r>
          </w:p>
        </w:tc>
        <w:tc>
          <w:tcPr>
            <w:tcW w:w="1199" w:type="dxa"/>
            <w:vAlign w:val="center"/>
          </w:tcPr>
          <w:p w:rsidR="006C6D19" w:rsidRDefault="00FE5881">
            <w:pPr>
              <w:jc w:val="center"/>
            </w:pPr>
            <w:r>
              <w:rPr>
                <w:rFonts w:eastAsiaTheme="minorEastAsia"/>
                <w:color w:val="000000" w:themeColor="text1"/>
                <w:kern w:val="0"/>
              </w:rPr>
              <w:t>3.44%</w:t>
            </w:r>
          </w:p>
        </w:tc>
        <w:tc>
          <w:tcPr>
            <w:tcW w:w="1204" w:type="dxa"/>
            <w:vAlign w:val="center"/>
          </w:tcPr>
          <w:p w:rsidR="006C6D19" w:rsidRDefault="00FE5881">
            <w:pPr>
              <w:jc w:val="center"/>
            </w:pPr>
            <w:r>
              <w:rPr>
                <w:rFonts w:eastAsiaTheme="minorEastAsia"/>
                <w:color w:val="000000" w:themeColor="text1"/>
                <w:kern w:val="0"/>
              </w:rPr>
              <w:t>1.25%</w:t>
            </w:r>
          </w:p>
        </w:tc>
      </w:tr>
      <w:tr w:rsidR="006C6D19">
        <w:tc>
          <w:tcPr>
            <w:tcW w:w="1395" w:type="dxa"/>
            <w:vAlign w:val="center"/>
          </w:tcPr>
          <w:p w:rsidR="006C6D19" w:rsidRDefault="00FE5881">
            <w:pPr>
              <w:jc w:val="left"/>
            </w:pPr>
            <w:r>
              <w:rPr>
                <w:rFonts w:eastAsiaTheme="minorEastAsia"/>
                <w:color w:val="000000" w:themeColor="text1"/>
                <w:kern w:val="0"/>
              </w:rPr>
              <w:t>过去六个月</w:t>
            </w:r>
          </w:p>
        </w:tc>
        <w:tc>
          <w:tcPr>
            <w:tcW w:w="1092" w:type="dxa"/>
            <w:vAlign w:val="center"/>
          </w:tcPr>
          <w:p w:rsidR="006C6D19" w:rsidRDefault="00FE5881">
            <w:pPr>
              <w:jc w:val="center"/>
            </w:pPr>
            <w:r>
              <w:rPr>
                <w:rFonts w:eastAsiaTheme="minorEastAsia"/>
                <w:color w:val="000000" w:themeColor="text1"/>
                <w:kern w:val="0"/>
              </w:rPr>
              <w:t>19.86%</w:t>
            </w:r>
          </w:p>
        </w:tc>
        <w:tc>
          <w:tcPr>
            <w:tcW w:w="1161" w:type="dxa"/>
            <w:vAlign w:val="center"/>
          </w:tcPr>
          <w:p w:rsidR="006C6D19" w:rsidRDefault="00FE5881">
            <w:pPr>
              <w:jc w:val="center"/>
            </w:pPr>
            <w:r>
              <w:rPr>
                <w:rFonts w:eastAsiaTheme="minorEastAsia"/>
                <w:color w:val="000000" w:themeColor="text1"/>
                <w:kern w:val="0"/>
              </w:rPr>
              <w:t>1.55%</w:t>
            </w:r>
          </w:p>
        </w:tc>
        <w:tc>
          <w:tcPr>
            <w:tcW w:w="1181" w:type="dxa"/>
            <w:vAlign w:val="center"/>
          </w:tcPr>
          <w:p w:rsidR="006C6D19" w:rsidRDefault="00FE5881">
            <w:pPr>
              <w:jc w:val="center"/>
            </w:pPr>
            <w:r>
              <w:rPr>
                <w:rFonts w:eastAsiaTheme="minorEastAsia"/>
                <w:color w:val="000000" w:themeColor="text1"/>
                <w:kern w:val="0"/>
              </w:rPr>
              <w:t>-0.63%</w:t>
            </w:r>
          </w:p>
        </w:tc>
        <w:tc>
          <w:tcPr>
            <w:tcW w:w="1188" w:type="dxa"/>
            <w:vAlign w:val="center"/>
          </w:tcPr>
          <w:p w:rsidR="006C6D19" w:rsidRDefault="00FE5881">
            <w:pPr>
              <w:jc w:val="center"/>
            </w:pPr>
            <w:r>
              <w:rPr>
                <w:rFonts w:eastAsiaTheme="minorEastAsia"/>
                <w:color w:val="000000" w:themeColor="text1"/>
                <w:kern w:val="0"/>
              </w:rPr>
              <w:t>0.55%</w:t>
            </w:r>
          </w:p>
        </w:tc>
        <w:tc>
          <w:tcPr>
            <w:tcW w:w="1199" w:type="dxa"/>
            <w:vAlign w:val="center"/>
          </w:tcPr>
          <w:p w:rsidR="006C6D19" w:rsidRDefault="00FE5881">
            <w:pPr>
              <w:jc w:val="center"/>
            </w:pPr>
            <w:r>
              <w:rPr>
                <w:rFonts w:eastAsiaTheme="minorEastAsia"/>
                <w:color w:val="000000" w:themeColor="text1"/>
                <w:kern w:val="0"/>
              </w:rPr>
              <w:t>20.49%</w:t>
            </w:r>
          </w:p>
        </w:tc>
        <w:tc>
          <w:tcPr>
            <w:tcW w:w="1204" w:type="dxa"/>
            <w:vAlign w:val="center"/>
          </w:tcPr>
          <w:p w:rsidR="006C6D19" w:rsidRDefault="00FE5881">
            <w:pPr>
              <w:jc w:val="center"/>
            </w:pPr>
            <w:r>
              <w:rPr>
                <w:rFonts w:eastAsiaTheme="minorEastAsia"/>
                <w:color w:val="000000" w:themeColor="text1"/>
                <w:kern w:val="0"/>
              </w:rPr>
              <w:t>1.00%</w:t>
            </w:r>
          </w:p>
        </w:tc>
      </w:tr>
      <w:tr w:rsidR="006C6D19">
        <w:tc>
          <w:tcPr>
            <w:tcW w:w="1395" w:type="dxa"/>
            <w:vAlign w:val="center"/>
          </w:tcPr>
          <w:p w:rsidR="006C6D19" w:rsidRDefault="00FE5881">
            <w:pPr>
              <w:jc w:val="left"/>
            </w:pPr>
            <w:r>
              <w:rPr>
                <w:rFonts w:eastAsiaTheme="minorEastAsia"/>
                <w:color w:val="000000" w:themeColor="text1"/>
                <w:kern w:val="0"/>
              </w:rPr>
              <w:t>过去一年</w:t>
            </w:r>
          </w:p>
        </w:tc>
        <w:tc>
          <w:tcPr>
            <w:tcW w:w="1092" w:type="dxa"/>
            <w:vAlign w:val="center"/>
          </w:tcPr>
          <w:p w:rsidR="006C6D19" w:rsidRDefault="00FE5881">
            <w:pPr>
              <w:jc w:val="center"/>
            </w:pPr>
            <w:r>
              <w:rPr>
                <w:rFonts w:eastAsiaTheme="minorEastAsia"/>
                <w:color w:val="000000" w:themeColor="text1"/>
                <w:kern w:val="0"/>
              </w:rPr>
              <w:t>31.50%</w:t>
            </w:r>
          </w:p>
        </w:tc>
        <w:tc>
          <w:tcPr>
            <w:tcW w:w="1161" w:type="dxa"/>
            <w:vAlign w:val="center"/>
          </w:tcPr>
          <w:p w:rsidR="006C6D19" w:rsidRDefault="00FE5881">
            <w:pPr>
              <w:jc w:val="center"/>
            </w:pPr>
            <w:r>
              <w:rPr>
                <w:rFonts w:eastAsiaTheme="minorEastAsia"/>
                <w:color w:val="000000" w:themeColor="text1"/>
                <w:kern w:val="0"/>
              </w:rPr>
              <w:t>1.48%</w:t>
            </w:r>
          </w:p>
        </w:tc>
        <w:tc>
          <w:tcPr>
            <w:tcW w:w="1181" w:type="dxa"/>
            <w:vAlign w:val="center"/>
          </w:tcPr>
          <w:p w:rsidR="006C6D19" w:rsidRDefault="00FE5881">
            <w:pPr>
              <w:jc w:val="center"/>
            </w:pPr>
            <w:r>
              <w:rPr>
                <w:rFonts w:eastAsiaTheme="minorEastAsia"/>
                <w:color w:val="000000" w:themeColor="text1"/>
                <w:kern w:val="0"/>
              </w:rPr>
              <w:t>4.83%</w:t>
            </w:r>
          </w:p>
        </w:tc>
        <w:tc>
          <w:tcPr>
            <w:tcW w:w="1188" w:type="dxa"/>
            <w:vAlign w:val="center"/>
          </w:tcPr>
          <w:p w:rsidR="006C6D19" w:rsidRDefault="00FE5881">
            <w:pPr>
              <w:jc w:val="center"/>
            </w:pPr>
            <w:r>
              <w:rPr>
                <w:rFonts w:eastAsiaTheme="minorEastAsia"/>
                <w:color w:val="000000" w:themeColor="text1"/>
                <w:kern w:val="0"/>
              </w:rPr>
              <w:t>0.61%</w:t>
            </w:r>
          </w:p>
        </w:tc>
        <w:tc>
          <w:tcPr>
            <w:tcW w:w="1199" w:type="dxa"/>
            <w:vAlign w:val="center"/>
          </w:tcPr>
          <w:p w:rsidR="006C6D19" w:rsidRDefault="00FE5881">
            <w:pPr>
              <w:jc w:val="center"/>
            </w:pPr>
            <w:r>
              <w:rPr>
                <w:rFonts w:eastAsiaTheme="minorEastAsia"/>
                <w:color w:val="000000" w:themeColor="text1"/>
                <w:kern w:val="0"/>
              </w:rPr>
              <w:t>26.67%</w:t>
            </w:r>
          </w:p>
        </w:tc>
        <w:tc>
          <w:tcPr>
            <w:tcW w:w="1204" w:type="dxa"/>
            <w:vAlign w:val="center"/>
          </w:tcPr>
          <w:p w:rsidR="006C6D19" w:rsidRDefault="00FE5881">
            <w:pPr>
              <w:jc w:val="center"/>
            </w:pPr>
            <w:r>
              <w:rPr>
                <w:rFonts w:eastAsiaTheme="minorEastAsia"/>
                <w:color w:val="000000" w:themeColor="text1"/>
                <w:kern w:val="0"/>
              </w:rPr>
              <w:t>0.87%</w:t>
            </w:r>
          </w:p>
        </w:tc>
      </w:tr>
      <w:tr w:rsidR="006C6D19">
        <w:tc>
          <w:tcPr>
            <w:tcW w:w="1395" w:type="dxa"/>
            <w:vAlign w:val="center"/>
          </w:tcPr>
          <w:p w:rsidR="006C6D19" w:rsidRDefault="00FE5881">
            <w:pPr>
              <w:jc w:val="left"/>
            </w:pPr>
            <w:r>
              <w:rPr>
                <w:rFonts w:eastAsiaTheme="minorEastAsia"/>
                <w:color w:val="000000" w:themeColor="text1"/>
                <w:kern w:val="0"/>
              </w:rPr>
              <w:t>过去三年</w:t>
            </w:r>
          </w:p>
        </w:tc>
        <w:tc>
          <w:tcPr>
            <w:tcW w:w="1092" w:type="dxa"/>
            <w:vAlign w:val="center"/>
          </w:tcPr>
          <w:p w:rsidR="006C6D19" w:rsidRDefault="00FE5881">
            <w:pPr>
              <w:jc w:val="center"/>
            </w:pPr>
            <w:r>
              <w:rPr>
                <w:rFonts w:eastAsiaTheme="minorEastAsia"/>
                <w:color w:val="000000" w:themeColor="text1"/>
                <w:kern w:val="0"/>
              </w:rPr>
              <w:t>163.08%</w:t>
            </w:r>
          </w:p>
        </w:tc>
        <w:tc>
          <w:tcPr>
            <w:tcW w:w="1161" w:type="dxa"/>
            <w:vAlign w:val="center"/>
          </w:tcPr>
          <w:p w:rsidR="006C6D19" w:rsidRDefault="00FE5881">
            <w:pPr>
              <w:jc w:val="center"/>
            </w:pPr>
            <w:r>
              <w:rPr>
                <w:rFonts w:eastAsiaTheme="minorEastAsia"/>
                <w:color w:val="000000" w:themeColor="text1"/>
                <w:kern w:val="0"/>
              </w:rPr>
              <w:t>1.34%</w:t>
            </w:r>
          </w:p>
        </w:tc>
        <w:tc>
          <w:tcPr>
            <w:tcW w:w="1181" w:type="dxa"/>
            <w:vAlign w:val="center"/>
          </w:tcPr>
          <w:p w:rsidR="006C6D19" w:rsidRDefault="00FE5881">
            <w:pPr>
              <w:jc w:val="center"/>
            </w:pPr>
            <w:r>
              <w:rPr>
                <w:rFonts w:eastAsiaTheme="minorEastAsia"/>
                <w:color w:val="000000" w:themeColor="text1"/>
                <w:kern w:val="0"/>
              </w:rPr>
              <w:t>27.55%</w:t>
            </w:r>
          </w:p>
        </w:tc>
        <w:tc>
          <w:tcPr>
            <w:tcW w:w="1188" w:type="dxa"/>
            <w:vAlign w:val="center"/>
          </w:tcPr>
          <w:p w:rsidR="006C6D19" w:rsidRDefault="00FE5881">
            <w:pPr>
              <w:jc w:val="center"/>
            </w:pPr>
            <w:r>
              <w:rPr>
                <w:rFonts w:eastAsiaTheme="minorEastAsia"/>
                <w:color w:val="000000" w:themeColor="text1"/>
                <w:kern w:val="0"/>
              </w:rPr>
              <w:t>0.67%</w:t>
            </w:r>
          </w:p>
        </w:tc>
        <w:tc>
          <w:tcPr>
            <w:tcW w:w="1199" w:type="dxa"/>
            <w:vAlign w:val="center"/>
          </w:tcPr>
          <w:p w:rsidR="006C6D19" w:rsidRDefault="00FE5881">
            <w:pPr>
              <w:jc w:val="center"/>
            </w:pPr>
            <w:r>
              <w:rPr>
                <w:rFonts w:eastAsiaTheme="minorEastAsia"/>
                <w:color w:val="000000" w:themeColor="text1"/>
                <w:kern w:val="0"/>
              </w:rPr>
              <w:t>135.53%</w:t>
            </w:r>
          </w:p>
        </w:tc>
        <w:tc>
          <w:tcPr>
            <w:tcW w:w="1204" w:type="dxa"/>
            <w:vAlign w:val="center"/>
          </w:tcPr>
          <w:p w:rsidR="006C6D19" w:rsidRDefault="00FE5881">
            <w:pPr>
              <w:jc w:val="center"/>
            </w:pPr>
            <w:r>
              <w:rPr>
                <w:rFonts w:eastAsiaTheme="minorEastAsia"/>
                <w:color w:val="000000" w:themeColor="text1"/>
                <w:kern w:val="0"/>
              </w:rPr>
              <w:t>0.67%</w:t>
            </w:r>
          </w:p>
        </w:tc>
      </w:tr>
      <w:tr w:rsidR="006C6D19">
        <w:tc>
          <w:tcPr>
            <w:tcW w:w="1395" w:type="dxa"/>
            <w:vAlign w:val="center"/>
          </w:tcPr>
          <w:p w:rsidR="006C6D19" w:rsidRDefault="00FE5881">
            <w:pPr>
              <w:jc w:val="left"/>
            </w:pPr>
            <w:r>
              <w:rPr>
                <w:rFonts w:eastAsiaTheme="minorEastAsia"/>
                <w:color w:val="000000" w:themeColor="text1"/>
                <w:kern w:val="0"/>
              </w:rPr>
              <w:t>过去五年</w:t>
            </w:r>
          </w:p>
        </w:tc>
        <w:tc>
          <w:tcPr>
            <w:tcW w:w="1092" w:type="dxa"/>
            <w:vAlign w:val="center"/>
          </w:tcPr>
          <w:p w:rsidR="006C6D19" w:rsidRDefault="00FE5881">
            <w:pPr>
              <w:jc w:val="center"/>
            </w:pPr>
            <w:r>
              <w:rPr>
                <w:rFonts w:eastAsiaTheme="minorEastAsia"/>
                <w:color w:val="000000" w:themeColor="text1"/>
                <w:kern w:val="0"/>
              </w:rPr>
              <w:t>157.15%</w:t>
            </w:r>
          </w:p>
        </w:tc>
        <w:tc>
          <w:tcPr>
            <w:tcW w:w="1161" w:type="dxa"/>
            <w:vAlign w:val="center"/>
          </w:tcPr>
          <w:p w:rsidR="006C6D19" w:rsidRDefault="00FE5881">
            <w:pPr>
              <w:jc w:val="center"/>
            </w:pPr>
            <w:r>
              <w:rPr>
                <w:rFonts w:eastAsiaTheme="minorEastAsia"/>
                <w:color w:val="000000" w:themeColor="text1"/>
                <w:kern w:val="0"/>
              </w:rPr>
              <w:t>1.18%</w:t>
            </w:r>
          </w:p>
        </w:tc>
        <w:tc>
          <w:tcPr>
            <w:tcW w:w="1181" w:type="dxa"/>
            <w:vAlign w:val="center"/>
          </w:tcPr>
          <w:p w:rsidR="006C6D19" w:rsidRDefault="00FE5881">
            <w:pPr>
              <w:jc w:val="center"/>
            </w:pPr>
            <w:r>
              <w:rPr>
                <w:rFonts w:eastAsiaTheme="minorEastAsia"/>
                <w:color w:val="000000" w:themeColor="text1"/>
                <w:kern w:val="0"/>
              </w:rPr>
              <w:t>34.15%</w:t>
            </w:r>
          </w:p>
        </w:tc>
        <w:tc>
          <w:tcPr>
            <w:tcW w:w="1188" w:type="dxa"/>
            <w:vAlign w:val="center"/>
          </w:tcPr>
          <w:p w:rsidR="006C6D19" w:rsidRDefault="00FE5881">
            <w:pPr>
              <w:jc w:val="center"/>
            </w:pPr>
            <w:r>
              <w:rPr>
                <w:rFonts w:eastAsiaTheme="minorEastAsia"/>
                <w:color w:val="000000" w:themeColor="text1"/>
                <w:kern w:val="0"/>
              </w:rPr>
              <w:t>0.60%</w:t>
            </w:r>
          </w:p>
        </w:tc>
        <w:tc>
          <w:tcPr>
            <w:tcW w:w="1199" w:type="dxa"/>
            <w:vAlign w:val="center"/>
          </w:tcPr>
          <w:p w:rsidR="006C6D19" w:rsidRDefault="00FE5881">
            <w:pPr>
              <w:jc w:val="center"/>
            </w:pPr>
            <w:r>
              <w:rPr>
                <w:rFonts w:eastAsiaTheme="minorEastAsia"/>
                <w:color w:val="000000" w:themeColor="text1"/>
                <w:kern w:val="0"/>
              </w:rPr>
              <w:t>123.00%</w:t>
            </w:r>
          </w:p>
        </w:tc>
        <w:tc>
          <w:tcPr>
            <w:tcW w:w="1204" w:type="dxa"/>
            <w:vAlign w:val="center"/>
          </w:tcPr>
          <w:p w:rsidR="006C6D19" w:rsidRDefault="00FE5881">
            <w:pPr>
              <w:jc w:val="center"/>
            </w:pPr>
            <w:r>
              <w:rPr>
                <w:rFonts w:eastAsiaTheme="minorEastAsia"/>
                <w:color w:val="000000" w:themeColor="text1"/>
                <w:kern w:val="0"/>
              </w:rPr>
              <w:t>0.58%</w:t>
            </w:r>
          </w:p>
        </w:tc>
      </w:tr>
      <w:tr w:rsidR="006C6D19">
        <w:tc>
          <w:tcPr>
            <w:tcW w:w="1395" w:type="dxa"/>
            <w:vAlign w:val="center"/>
          </w:tcPr>
          <w:p w:rsidR="006C6D19" w:rsidRDefault="00FE5881">
            <w:pPr>
              <w:jc w:val="left"/>
            </w:pPr>
            <w:r>
              <w:rPr>
                <w:rFonts w:eastAsiaTheme="minorEastAsia"/>
                <w:color w:val="000000" w:themeColor="text1"/>
                <w:kern w:val="0"/>
              </w:rPr>
              <w:lastRenderedPageBreak/>
              <w:t>自基金合同生效起至今</w:t>
            </w:r>
          </w:p>
        </w:tc>
        <w:tc>
          <w:tcPr>
            <w:tcW w:w="1092" w:type="dxa"/>
            <w:vAlign w:val="center"/>
          </w:tcPr>
          <w:p w:rsidR="006C6D19" w:rsidRDefault="00FE5881">
            <w:pPr>
              <w:jc w:val="center"/>
            </w:pPr>
            <w:r>
              <w:rPr>
                <w:rFonts w:eastAsiaTheme="minorEastAsia"/>
                <w:color w:val="000000" w:themeColor="text1"/>
                <w:kern w:val="0"/>
              </w:rPr>
              <w:t>472.34%</w:t>
            </w:r>
          </w:p>
        </w:tc>
        <w:tc>
          <w:tcPr>
            <w:tcW w:w="1161" w:type="dxa"/>
            <w:vAlign w:val="center"/>
          </w:tcPr>
          <w:p w:rsidR="006C6D19" w:rsidRDefault="00FE5881">
            <w:pPr>
              <w:jc w:val="center"/>
            </w:pPr>
            <w:r>
              <w:rPr>
                <w:rFonts w:eastAsiaTheme="minorEastAsia"/>
                <w:color w:val="000000" w:themeColor="text1"/>
                <w:kern w:val="0"/>
              </w:rPr>
              <w:t>1.24%</w:t>
            </w:r>
          </w:p>
        </w:tc>
        <w:tc>
          <w:tcPr>
            <w:tcW w:w="1181" w:type="dxa"/>
            <w:vAlign w:val="center"/>
          </w:tcPr>
          <w:p w:rsidR="006C6D19" w:rsidRDefault="00FE5881">
            <w:pPr>
              <w:jc w:val="center"/>
            </w:pPr>
            <w:r>
              <w:rPr>
                <w:rFonts w:eastAsiaTheme="minorEastAsia"/>
                <w:color w:val="000000" w:themeColor="text1"/>
                <w:kern w:val="0"/>
              </w:rPr>
              <w:t>49.22%</w:t>
            </w:r>
          </w:p>
        </w:tc>
        <w:tc>
          <w:tcPr>
            <w:tcW w:w="1188" w:type="dxa"/>
            <w:vAlign w:val="center"/>
          </w:tcPr>
          <w:p w:rsidR="006C6D19" w:rsidRDefault="00FE5881">
            <w:pPr>
              <w:jc w:val="center"/>
            </w:pPr>
            <w:r>
              <w:rPr>
                <w:rFonts w:eastAsiaTheme="minorEastAsia"/>
                <w:color w:val="000000" w:themeColor="text1"/>
                <w:kern w:val="0"/>
              </w:rPr>
              <w:t>0.80%</w:t>
            </w:r>
          </w:p>
        </w:tc>
        <w:tc>
          <w:tcPr>
            <w:tcW w:w="1199" w:type="dxa"/>
            <w:vAlign w:val="center"/>
          </w:tcPr>
          <w:p w:rsidR="006C6D19" w:rsidRDefault="00FE5881">
            <w:pPr>
              <w:jc w:val="center"/>
            </w:pPr>
            <w:r>
              <w:rPr>
                <w:rFonts w:eastAsiaTheme="minorEastAsia"/>
                <w:color w:val="000000" w:themeColor="text1"/>
                <w:kern w:val="0"/>
              </w:rPr>
              <w:t>423.12%</w:t>
            </w:r>
          </w:p>
        </w:tc>
        <w:tc>
          <w:tcPr>
            <w:tcW w:w="1204" w:type="dxa"/>
            <w:vAlign w:val="center"/>
          </w:tcPr>
          <w:p w:rsidR="006C6D19" w:rsidRDefault="00FE5881">
            <w:pPr>
              <w:jc w:val="center"/>
            </w:pPr>
            <w:r>
              <w:rPr>
                <w:rFonts w:eastAsiaTheme="minorEastAsia"/>
                <w:color w:val="000000" w:themeColor="text1"/>
                <w:kern w:val="0"/>
              </w:rPr>
              <w:t>0.44%</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上投摩根双核平衡混合型证券投资基金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(2008</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5</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21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6C6D19" w:rsidRDefault="00FE5881">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2008</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w:t>
      </w:r>
      <w:r>
        <w:rPr>
          <w:rFonts w:eastAsiaTheme="minorEastAsia"/>
          <w:color w:val="000000" w:themeColor="text1"/>
        </w:rPr>
        <w:t>21</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6C6D19">
        <w:tc>
          <w:tcPr>
            <w:tcW w:w="851" w:type="dxa"/>
            <w:vAlign w:val="center"/>
          </w:tcPr>
          <w:p w:rsidR="006C6D19" w:rsidRDefault="00FE5881">
            <w:pPr>
              <w:jc w:val="center"/>
            </w:pPr>
            <w:r>
              <w:rPr>
                <w:rFonts w:eastAsiaTheme="minorEastAsia"/>
                <w:color w:val="000000" w:themeColor="text1"/>
              </w:rPr>
              <w:t>陈思郁</w:t>
            </w:r>
          </w:p>
        </w:tc>
        <w:tc>
          <w:tcPr>
            <w:tcW w:w="850" w:type="dxa"/>
            <w:vAlign w:val="center"/>
          </w:tcPr>
          <w:p w:rsidR="006C6D19" w:rsidRDefault="00FE5881">
            <w:pPr>
              <w:jc w:val="center"/>
            </w:pPr>
            <w:r>
              <w:rPr>
                <w:rFonts w:eastAsiaTheme="minorEastAsia"/>
                <w:color w:val="000000" w:themeColor="text1"/>
              </w:rPr>
              <w:t>本基金基金经</w:t>
            </w:r>
            <w:r>
              <w:rPr>
                <w:rFonts w:eastAsiaTheme="minorEastAsia"/>
                <w:color w:val="000000" w:themeColor="text1"/>
              </w:rPr>
              <w:lastRenderedPageBreak/>
              <w:t>理</w:t>
            </w:r>
          </w:p>
        </w:tc>
        <w:tc>
          <w:tcPr>
            <w:tcW w:w="1560" w:type="dxa"/>
            <w:vAlign w:val="center"/>
          </w:tcPr>
          <w:p w:rsidR="006C6D19" w:rsidRDefault="00FE5881">
            <w:pPr>
              <w:jc w:val="center"/>
            </w:pPr>
            <w:r>
              <w:rPr>
                <w:rFonts w:eastAsiaTheme="minorEastAsia"/>
                <w:color w:val="000000" w:themeColor="text1"/>
              </w:rPr>
              <w:lastRenderedPageBreak/>
              <w:t>2015-08-04</w:t>
            </w:r>
          </w:p>
        </w:tc>
        <w:tc>
          <w:tcPr>
            <w:tcW w:w="1559" w:type="dxa"/>
            <w:vAlign w:val="center"/>
          </w:tcPr>
          <w:p w:rsidR="006C6D19" w:rsidRDefault="00FE5881">
            <w:pPr>
              <w:jc w:val="center"/>
            </w:pPr>
            <w:r>
              <w:rPr>
                <w:rFonts w:eastAsiaTheme="minorEastAsia"/>
                <w:color w:val="000000" w:themeColor="text1"/>
              </w:rPr>
              <w:t>-</w:t>
            </w:r>
          </w:p>
        </w:tc>
        <w:tc>
          <w:tcPr>
            <w:tcW w:w="1417" w:type="dxa"/>
            <w:vAlign w:val="center"/>
          </w:tcPr>
          <w:p w:rsidR="006C6D19" w:rsidRDefault="00FE5881">
            <w:pPr>
              <w:jc w:val="center"/>
            </w:pPr>
            <w:r>
              <w:rPr>
                <w:rFonts w:eastAsiaTheme="minorEastAsia"/>
                <w:color w:val="000000" w:themeColor="text1"/>
              </w:rPr>
              <w:t>14</w:t>
            </w:r>
            <w:r>
              <w:rPr>
                <w:rFonts w:eastAsiaTheme="minorEastAsia"/>
                <w:color w:val="000000" w:themeColor="text1"/>
              </w:rPr>
              <w:t>年</w:t>
            </w:r>
          </w:p>
        </w:tc>
        <w:tc>
          <w:tcPr>
            <w:tcW w:w="2694" w:type="dxa"/>
            <w:vAlign w:val="center"/>
          </w:tcPr>
          <w:p w:rsidR="006C6D19" w:rsidRDefault="00FE5881">
            <w:r>
              <w:rPr>
                <w:rFonts w:eastAsiaTheme="minorEastAsia"/>
                <w:color w:val="000000" w:themeColor="text1"/>
              </w:rPr>
              <w:t>陈思郁女士，英国伦敦大学学院经济学硕士，</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5</w:t>
            </w:r>
            <w:r>
              <w:rPr>
                <w:rFonts w:eastAsiaTheme="minorEastAsia"/>
                <w:color w:val="000000" w:themeColor="text1"/>
              </w:rPr>
              <w:lastRenderedPageBreak/>
              <w:t>月至</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月在国泰君安研究所担任研究员。自</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月起加入上投摩根基金管理有限公司，历任行业专家、基金经理助理，现任国内权益投资部基金经理，自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月起担任上投摩根双核平衡混合型证券投资基金基金经理，自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月起同时担任上投摩根安全战略股票型证券投资基金基金经理，自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月起同时担任上投摩根景气甄选混合型证券投资基金基金经理。</w:t>
            </w:r>
          </w:p>
        </w:tc>
      </w:tr>
    </w:tbl>
    <w:p w:rsidR="006C6D19" w:rsidRDefault="00FE5881">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双核平衡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6C6D19" w:rsidRDefault="00FE5881">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C6D19" w:rsidRDefault="00FE5881">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w:t>
      </w:r>
      <w:r>
        <w:rPr>
          <w:rFonts w:eastAsiaTheme="minorEastAsia"/>
          <w:color w:val="000000" w:themeColor="text1"/>
        </w:rPr>
        <w:lastRenderedPageBreak/>
        <w:t>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6C6D19" w:rsidRDefault="00FE5881">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6C6D19" w:rsidRDefault="00FE5881">
      <w:pPr>
        <w:spacing w:line="360" w:lineRule="auto"/>
        <w:ind w:firstLineChars="200" w:firstLine="420"/>
        <w:rPr>
          <w:rFonts w:eastAsiaTheme="minorEastAsia"/>
          <w:color w:val="000000" w:themeColor="text1"/>
        </w:rPr>
      </w:pPr>
      <w:r>
        <w:rPr>
          <w:rFonts w:eastAsiaTheme="minorEastAsia"/>
          <w:color w:val="000000" w:themeColor="text1"/>
        </w:rPr>
        <w:t>进入三季度，经济增长稳健，流动性维持中性偏宽松局面，宏观经济为市场提供了较好的环境，并且伴随着中报的披露，很多景气度高的板块业绩较好，提振了市场信心，因此三季度的前半部分，市场赚钱效应明显，本基金也是获得了不错表现；然而进入九月，随着全球能源价格飙涨，一煤难求的局面出现，各地拉闸限电，紧接着公布的</w:t>
      </w:r>
      <w:r>
        <w:rPr>
          <w:rFonts w:eastAsiaTheme="minorEastAsia"/>
          <w:color w:val="000000" w:themeColor="text1"/>
        </w:rPr>
        <w:t>PMI</w:t>
      </w:r>
      <w:r>
        <w:rPr>
          <w:rFonts w:eastAsiaTheme="minorEastAsia"/>
          <w:color w:val="000000" w:themeColor="text1"/>
        </w:rPr>
        <w:t>数据开始承压，</w:t>
      </w:r>
      <w:r>
        <w:rPr>
          <w:rFonts w:eastAsiaTheme="minorEastAsia"/>
          <w:color w:val="000000" w:themeColor="text1"/>
        </w:rPr>
        <w:t>PPI</w:t>
      </w:r>
      <w:r>
        <w:rPr>
          <w:rFonts w:eastAsiaTheme="minorEastAsia"/>
          <w:color w:val="000000" w:themeColor="text1"/>
        </w:rPr>
        <w:t>预期持续上调，这种类</w:t>
      </w:r>
      <w:r>
        <w:rPr>
          <w:rFonts w:eastAsiaTheme="minorEastAsia"/>
          <w:color w:val="000000" w:themeColor="text1"/>
        </w:rPr>
        <w:t>“</w:t>
      </w:r>
      <w:r>
        <w:rPr>
          <w:rFonts w:eastAsiaTheme="minorEastAsia"/>
          <w:color w:val="000000" w:themeColor="text1"/>
        </w:rPr>
        <w:t>滞涨</w:t>
      </w:r>
      <w:r>
        <w:rPr>
          <w:rFonts w:eastAsiaTheme="minorEastAsia"/>
          <w:color w:val="000000" w:themeColor="text1"/>
        </w:rPr>
        <w:t>”</w:t>
      </w:r>
      <w:r>
        <w:rPr>
          <w:rFonts w:eastAsiaTheme="minorEastAsia"/>
          <w:color w:val="000000" w:themeColor="text1"/>
        </w:rPr>
        <w:t>的宏观环境也对市场有了较大冲击，前期强势个股纷纷调整，本基金也出现了一定回撤。</w:t>
      </w:r>
    </w:p>
    <w:p w:rsidR="006C6D19" w:rsidRDefault="00FE5881">
      <w:pPr>
        <w:spacing w:line="360" w:lineRule="auto"/>
        <w:ind w:firstLineChars="200" w:firstLine="420"/>
        <w:rPr>
          <w:rFonts w:eastAsiaTheme="minorEastAsia"/>
          <w:color w:val="000000" w:themeColor="text1"/>
        </w:rPr>
      </w:pPr>
      <w:r>
        <w:rPr>
          <w:rFonts w:eastAsiaTheme="minorEastAsia"/>
          <w:color w:val="000000" w:themeColor="text1"/>
        </w:rPr>
        <w:t>展望未来，中长期而言，个人依然看好市场，在经济下行压力显现的背景下，我国流动性会</w:t>
      </w:r>
      <w:r>
        <w:rPr>
          <w:rFonts w:eastAsiaTheme="minorEastAsia"/>
          <w:color w:val="000000" w:themeColor="text1"/>
        </w:rPr>
        <w:t>保持中性偏宽松，明年美国进入中期选举，预计对内和对外政策上会偏鸽派，也给我国创造了温和的外部环境。明年我国经济会略有压力，但政策后手还有很多，财政政策仍有发力空间。随着特效药的陆续面世，后疫情时代，服务业也有望恢复，这些都为明年的市场提供较好的环境。</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但今年四季度，能源问题能不能较好解决，地产的债务违约能否缓解，美债收益率还会否上行，经济能否平稳运行，都仍有不确定性。因此本基金于三季度适当的降低了仓位，如果未来这些宏观面因素有所改善，我们会择机加仓。结构上，依然看好短期业绩高增长，中长期逻辑通顺，天花板广阔的行业龙头，如新能源汽车、部分新兴消费等。</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本报告期上投摩根双核平衡混合份额净值增长率为</w:t>
      </w:r>
      <w:r w:rsidRPr="00FF6B9A">
        <w:rPr>
          <w:rFonts w:eastAsiaTheme="minorEastAsia"/>
          <w:color w:val="000000" w:themeColor="text1"/>
        </w:rPr>
        <w:t>:0.75%</w:t>
      </w:r>
      <w:r w:rsidRPr="00FF6B9A">
        <w:rPr>
          <w:rFonts w:eastAsiaTheme="minorEastAsia"/>
          <w:color w:val="000000" w:themeColor="text1"/>
        </w:rPr>
        <w:t>，同期业绩比较基准收益率</w:t>
      </w:r>
      <w:r w:rsidRPr="00FF6B9A">
        <w:rPr>
          <w:rFonts w:eastAsiaTheme="minorEastAsia"/>
          <w:color w:val="000000" w:themeColor="text1"/>
        </w:rPr>
        <w:lastRenderedPageBreak/>
        <w:t>为</w:t>
      </w:r>
      <w:r w:rsidRPr="00FF6B9A">
        <w:rPr>
          <w:rFonts w:eastAsiaTheme="minorEastAsia"/>
          <w:color w:val="000000" w:themeColor="text1"/>
        </w:rPr>
        <w:t>:-2.69%</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463,629,496.45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57.94</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463,629,496.45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57.94</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233,917,020.28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29.23</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233,917,020.28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29.23</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98,462,548.33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12.30</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4,183,978.12</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0.52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800,193,043.18</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1,757,595.00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0.22</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386,103,745.59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48.86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20,183.39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26,453.25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40,233.44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5,630,987.33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0.71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31,374,974.23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3.97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38,662,326.51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4.89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9,072.49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3,925.22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463,629,496.45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58.67</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6C6D19">
        <w:tc>
          <w:tcPr>
            <w:tcW w:w="817" w:type="dxa"/>
            <w:vAlign w:val="center"/>
          </w:tcPr>
          <w:p w:rsidR="006C6D19" w:rsidRDefault="00FE5881">
            <w:pPr>
              <w:jc w:val="center"/>
            </w:pPr>
            <w:r>
              <w:rPr>
                <w:rFonts w:eastAsiaTheme="minorEastAsia"/>
                <w:kern w:val="0"/>
                <w:sz w:val="24"/>
                <w:szCs w:val="24"/>
              </w:rPr>
              <w:t>1</w:t>
            </w:r>
          </w:p>
        </w:tc>
        <w:tc>
          <w:tcPr>
            <w:tcW w:w="1276" w:type="dxa"/>
            <w:vAlign w:val="center"/>
          </w:tcPr>
          <w:p w:rsidR="006C6D19" w:rsidRDefault="00FE5881">
            <w:pPr>
              <w:jc w:val="center"/>
            </w:pPr>
            <w:r>
              <w:rPr>
                <w:rFonts w:eastAsiaTheme="minorEastAsia"/>
                <w:kern w:val="0"/>
                <w:sz w:val="24"/>
                <w:szCs w:val="24"/>
              </w:rPr>
              <w:t>300390</w:t>
            </w:r>
          </w:p>
        </w:tc>
        <w:tc>
          <w:tcPr>
            <w:tcW w:w="1701" w:type="dxa"/>
            <w:vAlign w:val="center"/>
          </w:tcPr>
          <w:p w:rsidR="006C6D19" w:rsidRDefault="00FE5881">
            <w:pPr>
              <w:jc w:val="center"/>
            </w:pPr>
            <w:r>
              <w:rPr>
                <w:rFonts w:eastAsiaTheme="minorEastAsia"/>
                <w:kern w:val="0"/>
                <w:sz w:val="24"/>
                <w:szCs w:val="24"/>
              </w:rPr>
              <w:t>天华超净</w:t>
            </w:r>
          </w:p>
        </w:tc>
        <w:tc>
          <w:tcPr>
            <w:tcW w:w="1276" w:type="dxa"/>
            <w:vAlign w:val="center"/>
          </w:tcPr>
          <w:p w:rsidR="006C6D19" w:rsidRDefault="00FE5881">
            <w:pPr>
              <w:jc w:val="right"/>
            </w:pPr>
            <w:r>
              <w:rPr>
                <w:rFonts w:eastAsiaTheme="minorEastAsia"/>
                <w:kern w:val="0"/>
                <w:sz w:val="24"/>
                <w:szCs w:val="24"/>
              </w:rPr>
              <w:t>490,085</w:t>
            </w:r>
          </w:p>
        </w:tc>
        <w:tc>
          <w:tcPr>
            <w:tcW w:w="1842" w:type="dxa"/>
            <w:vAlign w:val="center"/>
          </w:tcPr>
          <w:p w:rsidR="006C6D19" w:rsidRDefault="00FE5881">
            <w:pPr>
              <w:jc w:val="right"/>
            </w:pPr>
            <w:r>
              <w:rPr>
                <w:rFonts w:eastAsiaTheme="minorEastAsia"/>
                <w:kern w:val="0"/>
                <w:sz w:val="24"/>
                <w:szCs w:val="24"/>
              </w:rPr>
              <w:t>52,610,624.75</w:t>
            </w:r>
          </w:p>
        </w:tc>
        <w:tc>
          <w:tcPr>
            <w:tcW w:w="1616" w:type="dxa"/>
            <w:vAlign w:val="center"/>
          </w:tcPr>
          <w:p w:rsidR="006C6D19" w:rsidRDefault="00FE5881">
            <w:pPr>
              <w:jc w:val="right"/>
            </w:pPr>
            <w:r>
              <w:rPr>
                <w:rFonts w:eastAsiaTheme="minorEastAsia"/>
                <w:kern w:val="0"/>
                <w:sz w:val="24"/>
                <w:szCs w:val="24"/>
              </w:rPr>
              <w:t>6.66</w:t>
            </w:r>
          </w:p>
        </w:tc>
      </w:tr>
      <w:tr w:rsidR="006C6D19">
        <w:tc>
          <w:tcPr>
            <w:tcW w:w="817" w:type="dxa"/>
            <w:vAlign w:val="center"/>
          </w:tcPr>
          <w:p w:rsidR="006C6D19" w:rsidRDefault="00FE5881">
            <w:pPr>
              <w:jc w:val="center"/>
            </w:pPr>
            <w:r>
              <w:rPr>
                <w:rFonts w:eastAsiaTheme="minorEastAsia"/>
                <w:kern w:val="0"/>
                <w:sz w:val="24"/>
                <w:szCs w:val="24"/>
              </w:rPr>
              <w:t>2</w:t>
            </w:r>
          </w:p>
        </w:tc>
        <w:tc>
          <w:tcPr>
            <w:tcW w:w="1276" w:type="dxa"/>
            <w:vAlign w:val="center"/>
          </w:tcPr>
          <w:p w:rsidR="006C6D19" w:rsidRDefault="00FE5881">
            <w:pPr>
              <w:jc w:val="center"/>
            </w:pPr>
            <w:r>
              <w:rPr>
                <w:rFonts w:eastAsiaTheme="minorEastAsia"/>
                <w:kern w:val="0"/>
                <w:sz w:val="24"/>
                <w:szCs w:val="24"/>
              </w:rPr>
              <w:t>002812</w:t>
            </w:r>
          </w:p>
        </w:tc>
        <w:tc>
          <w:tcPr>
            <w:tcW w:w="1701" w:type="dxa"/>
            <w:vAlign w:val="center"/>
          </w:tcPr>
          <w:p w:rsidR="006C6D19" w:rsidRDefault="00FE5881">
            <w:pPr>
              <w:jc w:val="center"/>
            </w:pPr>
            <w:r>
              <w:rPr>
                <w:rFonts w:eastAsiaTheme="minorEastAsia"/>
                <w:kern w:val="0"/>
                <w:sz w:val="24"/>
                <w:szCs w:val="24"/>
              </w:rPr>
              <w:t>恩捷股份</w:t>
            </w:r>
          </w:p>
        </w:tc>
        <w:tc>
          <w:tcPr>
            <w:tcW w:w="1276" w:type="dxa"/>
            <w:vAlign w:val="center"/>
          </w:tcPr>
          <w:p w:rsidR="006C6D19" w:rsidRDefault="00FE5881">
            <w:pPr>
              <w:jc w:val="right"/>
            </w:pPr>
            <w:r>
              <w:rPr>
                <w:rFonts w:eastAsiaTheme="minorEastAsia"/>
                <w:kern w:val="0"/>
                <w:sz w:val="24"/>
                <w:szCs w:val="24"/>
              </w:rPr>
              <w:t>154,145</w:t>
            </w:r>
          </w:p>
        </w:tc>
        <w:tc>
          <w:tcPr>
            <w:tcW w:w="1842" w:type="dxa"/>
            <w:vAlign w:val="center"/>
          </w:tcPr>
          <w:p w:rsidR="006C6D19" w:rsidRDefault="00FE5881">
            <w:pPr>
              <w:jc w:val="right"/>
            </w:pPr>
            <w:r>
              <w:rPr>
                <w:rFonts w:eastAsiaTheme="minorEastAsia"/>
                <w:kern w:val="0"/>
                <w:sz w:val="24"/>
                <w:szCs w:val="24"/>
              </w:rPr>
              <w:t>43,179,097.40</w:t>
            </w:r>
          </w:p>
        </w:tc>
        <w:tc>
          <w:tcPr>
            <w:tcW w:w="1616" w:type="dxa"/>
            <w:vAlign w:val="center"/>
          </w:tcPr>
          <w:p w:rsidR="006C6D19" w:rsidRDefault="00FE5881">
            <w:pPr>
              <w:jc w:val="right"/>
            </w:pPr>
            <w:r>
              <w:rPr>
                <w:rFonts w:eastAsiaTheme="minorEastAsia"/>
                <w:kern w:val="0"/>
                <w:sz w:val="24"/>
                <w:szCs w:val="24"/>
              </w:rPr>
              <w:t>5.46</w:t>
            </w:r>
          </w:p>
        </w:tc>
      </w:tr>
      <w:tr w:rsidR="006C6D19">
        <w:tc>
          <w:tcPr>
            <w:tcW w:w="817" w:type="dxa"/>
            <w:vAlign w:val="center"/>
          </w:tcPr>
          <w:p w:rsidR="006C6D19" w:rsidRDefault="00FE5881">
            <w:pPr>
              <w:jc w:val="center"/>
            </w:pPr>
            <w:r>
              <w:rPr>
                <w:rFonts w:eastAsiaTheme="minorEastAsia"/>
                <w:kern w:val="0"/>
                <w:sz w:val="24"/>
                <w:szCs w:val="24"/>
              </w:rPr>
              <w:t>3</w:t>
            </w:r>
          </w:p>
        </w:tc>
        <w:tc>
          <w:tcPr>
            <w:tcW w:w="1276" w:type="dxa"/>
            <w:vAlign w:val="center"/>
          </w:tcPr>
          <w:p w:rsidR="006C6D19" w:rsidRDefault="00FE5881">
            <w:pPr>
              <w:jc w:val="center"/>
            </w:pPr>
            <w:r>
              <w:rPr>
                <w:rFonts w:eastAsiaTheme="minorEastAsia"/>
                <w:kern w:val="0"/>
                <w:sz w:val="24"/>
                <w:szCs w:val="24"/>
              </w:rPr>
              <w:t>002709</w:t>
            </w:r>
          </w:p>
        </w:tc>
        <w:tc>
          <w:tcPr>
            <w:tcW w:w="1701" w:type="dxa"/>
            <w:vAlign w:val="center"/>
          </w:tcPr>
          <w:p w:rsidR="006C6D19" w:rsidRDefault="00FE5881">
            <w:pPr>
              <w:jc w:val="center"/>
            </w:pPr>
            <w:r>
              <w:rPr>
                <w:rFonts w:eastAsiaTheme="minorEastAsia"/>
                <w:kern w:val="0"/>
                <w:sz w:val="24"/>
                <w:szCs w:val="24"/>
              </w:rPr>
              <w:t>天赐材料</w:t>
            </w:r>
          </w:p>
        </w:tc>
        <w:tc>
          <w:tcPr>
            <w:tcW w:w="1276" w:type="dxa"/>
            <w:vAlign w:val="center"/>
          </w:tcPr>
          <w:p w:rsidR="006C6D19" w:rsidRDefault="00FE5881">
            <w:pPr>
              <w:jc w:val="right"/>
            </w:pPr>
            <w:r>
              <w:rPr>
                <w:rFonts w:eastAsiaTheme="minorEastAsia"/>
                <w:kern w:val="0"/>
                <w:sz w:val="24"/>
                <w:szCs w:val="24"/>
              </w:rPr>
              <w:t>193,434</w:t>
            </w:r>
          </w:p>
        </w:tc>
        <w:tc>
          <w:tcPr>
            <w:tcW w:w="1842" w:type="dxa"/>
            <w:vAlign w:val="center"/>
          </w:tcPr>
          <w:p w:rsidR="006C6D19" w:rsidRDefault="00FE5881">
            <w:pPr>
              <w:jc w:val="right"/>
            </w:pPr>
            <w:r>
              <w:rPr>
                <w:rFonts w:eastAsiaTheme="minorEastAsia"/>
                <w:kern w:val="0"/>
                <w:sz w:val="24"/>
                <w:szCs w:val="24"/>
              </w:rPr>
              <w:t>29,425,180.08</w:t>
            </w:r>
          </w:p>
        </w:tc>
        <w:tc>
          <w:tcPr>
            <w:tcW w:w="1616" w:type="dxa"/>
            <w:vAlign w:val="center"/>
          </w:tcPr>
          <w:p w:rsidR="006C6D19" w:rsidRDefault="00FE5881">
            <w:pPr>
              <w:jc w:val="right"/>
            </w:pPr>
            <w:r>
              <w:rPr>
                <w:rFonts w:eastAsiaTheme="minorEastAsia"/>
                <w:kern w:val="0"/>
                <w:sz w:val="24"/>
                <w:szCs w:val="24"/>
              </w:rPr>
              <w:t>3.72</w:t>
            </w:r>
          </w:p>
        </w:tc>
      </w:tr>
      <w:tr w:rsidR="006C6D19">
        <w:tc>
          <w:tcPr>
            <w:tcW w:w="817" w:type="dxa"/>
            <w:vAlign w:val="center"/>
          </w:tcPr>
          <w:p w:rsidR="006C6D19" w:rsidRDefault="00FE5881">
            <w:pPr>
              <w:jc w:val="center"/>
            </w:pPr>
            <w:r>
              <w:rPr>
                <w:rFonts w:eastAsiaTheme="minorEastAsia"/>
                <w:kern w:val="0"/>
                <w:sz w:val="24"/>
                <w:szCs w:val="24"/>
              </w:rPr>
              <w:t>4</w:t>
            </w:r>
          </w:p>
        </w:tc>
        <w:tc>
          <w:tcPr>
            <w:tcW w:w="1276" w:type="dxa"/>
            <w:vAlign w:val="center"/>
          </w:tcPr>
          <w:p w:rsidR="006C6D19" w:rsidRDefault="00FE5881">
            <w:pPr>
              <w:jc w:val="center"/>
            </w:pPr>
            <w:r>
              <w:rPr>
                <w:rFonts w:eastAsiaTheme="minorEastAsia"/>
                <w:kern w:val="0"/>
                <w:sz w:val="24"/>
                <w:szCs w:val="24"/>
              </w:rPr>
              <w:t>600110</w:t>
            </w:r>
          </w:p>
        </w:tc>
        <w:tc>
          <w:tcPr>
            <w:tcW w:w="1701" w:type="dxa"/>
            <w:vAlign w:val="center"/>
          </w:tcPr>
          <w:p w:rsidR="006C6D19" w:rsidRDefault="00FE5881">
            <w:pPr>
              <w:jc w:val="center"/>
            </w:pPr>
            <w:r>
              <w:rPr>
                <w:rFonts w:eastAsiaTheme="minorEastAsia"/>
                <w:kern w:val="0"/>
                <w:sz w:val="24"/>
                <w:szCs w:val="24"/>
              </w:rPr>
              <w:t>诺德股份</w:t>
            </w:r>
          </w:p>
        </w:tc>
        <w:tc>
          <w:tcPr>
            <w:tcW w:w="1276" w:type="dxa"/>
            <w:vAlign w:val="center"/>
          </w:tcPr>
          <w:p w:rsidR="006C6D19" w:rsidRDefault="00FE5881">
            <w:pPr>
              <w:jc w:val="right"/>
            </w:pPr>
            <w:r>
              <w:rPr>
                <w:rFonts w:eastAsiaTheme="minorEastAsia"/>
                <w:kern w:val="0"/>
                <w:sz w:val="24"/>
                <w:szCs w:val="24"/>
              </w:rPr>
              <w:t>1,303,292</w:t>
            </w:r>
          </w:p>
        </w:tc>
        <w:tc>
          <w:tcPr>
            <w:tcW w:w="1842" w:type="dxa"/>
            <w:vAlign w:val="center"/>
          </w:tcPr>
          <w:p w:rsidR="006C6D19" w:rsidRDefault="00FE5881">
            <w:pPr>
              <w:jc w:val="right"/>
            </w:pPr>
            <w:r>
              <w:rPr>
                <w:rFonts w:eastAsiaTheme="minorEastAsia"/>
                <w:kern w:val="0"/>
                <w:sz w:val="24"/>
                <w:szCs w:val="24"/>
              </w:rPr>
              <w:t>27,903,481.72</w:t>
            </w:r>
          </w:p>
        </w:tc>
        <w:tc>
          <w:tcPr>
            <w:tcW w:w="1616" w:type="dxa"/>
            <w:vAlign w:val="center"/>
          </w:tcPr>
          <w:p w:rsidR="006C6D19" w:rsidRDefault="00FE5881">
            <w:pPr>
              <w:jc w:val="right"/>
            </w:pPr>
            <w:r>
              <w:rPr>
                <w:rFonts w:eastAsiaTheme="minorEastAsia"/>
                <w:kern w:val="0"/>
                <w:sz w:val="24"/>
                <w:szCs w:val="24"/>
              </w:rPr>
              <w:t>3.53</w:t>
            </w:r>
          </w:p>
        </w:tc>
      </w:tr>
      <w:tr w:rsidR="006C6D19">
        <w:tc>
          <w:tcPr>
            <w:tcW w:w="817" w:type="dxa"/>
            <w:vAlign w:val="center"/>
          </w:tcPr>
          <w:p w:rsidR="006C6D19" w:rsidRDefault="00FE5881">
            <w:pPr>
              <w:jc w:val="center"/>
            </w:pPr>
            <w:r>
              <w:rPr>
                <w:rFonts w:eastAsiaTheme="minorEastAsia"/>
                <w:kern w:val="0"/>
                <w:sz w:val="24"/>
                <w:szCs w:val="24"/>
              </w:rPr>
              <w:t>5</w:t>
            </w:r>
          </w:p>
        </w:tc>
        <w:tc>
          <w:tcPr>
            <w:tcW w:w="1276" w:type="dxa"/>
            <w:vAlign w:val="center"/>
          </w:tcPr>
          <w:p w:rsidR="006C6D19" w:rsidRDefault="00FE5881">
            <w:pPr>
              <w:jc w:val="center"/>
            </w:pPr>
            <w:r>
              <w:rPr>
                <w:rFonts w:eastAsiaTheme="minorEastAsia"/>
                <w:kern w:val="0"/>
                <w:sz w:val="24"/>
                <w:szCs w:val="24"/>
              </w:rPr>
              <w:t>603659</w:t>
            </w:r>
          </w:p>
        </w:tc>
        <w:tc>
          <w:tcPr>
            <w:tcW w:w="1701" w:type="dxa"/>
            <w:vAlign w:val="center"/>
          </w:tcPr>
          <w:p w:rsidR="006C6D19" w:rsidRDefault="00FE5881">
            <w:pPr>
              <w:jc w:val="center"/>
            </w:pPr>
            <w:r>
              <w:rPr>
                <w:rFonts w:eastAsiaTheme="minorEastAsia"/>
                <w:kern w:val="0"/>
                <w:sz w:val="24"/>
                <w:szCs w:val="24"/>
              </w:rPr>
              <w:t>璞泰来</w:t>
            </w:r>
          </w:p>
        </w:tc>
        <w:tc>
          <w:tcPr>
            <w:tcW w:w="1276" w:type="dxa"/>
            <w:vAlign w:val="center"/>
          </w:tcPr>
          <w:p w:rsidR="006C6D19" w:rsidRDefault="00FE5881">
            <w:pPr>
              <w:jc w:val="right"/>
            </w:pPr>
            <w:r>
              <w:rPr>
                <w:rFonts w:eastAsiaTheme="minorEastAsia"/>
                <w:kern w:val="0"/>
                <w:sz w:val="24"/>
                <w:szCs w:val="24"/>
              </w:rPr>
              <w:t>132,428</w:t>
            </w:r>
          </w:p>
        </w:tc>
        <w:tc>
          <w:tcPr>
            <w:tcW w:w="1842" w:type="dxa"/>
            <w:vAlign w:val="center"/>
          </w:tcPr>
          <w:p w:rsidR="006C6D19" w:rsidRDefault="00FE5881">
            <w:pPr>
              <w:jc w:val="right"/>
            </w:pPr>
            <w:r>
              <w:rPr>
                <w:rFonts w:eastAsiaTheme="minorEastAsia"/>
                <w:kern w:val="0"/>
                <w:sz w:val="24"/>
                <w:szCs w:val="24"/>
              </w:rPr>
              <w:t>22,777,616.00</w:t>
            </w:r>
          </w:p>
        </w:tc>
        <w:tc>
          <w:tcPr>
            <w:tcW w:w="1616" w:type="dxa"/>
            <w:vAlign w:val="center"/>
          </w:tcPr>
          <w:p w:rsidR="006C6D19" w:rsidRDefault="00FE5881">
            <w:pPr>
              <w:jc w:val="right"/>
            </w:pPr>
            <w:r>
              <w:rPr>
                <w:rFonts w:eastAsiaTheme="minorEastAsia"/>
                <w:kern w:val="0"/>
                <w:sz w:val="24"/>
                <w:szCs w:val="24"/>
              </w:rPr>
              <w:t>2.88</w:t>
            </w:r>
          </w:p>
        </w:tc>
      </w:tr>
      <w:tr w:rsidR="006C6D19">
        <w:tc>
          <w:tcPr>
            <w:tcW w:w="817" w:type="dxa"/>
            <w:vAlign w:val="center"/>
          </w:tcPr>
          <w:p w:rsidR="006C6D19" w:rsidRDefault="00FE5881">
            <w:pPr>
              <w:jc w:val="center"/>
            </w:pPr>
            <w:r>
              <w:rPr>
                <w:rFonts w:eastAsiaTheme="minorEastAsia"/>
                <w:kern w:val="0"/>
                <w:sz w:val="24"/>
                <w:szCs w:val="24"/>
              </w:rPr>
              <w:t>6</w:t>
            </w:r>
          </w:p>
        </w:tc>
        <w:tc>
          <w:tcPr>
            <w:tcW w:w="1276" w:type="dxa"/>
            <w:vAlign w:val="center"/>
          </w:tcPr>
          <w:p w:rsidR="006C6D19" w:rsidRDefault="00FE5881">
            <w:pPr>
              <w:jc w:val="center"/>
            </w:pPr>
            <w:r>
              <w:rPr>
                <w:rFonts w:eastAsiaTheme="minorEastAsia"/>
                <w:kern w:val="0"/>
                <w:sz w:val="24"/>
                <w:szCs w:val="24"/>
              </w:rPr>
              <w:t>300363</w:t>
            </w:r>
          </w:p>
        </w:tc>
        <w:tc>
          <w:tcPr>
            <w:tcW w:w="1701" w:type="dxa"/>
            <w:vAlign w:val="center"/>
          </w:tcPr>
          <w:p w:rsidR="006C6D19" w:rsidRDefault="00FE5881">
            <w:pPr>
              <w:jc w:val="center"/>
            </w:pPr>
            <w:r>
              <w:rPr>
                <w:rFonts w:eastAsiaTheme="minorEastAsia"/>
                <w:kern w:val="0"/>
                <w:sz w:val="24"/>
                <w:szCs w:val="24"/>
              </w:rPr>
              <w:t>博腾股份</w:t>
            </w:r>
          </w:p>
        </w:tc>
        <w:tc>
          <w:tcPr>
            <w:tcW w:w="1276" w:type="dxa"/>
            <w:vAlign w:val="center"/>
          </w:tcPr>
          <w:p w:rsidR="006C6D19" w:rsidRDefault="00FE5881">
            <w:pPr>
              <w:jc w:val="right"/>
            </w:pPr>
            <w:r>
              <w:rPr>
                <w:rFonts w:eastAsiaTheme="minorEastAsia"/>
                <w:kern w:val="0"/>
                <w:sz w:val="24"/>
                <w:szCs w:val="24"/>
              </w:rPr>
              <w:t>193,414</w:t>
            </w:r>
          </w:p>
        </w:tc>
        <w:tc>
          <w:tcPr>
            <w:tcW w:w="1842" w:type="dxa"/>
            <w:vAlign w:val="center"/>
          </w:tcPr>
          <w:p w:rsidR="006C6D19" w:rsidRDefault="00FE5881">
            <w:pPr>
              <w:jc w:val="right"/>
            </w:pPr>
            <w:r>
              <w:rPr>
                <w:rFonts w:eastAsiaTheme="minorEastAsia"/>
                <w:kern w:val="0"/>
                <w:sz w:val="24"/>
                <w:szCs w:val="24"/>
              </w:rPr>
              <w:t>18,424,617.64</w:t>
            </w:r>
          </w:p>
        </w:tc>
        <w:tc>
          <w:tcPr>
            <w:tcW w:w="1616" w:type="dxa"/>
            <w:vAlign w:val="center"/>
          </w:tcPr>
          <w:p w:rsidR="006C6D19" w:rsidRDefault="00FE5881">
            <w:pPr>
              <w:jc w:val="right"/>
            </w:pPr>
            <w:r>
              <w:rPr>
                <w:rFonts w:eastAsiaTheme="minorEastAsia"/>
                <w:kern w:val="0"/>
                <w:sz w:val="24"/>
                <w:szCs w:val="24"/>
              </w:rPr>
              <w:t>2.33</w:t>
            </w:r>
          </w:p>
        </w:tc>
      </w:tr>
      <w:tr w:rsidR="006C6D19">
        <w:tc>
          <w:tcPr>
            <w:tcW w:w="817" w:type="dxa"/>
            <w:vAlign w:val="center"/>
          </w:tcPr>
          <w:p w:rsidR="006C6D19" w:rsidRDefault="00FE5881">
            <w:pPr>
              <w:jc w:val="center"/>
            </w:pPr>
            <w:r>
              <w:rPr>
                <w:rFonts w:eastAsiaTheme="minorEastAsia"/>
                <w:kern w:val="0"/>
                <w:sz w:val="24"/>
                <w:szCs w:val="24"/>
              </w:rPr>
              <w:t>7</w:t>
            </w:r>
          </w:p>
        </w:tc>
        <w:tc>
          <w:tcPr>
            <w:tcW w:w="1276" w:type="dxa"/>
            <w:vAlign w:val="center"/>
          </w:tcPr>
          <w:p w:rsidR="006C6D19" w:rsidRDefault="00FE5881">
            <w:pPr>
              <w:jc w:val="center"/>
            </w:pPr>
            <w:r>
              <w:rPr>
                <w:rFonts w:eastAsiaTheme="minorEastAsia"/>
                <w:kern w:val="0"/>
                <w:sz w:val="24"/>
                <w:szCs w:val="24"/>
              </w:rPr>
              <w:t>688202</w:t>
            </w:r>
          </w:p>
        </w:tc>
        <w:tc>
          <w:tcPr>
            <w:tcW w:w="1701" w:type="dxa"/>
            <w:vAlign w:val="center"/>
          </w:tcPr>
          <w:p w:rsidR="006C6D19" w:rsidRDefault="00FE5881">
            <w:pPr>
              <w:jc w:val="center"/>
            </w:pPr>
            <w:r>
              <w:rPr>
                <w:rFonts w:eastAsiaTheme="minorEastAsia"/>
                <w:kern w:val="0"/>
                <w:sz w:val="24"/>
                <w:szCs w:val="24"/>
              </w:rPr>
              <w:t>美迪西</w:t>
            </w:r>
          </w:p>
        </w:tc>
        <w:tc>
          <w:tcPr>
            <w:tcW w:w="1276" w:type="dxa"/>
            <w:vAlign w:val="center"/>
          </w:tcPr>
          <w:p w:rsidR="006C6D19" w:rsidRDefault="00FE5881">
            <w:pPr>
              <w:jc w:val="right"/>
            </w:pPr>
            <w:r>
              <w:rPr>
                <w:rFonts w:eastAsiaTheme="minorEastAsia"/>
                <w:kern w:val="0"/>
                <w:sz w:val="24"/>
                <w:szCs w:val="24"/>
              </w:rPr>
              <w:t>21,831</w:t>
            </w:r>
          </w:p>
        </w:tc>
        <w:tc>
          <w:tcPr>
            <w:tcW w:w="1842" w:type="dxa"/>
            <w:vAlign w:val="center"/>
          </w:tcPr>
          <w:p w:rsidR="006C6D19" w:rsidRDefault="00FE5881">
            <w:pPr>
              <w:jc w:val="right"/>
            </w:pPr>
            <w:r>
              <w:rPr>
                <w:rFonts w:eastAsiaTheme="minorEastAsia"/>
                <w:kern w:val="0"/>
                <w:sz w:val="24"/>
                <w:szCs w:val="24"/>
              </w:rPr>
              <w:t>16,272,172.47</w:t>
            </w:r>
          </w:p>
        </w:tc>
        <w:tc>
          <w:tcPr>
            <w:tcW w:w="1616" w:type="dxa"/>
            <w:vAlign w:val="center"/>
          </w:tcPr>
          <w:p w:rsidR="006C6D19" w:rsidRDefault="00FE5881">
            <w:pPr>
              <w:jc w:val="right"/>
            </w:pPr>
            <w:r>
              <w:rPr>
                <w:rFonts w:eastAsiaTheme="minorEastAsia"/>
                <w:kern w:val="0"/>
                <w:sz w:val="24"/>
                <w:szCs w:val="24"/>
              </w:rPr>
              <w:t>2.06</w:t>
            </w:r>
          </w:p>
        </w:tc>
      </w:tr>
      <w:tr w:rsidR="006C6D19">
        <w:tc>
          <w:tcPr>
            <w:tcW w:w="817" w:type="dxa"/>
            <w:vAlign w:val="center"/>
          </w:tcPr>
          <w:p w:rsidR="006C6D19" w:rsidRDefault="00FE5881">
            <w:pPr>
              <w:jc w:val="center"/>
            </w:pPr>
            <w:r>
              <w:rPr>
                <w:rFonts w:eastAsiaTheme="minorEastAsia"/>
                <w:kern w:val="0"/>
                <w:sz w:val="24"/>
                <w:szCs w:val="24"/>
              </w:rPr>
              <w:t>8</w:t>
            </w:r>
          </w:p>
        </w:tc>
        <w:tc>
          <w:tcPr>
            <w:tcW w:w="1276" w:type="dxa"/>
            <w:vAlign w:val="center"/>
          </w:tcPr>
          <w:p w:rsidR="006C6D19" w:rsidRDefault="00FE5881">
            <w:pPr>
              <w:jc w:val="center"/>
            </w:pPr>
            <w:r>
              <w:rPr>
                <w:rFonts w:eastAsiaTheme="minorEastAsia"/>
                <w:kern w:val="0"/>
                <w:sz w:val="24"/>
                <w:szCs w:val="24"/>
              </w:rPr>
              <w:t>003022</w:t>
            </w:r>
          </w:p>
        </w:tc>
        <w:tc>
          <w:tcPr>
            <w:tcW w:w="1701" w:type="dxa"/>
            <w:vAlign w:val="center"/>
          </w:tcPr>
          <w:p w:rsidR="006C6D19" w:rsidRDefault="00FE5881">
            <w:pPr>
              <w:jc w:val="center"/>
            </w:pPr>
            <w:r>
              <w:rPr>
                <w:rFonts w:eastAsiaTheme="minorEastAsia"/>
                <w:kern w:val="0"/>
                <w:sz w:val="24"/>
                <w:szCs w:val="24"/>
              </w:rPr>
              <w:t>联泓新科</w:t>
            </w:r>
          </w:p>
        </w:tc>
        <w:tc>
          <w:tcPr>
            <w:tcW w:w="1276" w:type="dxa"/>
            <w:vAlign w:val="center"/>
          </w:tcPr>
          <w:p w:rsidR="006C6D19" w:rsidRDefault="00FE5881">
            <w:pPr>
              <w:jc w:val="right"/>
            </w:pPr>
            <w:r>
              <w:rPr>
                <w:rFonts w:eastAsiaTheme="minorEastAsia"/>
                <w:kern w:val="0"/>
                <w:sz w:val="24"/>
                <w:szCs w:val="24"/>
              </w:rPr>
              <w:t>279,427</w:t>
            </w:r>
          </w:p>
        </w:tc>
        <w:tc>
          <w:tcPr>
            <w:tcW w:w="1842" w:type="dxa"/>
            <w:vAlign w:val="center"/>
          </w:tcPr>
          <w:p w:rsidR="006C6D19" w:rsidRDefault="00FE5881">
            <w:pPr>
              <w:jc w:val="right"/>
            </w:pPr>
            <w:r>
              <w:rPr>
                <w:rFonts w:eastAsiaTheme="minorEastAsia"/>
                <w:kern w:val="0"/>
                <w:sz w:val="24"/>
                <w:szCs w:val="24"/>
              </w:rPr>
              <w:t>15,320,982.41</w:t>
            </w:r>
          </w:p>
        </w:tc>
        <w:tc>
          <w:tcPr>
            <w:tcW w:w="1616" w:type="dxa"/>
            <w:vAlign w:val="center"/>
          </w:tcPr>
          <w:p w:rsidR="006C6D19" w:rsidRDefault="00FE5881">
            <w:pPr>
              <w:jc w:val="right"/>
            </w:pPr>
            <w:r>
              <w:rPr>
                <w:rFonts w:eastAsiaTheme="minorEastAsia"/>
                <w:kern w:val="0"/>
                <w:sz w:val="24"/>
                <w:szCs w:val="24"/>
              </w:rPr>
              <w:t>1.94</w:t>
            </w:r>
          </w:p>
        </w:tc>
      </w:tr>
      <w:tr w:rsidR="006C6D19">
        <w:tc>
          <w:tcPr>
            <w:tcW w:w="817" w:type="dxa"/>
            <w:vAlign w:val="center"/>
          </w:tcPr>
          <w:p w:rsidR="006C6D19" w:rsidRDefault="00FE5881">
            <w:pPr>
              <w:jc w:val="center"/>
            </w:pPr>
            <w:r>
              <w:rPr>
                <w:rFonts w:eastAsiaTheme="minorEastAsia"/>
                <w:kern w:val="0"/>
                <w:sz w:val="24"/>
                <w:szCs w:val="24"/>
              </w:rPr>
              <w:t>9</w:t>
            </w:r>
          </w:p>
        </w:tc>
        <w:tc>
          <w:tcPr>
            <w:tcW w:w="1276" w:type="dxa"/>
            <w:vAlign w:val="center"/>
          </w:tcPr>
          <w:p w:rsidR="006C6D19" w:rsidRDefault="00FE5881">
            <w:pPr>
              <w:jc w:val="center"/>
            </w:pPr>
            <w:r>
              <w:rPr>
                <w:rFonts w:eastAsiaTheme="minorEastAsia"/>
                <w:kern w:val="0"/>
                <w:sz w:val="24"/>
                <w:szCs w:val="24"/>
              </w:rPr>
              <w:t>300059</w:t>
            </w:r>
          </w:p>
        </w:tc>
        <w:tc>
          <w:tcPr>
            <w:tcW w:w="1701" w:type="dxa"/>
            <w:vAlign w:val="center"/>
          </w:tcPr>
          <w:p w:rsidR="006C6D19" w:rsidRDefault="00FE5881">
            <w:pPr>
              <w:jc w:val="center"/>
            </w:pPr>
            <w:r>
              <w:rPr>
                <w:rFonts w:eastAsiaTheme="minorEastAsia"/>
                <w:kern w:val="0"/>
                <w:sz w:val="24"/>
                <w:szCs w:val="24"/>
              </w:rPr>
              <w:t>东方财富</w:t>
            </w:r>
          </w:p>
        </w:tc>
        <w:tc>
          <w:tcPr>
            <w:tcW w:w="1276" w:type="dxa"/>
            <w:vAlign w:val="center"/>
          </w:tcPr>
          <w:p w:rsidR="006C6D19" w:rsidRDefault="00FE5881">
            <w:pPr>
              <w:jc w:val="right"/>
            </w:pPr>
            <w:r>
              <w:rPr>
                <w:rFonts w:eastAsiaTheme="minorEastAsia"/>
                <w:kern w:val="0"/>
                <w:sz w:val="24"/>
                <w:szCs w:val="24"/>
              </w:rPr>
              <w:t>438,195</w:t>
            </w:r>
          </w:p>
        </w:tc>
        <w:tc>
          <w:tcPr>
            <w:tcW w:w="1842" w:type="dxa"/>
            <w:vAlign w:val="center"/>
          </w:tcPr>
          <w:p w:rsidR="006C6D19" w:rsidRDefault="00FE5881">
            <w:pPr>
              <w:jc w:val="right"/>
            </w:pPr>
            <w:r>
              <w:rPr>
                <w:rFonts w:eastAsiaTheme="minorEastAsia"/>
                <w:kern w:val="0"/>
                <w:sz w:val="24"/>
                <w:szCs w:val="24"/>
              </w:rPr>
              <w:t>15,060,762.15</w:t>
            </w:r>
          </w:p>
        </w:tc>
        <w:tc>
          <w:tcPr>
            <w:tcW w:w="1616" w:type="dxa"/>
            <w:vAlign w:val="center"/>
          </w:tcPr>
          <w:p w:rsidR="006C6D19" w:rsidRDefault="00FE5881">
            <w:pPr>
              <w:jc w:val="right"/>
            </w:pPr>
            <w:r>
              <w:rPr>
                <w:rFonts w:eastAsiaTheme="minorEastAsia"/>
                <w:kern w:val="0"/>
                <w:sz w:val="24"/>
                <w:szCs w:val="24"/>
              </w:rPr>
              <w:t>1.91</w:t>
            </w:r>
          </w:p>
        </w:tc>
      </w:tr>
      <w:tr w:rsidR="006C6D19">
        <w:tc>
          <w:tcPr>
            <w:tcW w:w="817" w:type="dxa"/>
            <w:vAlign w:val="center"/>
          </w:tcPr>
          <w:p w:rsidR="006C6D19" w:rsidRDefault="00FE5881">
            <w:pPr>
              <w:jc w:val="center"/>
            </w:pPr>
            <w:r>
              <w:rPr>
                <w:rFonts w:eastAsiaTheme="minorEastAsia"/>
                <w:kern w:val="0"/>
                <w:sz w:val="24"/>
                <w:szCs w:val="24"/>
              </w:rPr>
              <w:t>10</w:t>
            </w:r>
          </w:p>
        </w:tc>
        <w:tc>
          <w:tcPr>
            <w:tcW w:w="1276" w:type="dxa"/>
            <w:vAlign w:val="center"/>
          </w:tcPr>
          <w:p w:rsidR="006C6D19" w:rsidRDefault="00FE5881">
            <w:pPr>
              <w:jc w:val="center"/>
            </w:pPr>
            <w:r>
              <w:rPr>
                <w:rFonts w:eastAsiaTheme="minorEastAsia"/>
                <w:kern w:val="0"/>
                <w:sz w:val="24"/>
                <w:szCs w:val="24"/>
              </w:rPr>
              <w:t>688116</w:t>
            </w:r>
          </w:p>
        </w:tc>
        <w:tc>
          <w:tcPr>
            <w:tcW w:w="1701" w:type="dxa"/>
            <w:vAlign w:val="center"/>
          </w:tcPr>
          <w:p w:rsidR="006C6D19" w:rsidRDefault="00FE5881">
            <w:pPr>
              <w:jc w:val="center"/>
            </w:pPr>
            <w:r>
              <w:rPr>
                <w:rFonts w:eastAsiaTheme="minorEastAsia"/>
                <w:kern w:val="0"/>
                <w:sz w:val="24"/>
                <w:szCs w:val="24"/>
              </w:rPr>
              <w:t>天奈科技</w:t>
            </w:r>
          </w:p>
        </w:tc>
        <w:tc>
          <w:tcPr>
            <w:tcW w:w="1276" w:type="dxa"/>
            <w:vAlign w:val="center"/>
          </w:tcPr>
          <w:p w:rsidR="006C6D19" w:rsidRDefault="00FE5881">
            <w:pPr>
              <w:jc w:val="right"/>
            </w:pPr>
            <w:r>
              <w:rPr>
                <w:rFonts w:eastAsiaTheme="minorEastAsia"/>
                <w:kern w:val="0"/>
                <w:sz w:val="24"/>
                <w:szCs w:val="24"/>
              </w:rPr>
              <w:t>98,957</w:t>
            </w:r>
          </w:p>
        </w:tc>
        <w:tc>
          <w:tcPr>
            <w:tcW w:w="1842" w:type="dxa"/>
            <w:vAlign w:val="center"/>
          </w:tcPr>
          <w:p w:rsidR="006C6D19" w:rsidRDefault="00FE5881">
            <w:pPr>
              <w:jc w:val="right"/>
            </w:pPr>
            <w:r>
              <w:rPr>
                <w:rFonts w:eastAsiaTheme="minorEastAsia"/>
                <w:kern w:val="0"/>
                <w:sz w:val="24"/>
                <w:szCs w:val="24"/>
              </w:rPr>
              <w:t>14,851,466.56</w:t>
            </w:r>
          </w:p>
        </w:tc>
        <w:tc>
          <w:tcPr>
            <w:tcW w:w="1616" w:type="dxa"/>
            <w:vAlign w:val="center"/>
          </w:tcPr>
          <w:p w:rsidR="006C6D19" w:rsidRDefault="00FE5881">
            <w:pPr>
              <w:jc w:val="right"/>
            </w:pPr>
            <w:r>
              <w:rPr>
                <w:rFonts w:eastAsiaTheme="minorEastAsia"/>
                <w:kern w:val="0"/>
                <w:sz w:val="24"/>
                <w:szCs w:val="24"/>
              </w:rPr>
              <w:t>1.88</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198,693,853.20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25.14</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26,195,000.00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3.31</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26,195,000.00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3.31</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9,028,167.08</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1.14</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233,917,020.28</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29.60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6C6D19">
        <w:tc>
          <w:tcPr>
            <w:tcW w:w="1252" w:type="dxa"/>
            <w:vAlign w:val="center"/>
          </w:tcPr>
          <w:p w:rsidR="006C6D19" w:rsidRDefault="00FE5881">
            <w:pPr>
              <w:jc w:val="center"/>
            </w:pPr>
            <w:r>
              <w:rPr>
                <w:rFonts w:eastAsiaTheme="minorEastAsia"/>
                <w:color w:val="000000" w:themeColor="text1"/>
                <w:kern w:val="0"/>
              </w:rPr>
              <w:t>1</w:t>
            </w:r>
          </w:p>
        </w:tc>
        <w:tc>
          <w:tcPr>
            <w:tcW w:w="1310" w:type="dxa"/>
            <w:vAlign w:val="center"/>
          </w:tcPr>
          <w:p w:rsidR="006C6D19" w:rsidRDefault="00FE5881">
            <w:pPr>
              <w:jc w:val="center"/>
            </w:pPr>
            <w:r>
              <w:rPr>
                <w:rFonts w:eastAsiaTheme="minorEastAsia"/>
                <w:color w:val="000000" w:themeColor="text1"/>
                <w:kern w:val="0"/>
              </w:rPr>
              <w:t>019658</w:t>
            </w:r>
          </w:p>
        </w:tc>
        <w:tc>
          <w:tcPr>
            <w:tcW w:w="1282" w:type="dxa"/>
            <w:vAlign w:val="center"/>
          </w:tcPr>
          <w:p w:rsidR="006C6D19" w:rsidRDefault="00FE5881">
            <w:pPr>
              <w:jc w:val="center"/>
            </w:pPr>
            <w:r>
              <w:rPr>
                <w:rFonts w:eastAsiaTheme="minorEastAsia"/>
                <w:color w:val="000000" w:themeColor="text1"/>
                <w:kern w:val="0"/>
              </w:rPr>
              <w:t>21</w:t>
            </w:r>
            <w:r>
              <w:rPr>
                <w:rFonts w:eastAsiaTheme="minorEastAsia"/>
                <w:color w:val="000000" w:themeColor="text1"/>
                <w:kern w:val="0"/>
              </w:rPr>
              <w:t>国债</w:t>
            </w:r>
            <w:r>
              <w:rPr>
                <w:rFonts w:eastAsiaTheme="minorEastAsia"/>
                <w:color w:val="000000" w:themeColor="text1"/>
                <w:kern w:val="0"/>
              </w:rPr>
              <w:t>10</w:t>
            </w:r>
          </w:p>
        </w:tc>
        <w:tc>
          <w:tcPr>
            <w:tcW w:w="1426" w:type="dxa"/>
            <w:vAlign w:val="center"/>
          </w:tcPr>
          <w:p w:rsidR="006C6D19" w:rsidRDefault="00FE5881">
            <w:pPr>
              <w:jc w:val="right"/>
            </w:pPr>
            <w:r>
              <w:rPr>
                <w:rFonts w:eastAsiaTheme="minorEastAsia"/>
                <w:color w:val="000000" w:themeColor="text1"/>
                <w:kern w:val="0"/>
              </w:rPr>
              <w:t>750,000</w:t>
            </w:r>
          </w:p>
        </w:tc>
        <w:tc>
          <w:tcPr>
            <w:tcW w:w="1646" w:type="dxa"/>
            <w:vAlign w:val="center"/>
          </w:tcPr>
          <w:p w:rsidR="006C6D19" w:rsidRDefault="00FE5881">
            <w:pPr>
              <w:jc w:val="right"/>
            </w:pPr>
            <w:r>
              <w:rPr>
                <w:rFonts w:eastAsiaTheme="minorEastAsia"/>
                <w:color w:val="000000" w:themeColor="text1"/>
                <w:kern w:val="0"/>
              </w:rPr>
              <w:t>74,835,000.00</w:t>
            </w:r>
          </w:p>
        </w:tc>
        <w:tc>
          <w:tcPr>
            <w:tcW w:w="1612" w:type="dxa"/>
            <w:vAlign w:val="center"/>
          </w:tcPr>
          <w:p w:rsidR="006C6D19" w:rsidRDefault="00FE5881">
            <w:pPr>
              <w:jc w:val="right"/>
            </w:pPr>
            <w:r>
              <w:rPr>
                <w:rFonts w:eastAsiaTheme="minorEastAsia"/>
                <w:color w:val="000000" w:themeColor="text1"/>
                <w:kern w:val="0"/>
              </w:rPr>
              <w:t>9.47</w:t>
            </w:r>
          </w:p>
        </w:tc>
      </w:tr>
      <w:tr w:rsidR="006C6D19">
        <w:tc>
          <w:tcPr>
            <w:tcW w:w="1252" w:type="dxa"/>
            <w:vAlign w:val="center"/>
          </w:tcPr>
          <w:p w:rsidR="006C6D19" w:rsidRDefault="00FE5881">
            <w:pPr>
              <w:jc w:val="center"/>
            </w:pPr>
            <w:r>
              <w:rPr>
                <w:rFonts w:eastAsiaTheme="minorEastAsia"/>
                <w:color w:val="000000" w:themeColor="text1"/>
                <w:kern w:val="0"/>
              </w:rPr>
              <w:t>2</w:t>
            </w:r>
          </w:p>
        </w:tc>
        <w:tc>
          <w:tcPr>
            <w:tcW w:w="1310" w:type="dxa"/>
            <w:vAlign w:val="center"/>
          </w:tcPr>
          <w:p w:rsidR="006C6D19" w:rsidRDefault="00FE5881">
            <w:pPr>
              <w:jc w:val="center"/>
            </w:pPr>
            <w:r>
              <w:rPr>
                <w:rFonts w:eastAsiaTheme="minorEastAsia"/>
                <w:color w:val="000000" w:themeColor="text1"/>
                <w:kern w:val="0"/>
              </w:rPr>
              <w:t>019654</w:t>
            </w:r>
          </w:p>
        </w:tc>
        <w:tc>
          <w:tcPr>
            <w:tcW w:w="1282" w:type="dxa"/>
            <w:vAlign w:val="center"/>
          </w:tcPr>
          <w:p w:rsidR="006C6D19" w:rsidRDefault="00FE5881">
            <w:pPr>
              <w:jc w:val="center"/>
            </w:pPr>
            <w:r>
              <w:rPr>
                <w:rFonts w:eastAsiaTheme="minorEastAsia"/>
                <w:color w:val="000000" w:themeColor="text1"/>
                <w:kern w:val="0"/>
              </w:rPr>
              <w:t>21</w:t>
            </w:r>
            <w:r>
              <w:rPr>
                <w:rFonts w:eastAsiaTheme="minorEastAsia"/>
                <w:color w:val="000000" w:themeColor="text1"/>
                <w:kern w:val="0"/>
              </w:rPr>
              <w:t>国债</w:t>
            </w:r>
            <w:r>
              <w:rPr>
                <w:rFonts w:eastAsiaTheme="minorEastAsia"/>
                <w:color w:val="000000" w:themeColor="text1"/>
                <w:kern w:val="0"/>
              </w:rPr>
              <w:t>06</w:t>
            </w:r>
          </w:p>
        </w:tc>
        <w:tc>
          <w:tcPr>
            <w:tcW w:w="1426" w:type="dxa"/>
            <w:vAlign w:val="center"/>
          </w:tcPr>
          <w:p w:rsidR="006C6D19" w:rsidRDefault="00FE5881">
            <w:pPr>
              <w:jc w:val="right"/>
            </w:pPr>
            <w:r>
              <w:rPr>
                <w:rFonts w:eastAsiaTheme="minorEastAsia"/>
                <w:color w:val="000000" w:themeColor="text1"/>
                <w:kern w:val="0"/>
              </w:rPr>
              <w:t>700,000</w:t>
            </w:r>
          </w:p>
        </w:tc>
        <w:tc>
          <w:tcPr>
            <w:tcW w:w="1646" w:type="dxa"/>
            <w:vAlign w:val="center"/>
          </w:tcPr>
          <w:p w:rsidR="006C6D19" w:rsidRDefault="00FE5881">
            <w:pPr>
              <w:jc w:val="right"/>
            </w:pPr>
            <w:r>
              <w:rPr>
                <w:rFonts w:eastAsiaTheme="minorEastAsia"/>
                <w:color w:val="000000" w:themeColor="text1"/>
                <w:kern w:val="0"/>
              </w:rPr>
              <w:t>70,063,000.00</w:t>
            </w:r>
          </w:p>
        </w:tc>
        <w:tc>
          <w:tcPr>
            <w:tcW w:w="1612" w:type="dxa"/>
            <w:vAlign w:val="center"/>
          </w:tcPr>
          <w:p w:rsidR="006C6D19" w:rsidRDefault="00FE5881">
            <w:pPr>
              <w:jc w:val="right"/>
            </w:pPr>
            <w:r>
              <w:rPr>
                <w:rFonts w:eastAsiaTheme="minorEastAsia"/>
                <w:color w:val="000000" w:themeColor="text1"/>
                <w:kern w:val="0"/>
              </w:rPr>
              <w:t>8.87</w:t>
            </w:r>
          </w:p>
        </w:tc>
      </w:tr>
      <w:tr w:rsidR="006C6D19">
        <w:tc>
          <w:tcPr>
            <w:tcW w:w="1252" w:type="dxa"/>
            <w:vAlign w:val="center"/>
          </w:tcPr>
          <w:p w:rsidR="006C6D19" w:rsidRDefault="00FE5881">
            <w:pPr>
              <w:jc w:val="center"/>
            </w:pPr>
            <w:r>
              <w:rPr>
                <w:rFonts w:eastAsiaTheme="minorEastAsia"/>
                <w:color w:val="000000" w:themeColor="text1"/>
                <w:kern w:val="0"/>
              </w:rPr>
              <w:t>3</w:t>
            </w:r>
          </w:p>
        </w:tc>
        <w:tc>
          <w:tcPr>
            <w:tcW w:w="1310" w:type="dxa"/>
            <w:vAlign w:val="center"/>
          </w:tcPr>
          <w:p w:rsidR="006C6D19" w:rsidRDefault="00FE5881">
            <w:pPr>
              <w:jc w:val="center"/>
            </w:pPr>
            <w:r>
              <w:rPr>
                <w:rFonts w:eastAsiaTheme="minorEastAsia"/>
                <w:color w:val="000000" w:themeColor="text1"/>
                <w:kern w:val="0"/>
              </w:rPr>
              <w:t>010303</w:t>
            </w:r>
          </w:p>
        </w:tc>
        <w:tc>
          <w:tcPr>
            <w:tcW w:w="1282" w:type="dxa"/>
            <w:vAlign w:val="center"/>
          </w:tcPr>
          <w:p w:rsidR="006C6D19" w:rsidRDefault="00FE5881">
            <w:pPr>
              <w:jc w:val="center"/>
            </w:pPr>
            <w:r>
              <w:rPr>
                <w:rFonts w:eastAsiaTheme="minorEastAsia"/>
                <w:color w:val="000000" w:themeColor="text1"/>
                <w:kern w:val="0"/>
              </w:rPr>
              <w:t>03</w:t>
            </w:r>
            <w:r>
              <w:rPr>
                <w:rFonts w:eastAsiaTheme="minorEastAsia"/>
                <w:color w:val="000000" w:themeColor="text1"/>
                <w:kern w:val="0"/>
              </w:rPr>
              <w:t>国债</w:t>
            </w:r>
            <w:r>
              <w:rPr>
                <w:rFonts w:eastAsiaTheme="minorEastAsia"/>
                <w:color w:val="000000" w:themeColor="text1"/>
                <w:kern w:val="0"/>
              </w:rPr>
              <w:t>⑶</w:t>
            </w:r>
          </w:p>
        </w:tc>
        <w:tc>
          <w:tcPr>
            <w:tcW w:w="1426" w:type="dxa"/>
            <w:vAlign w:val="center"/>
          </w:tcPr>
          <w:p w:rsidR="006C6D19" w:rsidRDefault="00FE5881">
            <w:pPr>
              <w:jc w:val="right"/>
            </w:pPr>
            <w:r>
              <w:rPr>
                <w:rFonts w:eastAsiaTheme="minorEastAsia"/>
                <w:color w:val="000000" w:themeColor="text1"/>
                <w:kern w:val="0"/>
              </w:rPr>
              <w:t>247,420</w:t>
            </w:r>
          </w:p>
        </w:tc>
        <w:tc>
          <w:tcPr>
            <w:tcW w:w="1646" w:type="dxa"/>
            <w:vAlign w:val="center"/>
          </w:tcPr>
          <w:p w:rsidR="006C6D19" w:rsidRDefault="00FE5881">
            <w:pPr>
              <w:jc w:val="right"/>
            </w:pPr>
            <w:r>
              <w:rPr>
                <w:rFonts w:eastAsiaTheme="minorEastAsia"/>
                <w:color w:val="000000" w:themeColor="text1"/>
                <w:kern w:val="0"/>
              </w:rPr>
              <w:t>25,132,923.60</w:t>
            </w:r>
          </w:p>
        </w:tc>
        <w:tc>
          <w:tcPr>
            <w:tcW w:w="1612" w:type="dxa"/>
            <w:vAlign w:val="center"/>
          </w:tcPr>
          <w:p w:rsidR="006C6D19" w:rsidRDefault="00FE5881">
            <w:pPr>
              <w:jc w:val="right"/>
            </w:pPr>
            <w:r>
              <w:rPr>
                <w:rFonts w:eastAsiaTheme="minorEastAsia"/>
                <w:color w:val="000000" w:themeColor="text1"/>
                <w:kern w:val="0"/>
              </w:rPr>
              <w:t>3.18</w:t>
            </w:r>
          </w:p>
        </w:tc>
      </w:tr>
      <w:tr w:rsidR="006C6D19">
        <w:tc>
          <w:tcPr>
            <w:tcW w:w="1252" w:type="dxa"/>
            <w:vAlign w:val="center"/>
          </w:tcPr>
          <w:p w:rsidR="006C6D19" w:rsidRDefault="00FE5881">
            <w:pPr>
              <w:jc w:val="center"/>
            </w:pPr>
            <w:r>
              <w:rPr>
                <w:rFonts w:eastAsiaTheme="minorEastAsia"/>
                <w:color w:val="000000" w:themeColor="text1"/>
                <w:kern w:val="0"/>
              </w:rPr>
              <w:t>4</w:t>
            </w:r>
          </w:p>
        </w:tc>
        <w:tc>
          <w:tcPr>
            <w:tcW w:w="1310" w:type="dxa"/>
            <w:vAlign w:val="center"/>
          </w:tcPr>
          <w:p w:rsidR="006C6D19" w:rsidRDefault="00FE5881">
            <w:pPr>
              <w:jc w:val="center"/>
            </w:pPr>
            <w:r>
              <w:rPr>
                <w:rFonts w:eastAsiaTheme="minorEastAsia"/>
                <w:color w:val="000000" w:themeColor="text1"/>
                <w:kern w:val="0"/>
              </w:rPr>
              <w:t>018006</w:t>
            </w:r>
          </w:p>
        </w:tc>
        <w:tc>
          <w:tcPr>
            <w:tcW w:w="1282" w:type="dxa"/>
            <w:vAlign w:val="center"/>
          </w:tcPr>
          <w:p w:rsidR="006C6D19" w:rsidRDefault="00FE5881">
            <w:pPr>
              <w:jc w:val="center"/>
            </w:pPr>
            <w:r>
              <w:rPr>
                <w:rFonts w:eastAsiaTheme="minorEastAsia"/>
                <w:color w:val="000000" w:themeColor="text1"/>
                <w:kern w:val="0"/>
              </w:rPr>
              <w:t>国开</w:t>
            </w:r>
            <w:r>
              <w:rPr>
                <w:rFonts w:eastAsiaTheme="minorEastAsia"/>
                <w:color w:val="000000" w:themeColor="text1"/>
                <w:kern w:val="0"/>
              </w:rPr>
              <w:t>1702</w:t>
            </w:r>
          </w:p>
        </w:tc>
        <w:tc>
          <w:tcPr>
            <w:tcW w:w="1426" w:type="dxa"/>
            <w:vAlign w:val="center"/>
          </w:tcPr>
          <w:p w:rsidR="006C6D19" w:rsidRDefault="00FE5881">
            <w:pPr>
              <w:jc w:val="right"/>
            </w:pPr>
            <w:r>
              <w:rPr>
                <w:rFonts w:eastAsiaTheme="minorEastAsia"/>
                <w:color w:val="000000" w:themeColor="text1"/>
                <w:kern w:val="0"/>
              </w:rPr>
              <w:t>200,000</w:t>
            </w:r>
          </w:p>
        </w:tc>
        <w:tc>
          <w:tcPr>
            <w:tcW w:w="1646" w:type="dxa"/>
            <w:vAlign w:val="center"/>
          </w:tcPr>
          <w:p w:rsidR="006C6D19" w:rsidRDefault="00FE5881">
            <w:pPr>
              <w:jc w:val="right"/>
            </w:pPr>
            <w:r>
              <w:rPr>
                <w:rFonts w:eastAsiaTheme="minorEastAsia"/>
                <w:color w:val="000000" w:themeColor="text1"/>
                <w:kern w:val="0"/>
              </w:rPr>
              <w:t>20,162,000.00</w:t>
            </w:r>
          </w:p>
        </w:tc>
        <w:tc>
          <w:tcPr>
            <w:tcW w:w="1612" w:type="dxa"/>
            <w:vAlign w:val="center"/>
          </w:tcPr>
          <w:p w:rsidR="006C6D19" w:rsidRDefault="00FE5881">
            <w:pPr>
              <w:jc w:val="right"/>
            </w:pPr>
            <w:r>
              <w:rPr>
                <w:rFonts w:eastAsiaTheme="minorEastAsia"/>
                <w:color w:val="000000" w:themeColor="text1"/>
                <w:kern w:val="0"/>
              </w:rPr>
              <w:t>2.55</w:t>
            </w:r>
          </w:p>
        </w:tc>
      </w:tr>
      <w:tr w:rsidR="006C6D19">
        <w:tc>
          <w:tcPr>
            <w:tcW w:w="1252" w:type="dxa"/>
            <w:vAlign w:val="center"/>
          </w:tcPr>
          <w:p w:rsidR="006C6D19" w:rsidRDefault="00FE5881">
            <w:pPr>
              <w:jc w:val="center"/>
            </w:pPr>
            <w:r>
              <w:rPr>
                <w:rFonts w:eastAsiaTheme="minorEastAsia"/>
                <w:color w:val="000000" w:themeColor="text1"/>
                <w:kern w:val="0"/>
              </w:rPr>
              <w:t>5</w:t>
            </w:r>
          </w:p>
        </w:tc>
        <w:tc>
          <w:tcPr>
            <w:tcW w:w="1310" w:type="dxa"/>
            <w:vAlign w:val="center"/>
          </w:tcPr>
          <w:p w:rsidR="006C6D19" w:rsidRDefault="00FE5881">
            <w:pPr>
              <w:jc w:val="center"/>
            </w:pPr>
            <w:r>
              <w:rPr>
                <w:rFonts w:eastAsiaTheme="minorEastAsia"/>
                <w:color w:val="000000" w:themeColor="text1"/>
                <w:kern w:val="0"/>
              </w:rPr>
              <w:t>019628</w:t>
            </w:r>
          </w:p>
        </w:tc>
        <w:tc>
          <w:tcPr>
            <w:tcW w:w="1282" w:type="dxa"/>
            <w:vAlign w:val="center"/>
          </w:tcPr>
          <w:p w:rsidR="006C6D19" w:rsidRDefault="00FE5881">
            <w:pPr>
              <w:jc w:val="center"/>
            </w:pPr>
            <w:r>
              <w:rPr>
                <w:rFonts w:eastAsiaTheme="minorEastAsia"/>
                <w:color w:val="000000" w:themeColor="text1"/>
                <w:kern w:val="0"/>
              </w:rPr>
              <w:t>20</w:t>
            </w:r>
            <w:r>
              <w:rPr>
                <w:rFonts w:eastAsiaTheme="minorEastAsia"/>
                <w:color w:val="000000" w:themeColor="text1"/>
                <w:kern w:val="0"/>
              </w:rPr>
              <w:t>国债</w:t>
            </w:r>
            <w:r>
              <w:rPr>
                <w:rFonts w:eastAsiaTheme="minorEastAsia"/>
                <w:color w:val="000000" w:themeColor="text1"/>
                <w:kern w:val="0"/>
              </w:rPr>
              <w:t>02</w:t>
            </w:r>
          </w:p>
        </w:tc>
        <w:tc>
          <w:tcPr>
            <w:tcW w:w="1426" w:type="dxa"/>
            <w:vAlign w:val="center"/>
          </w:tcPr>
          <w:p w:rsidR="006C6D19" w:rsidRDefault="00FE5881">
            <w:pPr>
              <w:jc w:val="right"/>
            </w:pPr>
            <w:r>
              <w:rPr>
                <w:rFonts w:eastAsiaTheme="minorEastAsia"/>
                <w:color w:val="000000" w:themeColor="text1"/>
                <w:kern w:val="0"/>
              </w:rPr>
              <w:t>200,000</w:t>
            </w:r>
          </w:p>
        </w:tc>
        <w:tc>
          <w:tcPr>
            <w:tcW w:w="1646" w:type="dxa"/>
            <w:vAlign w:val="center"/>
          </w:tcPr>
          <w:p w:rsidR="006C6D19" w:rsidRDefault="00FE5881">
            <w:pPr>
              <w:jc w:val="right"/>
            </w:pPr>
            <w:r>
              <w:rPr>
                <w:rFonts w:eastAsiaTheme="minorEastAsia"/>
                <w:color w:val="000000" w:themeColor="text1"/>
                <w:kern w:val="0"/>
              </w:rPr>
              <w:t>19,994,000.00</w:t>
            </w:r>
          </w:p>
        </w:tc>
        <w:tc>
          <w:tcPr>
            <w:tcW w:w="1612" w:type="dxa"/>
            <w:vAlign w:val="center"/>
          </w:tcPr>
          <w:p w:rsidR="006C6D19" w:rsidRDefault="00FE5881">
            <w:pPr>
              <w:jc w:val="right"/>
            </w:pPr>
            <w:r>
              <w:rPr>
                <w:rFonts w:eastAsiaTheme="minorEastAsia"/>
                <w:color w:val="000000" w:themeColor="text1"/>
                <w:kern w:val="0"/>
              </w:rPr>
              <w:t>2.53</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w:t>
      </w:r>
      <w:r w:rsidRPr="00FF6B9A">
        <w:rPr>
          <w:rFonts w:eastAsiaTheme="minorEastAsia"/>
          <w:b/>
          <w:bCs/>
          <w:color w:val="000000" w:themeColor="text1"/>
          <w:kern w:val="0"/>
          <w:sz w:val="24"/>
          <w:szCs w:val="24"/>
        </w:rPr>
        <w:lastRenderedPageBreak/>
        <w:t>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232,409.31</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2,361,013.20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1,590,555.61</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4,183,978.12</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D06738" w:rsidRPr="00FF6B9A">
        <w:tc>
          <w:tcPr>
            <w:tcW w:w="180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序号</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65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6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2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r>
      <w:tr w:rsidR="006C6D19">
        <w:tc>
          <w:tcPr>
            <w:tcW w:w="1808" w:type="dxa"/>
            <w:vAlign w:val="center"/>
          </w:tcPr>
          <w:p w:rsidR="006C6D19" w:rsidRDefault="00FE5881">
            <w:pPr>
              <w:jc w:val="center"/>
            </w:pPr>
            <w:r>
              <w:rPr>
                <w:rFonts w:eastAsiaTheme="minorEastAsia"/>
                <w:color w:val="000000" w:themeColor="text1"/>
                <w:kern w:val="0"/>
              </w:rPr>
              <w:t>1</w:t>
            </w:r>
          </w:p>
        </w:tc>
        <w:tc>
          <w:tcPr>
            <w:tcW w:w="1729" w:type="dxa"/>
            <w:vAlign w:val="center"/>
          </w:tcPr>
          <w:p w:rsidR="006C6D19" w:rsidRDefault="00FE5881">
            <w:pPr>
              <w:jc w:val="center"/>
            </w:pPr>
            <w:r>
              <w:rPr>
                <w:rFonts w:eastAsiaTheme="minorEastAsia"/>
                <w:color w:val="000000" w:themeColor="text1"/>
                <w:kern w:val="0"/>
              </w:rPr>
              <w:t>132004</w:t>
            </w:r>
          </w:p>
        </w:tc>
        <w:tc>
          <w:tcPr>
            <w:tcW w:w="1658" w:type="dxa"/>
            <w:vAlign w:val="center"/>
          </w:tcPr>
          <w:p w:rsidR="006C6D19" w:rsidRDefault="00FE5881">
            <w:pPr>
              <w:jc w:val="center"/>
            </w:pPr>
            <w:r>
              <w:rPr>
                <w:rFonts w:eastAsiaTheme="minorEastAsia"/>
                <w:color w:val="000000" w:themeColor="text1"/>
                <w:kern w:val="0"/>
              </w:rPr>
              <w:t>15</w:t>
            </w:r>
            <w:r>
              <w:rPr>
                <w:rFonts w:eastAsiaTheme="minorEastAsia"/>
                <w:color w:val="000000" w:themeColor="text1"/>
                <w:kern w:val="0"/>
              </w:rPr>
              <w:t>国盛</w:t>
            </w:r>
            <w:r>
              <w:rPr>
                <w:rFonts w:eastAsiaTheme="minorEastAsia"/>
                <w:color w:val="000000" w:themeColor="text1"/>
                <w:kern w:val="0"/>
              </w:rPr>
              <w:t>EB</w:t>
            </w:r>
          </w:p>
        </w:tc>
        <w:tc>
          <w:tcPr>
            <w:tcW w:w="1697" w:type="dxa"/>
            <w:vAlign w:val="center"/>
          </w:tcPr>
          <w:p w:rsidR="006C6D19" w:rsidRDefault="00FE5881">
            <w:pPr>
              <w:jc w:val="right"/>
            </w:pPr>
            <w:r>
              <w:rPr>
                <w:rFonts w:eastAsiaTheme="minorEastAsia"/>
                <w:color w:val="000000" w:themeColor="text1"/>
                <w:kern w:val="0"/>
              </w:rPr>
              <w:t>8,794,100.00</w:t>
            </w:r>
          </w:p>
        </w:tc>
        <w:tc>
          <w:tcPr>
            <w:tcW w:w="1621" w:type="dxa"/>
            <w:vAlign w:val="center"/>
          </w:tcPr>
          <w:p w:rsidR="006C6D19" w:rsidRDefault="00FE5881">
            <w:pPr>
              <w:jc w:val="right"/>
            </w:pPr>
            <w:r>
              <w:rPr>
                <w:rFonts w:eastAsiaTheme="minorEastAsia"/>
                <w:color w:val="000000" w:themeColor="text1"/>
                <w:kern w:val="0"/>
              </w:rPr>
              <w:t>1.11</w:t>
            </w:r>
          </w:p>
        </w:tc>
      </w:tr>
      <w:tr w:rsidR="006C6D19">
        <w:tc>
          <w:tcPr>
            <w:tcW w:w="1808" w:type="dxa"/>
            <w:vAlign w:val="center"/>
          </w:tcPr>
          <w:p w:rsidR="006C6D19" w:rsidRDefault="00FE5881">
            <w:pPr>
              <w:jc w:val="center"/>
            </w:pPr>
            <w:r>
              <w:rPr>
                <w:rFonts w:eastAsiaTheme="minorEastAsia"/>
                <w:color w:val="000000" w:themeColor="text1"/>
                <w:kern w:val="0"/>
              </w:rPr>
              <w:t>2</w:t>
            </w:r>
          </w:p>
        </w:tc>
        <w:tc>
          <w:tcPr>
            <w:tcW w:w="1729" w:type="dxa"/>
            <w:vAlign w:val="center"/>
          </w:tcPr>
          <w:p w:rsidR="006C6D19" w:rsidRDefault="00FE5881">
            <w:pPr>
              <w:jc w:val="center"/>
            </w:pPr>
            <w:r>
              <w:rPr>
                <w:rFonts w:eastAsiaTheme="minorEastAsia"/>
                <w:color w:val="000000" w:themeColor="text1"/>
                <w:kern w:val="0"/>
              </w:rPr>
              <w:t>128136</w:t>
            </w:r>
          </w:p>
        </w:tc>
        <w:tc>
          <w:tcPr>
            <w:tcW w:w="1658" w:type="dxa"/>
            <w:vAlign w:val="center"/>
          </w:tcPr>
          <w:p w:rsidR="006C6D19" w:rsidRDefault="00FE5881">
            <w:pPr>
              <w:jc w:val="center"/>
            </w:pPr>
            <w:r>
              <w:rPr>
                <w:rFonts w:eastAsiaTheme="minorEastAsia"/>
                <w:color w:val="000000" w:themeColor="text1"/>
                <w:kern w:val="0"/>
              </w:rPr>
              <w:t>立讯转债</w:t>
            </w:r>
          </w:p>
        </w:tc>
        <w:tc>
          <w:tcPr>
            <w:tcW w:w="1697" w:type="dxa"/>
            <w:vAlign w:val="center"/>
          </w:tcPr>
          <w:p w:rsidR="006C6D19" w:rsidRDefault="00FE5881">
            <w:pPr>
              <w:jc w:val="right"/>
            </w:pPr>
            <w:r>
              <w:rPr>
                <w:rFonts w:eastAsiaTheme="minorEastAsia"/>
                <w:color w:val="000000" w:themeColor="text1"/>
                <w:kern w:val="0"/>
              </w:rPr>
              <w:t>234,067.08</w:t>
            </w:r>
          </w:p>
        </w:tc>
        <w:tc>
          <w:tcPr>
            <w:tcW w:w="1621" w:type="dxa"/>
            <w:vAlign w:val="center"/>
          </w:tcPr>
          <w:p w:rsidR="006C6D19" w:rsidRDefault="00FE5881">
            <w:pPr>
              <w:jc w:val="right"/>
            </w:pPr>
            <w:r>
              <w:rPr>
                <w:rFonts w:eastAsiaTheme="minorEastAsia"/>
                <w:color w:val="000000" w:themeColor="text1"/>
                <w:kern w:val="0"/>
              </w:rPr>
              <w:t>0.03</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因四舍五入的原因，投资组合报告中分项之和与合计数可能存在尾差。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226,821,435.24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63,796,781.10</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30,847,598.51</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259,770,617.83</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6C6D19" w:rsidRDefault="00FE5881">
      <w:pPr>
        <w:spacing w:line="360" w:lineRule="auto"/>
        <w:ind w:firstLineChars="200" w:firstLine="420"/>
        <w:rPr>
          <w:rFonts w:eastAsiaTheme="minorEastAsia"/>
          <w:color w:val="000000" w:themeColor="text1"/>
        </w:rPr>
      </w:pPr>
      <w:r>
        <w:rPr>
          <w:rFonts w:eastAsiaTheme="minorEastAsia"/>
          <w:color w:val="000000" w:themeColor="text1"/>
        </w:rPr>
        <w:t>1</w:t>
      </w:r>
      <w:r>
        <w:rPr>
          <w:rFonts w:eastAsiaTheme="minorEastAsia"/>
          <w:color w:val="000000" w:themeColor="text1"/>
        </w:rPr>
        <w:t>、中国证监会批准上投摩根双核平衡混合型证券投资基金设立的文件；</w:t>
      </w:r>
    </w:p>
    <w:p w:rsidR="006C6D19" w:rsidRDefault="00FE5881">
      <w:pPr>
        <w:spacing w:line="360" w:lineRule="auto"/>
        <w:ind w:firstLineChars="200" w:firstLine="420"/>
        <w:rPr>
          <w:rFonts w:eastAsiaTheme="minorEastAsia"/>
          <w:color w:val="000000" w:themeColor="text1"/>
        </w:rPr>
      </w:pPr>
      <w:r>
        <w:rPr>
          <w:rFonts w:eastAsiaTheme="minorEastAsia"/>
          <w:color w:val="000000" w:themeColor="text1"/>
        </w:rPr>
        <w:t>2</w:t>
      </w:r>
      <w:r>
        <w:rPr>
          <w:rFonts w:eastAsiaTheme="minorEastAsia"/>
          <w:color w:val="000000" w:themeColor="text1"/>
        </w:rPr>
        <w:t>、《上投摩根双核平衡混合型证券投资基金基金合同》；</w:t>
      </w:r>
    </w:p>
    <w:p w:rsidR="006C6D19" w:rsidRDefault="00FE5881">
      <w:pPr>
        <w:spacing w:line="360" w:lineRule="auto"/>
        <w:ind w:firstLineChars="200" w:firstLine="420"/>
        <w:rPr>
          <w:rFonts w:eastAsiaTheme="minorEastAsia"/>
          <w:color w:val="000000" w:themeColor="text1"/>
        </w:rPr>
      </w:pPr>
      <w:r>
        <w:rPr>
          <w:rFonts w:eastAsiaTheme="minorEastAsia"/>
          <w:color w:val="000000" w:themeColor="text1"/>
        </w:rPr>
        <w:lastRenderedPageBreak/>
        <w:t>3</w:t>
      </w:r>
      <w:r>
        <w:rPr>
          <w:rFonts w:eastAsiaTheme="minorEastAsia"/>
          <w:color w:val="000000" w:themeColor="text1"/>
        </w:rPr>
        <w:t>、《上投摩根双核平衡混合型证券投资基金托管协议》；</w:t>
      </w:r>
    </w:p>
    <w:p w:rsidR="006C6D19" w:rsidRDefault="00FE5881">
      <w:pPr>
        <w:spacing w:line="360" w:lineRule="auto"/>
        <w:ind w:firstLineChars="200" w:firstLine="420"/>
        <w:rPr>
          <w:rFonts w:eastAsiaTheme="minorEastAsia"/>
          <w:color w:val="000000" w:themeColor="text1"/>
        </w:rPr>
      </w:pPr>
      <w:r>
        <w:rPr>
          <w:rFonts w:eastAsiaTheme="minorEastAsia"/>
          <w:color w:val="000000" w:themeColor="text1"/>
        </w:rPr>
        <w:t>4</w:t>
      </w:r>
      <w:r>
        <w:rPr>
          <w:rFonts w:eastAsiaTheme="minorEastAsia"/>
          <w:color w:val="000000" w:themeColor="text1"/>
        </w:rPr>
        <w:t>、《上投摩根开放式基金业务规则》；</w:t>
      </w:r>
    </w:p>
    <w:p w:rsidR="006C6D19" w:rsidRDefault="00FE5881">
      <w:pPr>
        <w:spacing w:line="360" w:lineRule="auto"/>
        <w:ind w:firstLineChars="200" w:firstLine="420"/>
        <w:rPr>
          <w:rFonts w:eastAsiaTheme="minorEastAsia"/>
          <w:color w:val="000000" w:themeColor="text1"/>
        </w:rPr>
      </w:pPr>
      <w:r>
        <w:rPr>
          <w:rFonts w:eastAsiaTheme="minorEastAsia"/>
          <w:color w:val="000000" w:themeColor="text1"/>
        </w:rPr>
        <w:t>5</w:t>
      </w:r>
      <w:r>
        <w:rPr>
          <w:rFonts w:eastAsiaTheme="minorEastAsia"/>
          <w:color w:val="000000" w:themeColor="text1"/>
        </w:rPr>
        <w:t>、基金管理人业务资格批件、营业执照；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6</w:t>
      </w:r>
      <w:r w:rsidRPr="00FF6B9A">
        <w:rPr>
          <w:rFonts w:eastAsiaTheme="minorEastAsia"/>
          <w:color w:val="000000" w:themeColor="text1"/>
        </w:rPr>
        <w:t>、基金托管人业务资格批件和营业执照。</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二〇二一年十月二十七日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FE5881" w:rsidRPr="00FE5881">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FE5881">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上投摩根双核平衡混合型证券投资基金</w:t>
    </w:r>
    <w:r>
      <w:rPr>
        <w:rFonts w:hint="eastAsia"/>
      </w:rPr>
      <w:t>2021</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6D19"/>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E5881"/>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32C4E-28C7-4A77-97BA-C413EFA8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Wenyu.Qiu@FA</cp:lastModifiedBy>
  <cp:revision>268</cp:revision>
  <dcterms:created xsi:type="dcterms:W3CDTF">2012-10-16T06:07:00Z</dcterms:created>
  <dcterms:modified xsi:type="dcterms:W3CDTF">2021-10-26T05:54:00Z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