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CC0311">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上投摩根双核平衡混合型证券投资基金</w:t>
      </w:r>
    </w:p>
    <w:p w:rsidR="001F563C" w:rsidRDefault="00CC0311">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w:t>
      </w:r>
      <w:r>
        <w:rPr>
          <w:rFonts w:asciiTheme="minorEastAsia" w:eastAsiaTheme="minorEastAsia" w:hAnsiTheme="minorEastAsia" w:hint="eastAsia"/>
          <w:b/>
          <w:color w:val="000000" w:themeColor="text1"/>
          <w:sz w:val="36"/>
          <w:szCs w:val="36"/>
        </w:rPr>
        <w:t>年第</w:t>
      </w:r>
      <w:r>
        <w:rPr>
          <w:rFonts w:asciiTheme="minorEastAsia" w:eastAsiaTheme="minorEastAsia" w:hAnsiTheme="minorEastAsia" w:hint="eastAsia"/>
          <w:b/>
          <w:color w:val="000000" w:themeColor="text1"/>
          <w:sz w:val="36"/>
          <w:szCs w:val="36"/>
        </w:rPr>
        <w:t>3</w:t>
      </w:r>
      <w:r>
        <w:rPr>
          <w:rFonts w:asciiTheme="minorEastAsia" w:eastAsiaTheme="minorEastAsia" w:hAnsiTheme="minorEastAsia" w:hint="eastAsia"/>
          <w:b/>
          <w:color w:val="000000" w:themeColor="text1"/>
          <w:sz w:val="36"/>
          <w:szCs w:val="36"/>
        </w:rPr>
        <w:t>季度报告</w:t>
      </w:r>
    </w:p>
    <w:p w:rsidR="001F563C" w:rsidRDefault="00CC0311">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w:t>
      </w:r>
      <w:r>
        <w:rPr>
          <w:rFonts w:asciiTheme="minorEastAsia" w:eastAsiaTheme="minorEastAsia" w:hAnsiTheme="minorEastAsia"/>
          <w:b/>
          <w:color w:val="000000" w:themeColor="text1"/>
          <w:sz w:val="24"/>
          <w:szCs w:val="24"/>
        </w:rPr>
        <w:t>年</w:t>
      </w:r>
      <w:r>
        <w:rPr>
          <w:rFonts w:asciiTheme="minorEastAsia" w:eastAsiaTheme="minorEastAsia" w:hAnsiTheme="minorEastAsia"/>
          <w:b/>
          <w:color w:val="000000" w:themeColor="text1"/>
          <w:sz w:val="24"/>
          <w:szCs w:val="24"/>
        </w:rPr>
        <w:t>9</w:t>
      </w:r>
      <w:r>
        <w:rPr>
          <w:rFonts w:asciiTheme="minorEastAsia" w:eastAsiaTheme="minorEastAsia" w:hAnsiTheme="minorEastAsia"/>
          <w:b/>
          <w:color w:val="000000" w:themeColor="text1"/>
          <w:sz w:val="24"/>
          <w:szCs w:val="24"/>
        </w:rPr>
        <w:t>月</w:t>
      </w:r>
      <w:r>
        <w:rPr>
          <w:rFonts w:asciiTheme="minorEastAsia" w:eastAsiaTheme="minorEastAsia" w:hAnsiTheme="minorEastAsia"/>
          <w:b/>
          <w:color w:val="000000" w:themeColor="text1"/>
          <w:sz w:val="24"/>
          <w:szCs w:val="24"/>
        </w:rPr>
        <w:t>30</w:t>
      </w:r>
      <w:r>
        <w:rPr>
          <w:rFonts w:asciiTheme="minorEastAsia" w:eastAsiaTheme="minorEastAsia" w:hAnsiTheme="minorEastAsia"/>
          <w:b/>
          <w:color w:val="000000" w:themeColor="text1"/>
          <w:sz w:val="24"/>
          <w:szCs w:val="24"/>
        </w:rPr>
        <w:t>日</w:t>
      </w: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Pr="00CC0311" w:rsidRDefault="001F563C">
      <w:pPr>
        <w:spacing w:line="360" w:lineRule="auto"/>
        <w:jc w:val="center"/>
        <w:rPr>
          <w:rFonts w:asciiTheme="minorEastAsia" w:eastAsiaTheme="minorEastAsia" w:hAnsiTheme="minorEastAsia"/>
          <w:b/>
          <w:bCs/>
          <w:color w:val="000000" w:themeColor="text1"/>
          <w:sz w:val="24"/>
          <w:szCs w:val="24"/>
        </w:rPr>
      </w:pPr>
      <w:bookmarkStart w:id="0" w:name="_GoBack"/>
      <w:bookmarkEnd w:id="0"/>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jc w:val="center"/>
        <w:rPr>
          <w:rFonts w:asciiTheme="minorEastAsia" w:eastAsiaTheme="minorEastAsia" w:hAnsiTheme="minorEastAsia"/>
          <w:b/>
          <w:bCs/>
          <w:color w:val="000000" w:themeColor="text1"/>
          <w:sz w:val="24"/>
          <w:szCs w:val="24"/>
        </w:rPr>
      </w:pPr>
    </w:p>
    <w:p w:rsidR="001F563C" w:rsidRDefault="001F563C">
      <w:pPr>
        <w:spacing w:line="360" w:lineRule="auto"/>
        <w:rPr>
          <w:rFonts w:asciiTheme="minorEastAsia" w:eastAsiaTheme="minorEastAsia" w:hAnsiTheme="minorEastAsia"/>
          <w:b/>
          <w:bCs/>
          <w:color w:val="000000" w:themeColor="text1"/>
          <w:sz w:val="24"/>
          <w:szCs w:val="24"/>
        </w:rPr>
      </w:pPr>
    </w:p>
    <w:p w:rsidR="001F563C" w:rsidRDefault="00CC0311">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1F563C" w:rsidRDefault="00CC0311">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中国工商银行股份有限公司</w:t>
      </w:r>
    </w:p>
    <w:p w:rsidR="001F563C" w:rsidRDefault="00CC0311">
      <w:pPr>
        <w:spacing w:line="360" w:lineRule="auto"/>
        <w:ind w:firstLineChars="900" w:firstLine="2168"/>
        <w:rPr>
          <w:rFonts w:asciiTheme="minorEastAsia" w:eastAsiaTheme="minorEastAsia" w:hAnsiTheme="minorEastAsia"/>
          <w:b/>
          <w:color w:val="000000" w:themeColor="text1"/>
          <w:sz w:val="24"/>
          <w:szCs w:val="24"/>
        </w:rPr>
        <w:sectPr w:rsidR="001F563C">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二〇一九年十月二十五日</w:t>
      </w:r>
    </w:p>
    <w:p w:rsidR="001F563C" w:rsidRDefault="00CC0311">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基金托管人中国工商银行股份有限公司根据本基金合同规定，于</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24</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日起至</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日止。</w:t>
      </w:r>
    </w:p>
    <w:p w:rsidR="001F563C" w:rsidRDefault="00CC031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上投摩根双核平衡混合</w:t>
            </w:r>
          </w:p>
        </w:tc>
      </w:tr>
      <w:tr w:rsidR="001F563C">
        <w:tc>
          <w:tcPr>
            <w:tcW w:w="2835" w:type="dxa"/>
            <w:tcBorders>
              <w:top w:val="single" w:sz="4" w:space="0" w:color="auto"/>
              <w:left w:val="single" w:sz="4" w:space="0" w:color="auto"/>
              <w:bottom w:val="single" w:sz="4" w:space="0" w:color="auto"/>
              <w:right w:val="single" w:sz="4" w:space="0" w:color="auto"/>
            </w:tcBorders>
            <w:vAlign w:val="center"/>
          </w:tcPr>
          <w:p w:rsidR="001F563C" w:rsidRDefault="00CC0311">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1F563C" w:rsidRDefault="00CC031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373020</w:t>
            </w:r>
          </w:p>
        </w:tc>
      </w:tr>
      <w:tr w:rsidR="001F563C">
        <w:tc>
          <w:tcPr>
            <w:tcW w:w="2835" w:type="dxa"/>
            <w:tcBorders>
              <w:top w:val="single" w:sz="4" w:space="0" w:color="auto"/>
              <w:left w:val="single" w:sz="4" w:space="0" w:color="auto"/>
              <w:bottom w:val="single" w:sz="4" w:space="0" w:color="auto"/>
              <w:right w:val="single" w:sz="4" w:space="0" w:color="auto"/>
            </w:tcBorders>
            <w:vAlign w:val="center"/>
          </w:tcPr>
          <w:p w:rsidR="001F563C" w:rsidRDefault="00CC0311">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F563C" w:rsidRDefault="00CC031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373020</w:t>
            </w:r>
          </w:p>
        </w:tc>
      </w:tr>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2008</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5</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21</w:t>
            </w:r>
            <w:r>
              <w:rPr>
                <w:rFonts w:asciiTheme="minorEastAsia" w:eastAsiaTheme="minorEastAsia" w:hAnsiTheme="minorEastAsia"/>
                <w:color w:val="000000" w:themeColor="text1"/>
                <w:kern w:val="0"/>
              </w:rPr>
              <w:t>日</w:t>
            </w:r>
          </w:p>
        </w:tc>
      </w:tr>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133,426,418.86</w:t>
            </w:r>
            <w:r>
              <w:rPr>
                <w:rFonts w:asciiTheme="minorEastAsia" w:eastAsiaTheme="minorEastAsia" w:hAnsiTheme="minorEastAsia" w:hint="eastAsia"/>
                <w:color w:val="000000" w:themeColor="text1"/>
                <w:kern w:val="0"/>
              </w:rPr>
              <w:t>份</w:t>
            </w:r>
          </w:p>
        </w:tc>
      </w:tr>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本基金深化价值投资理念，精选具备较高估值优势的上市公司股票与优质债券等，持续优化投资风险与收益的动态匹配，通过积极主动的组合管理，追求基金资产的长期稳定增值。</w:t>
            </w:r>
          </w:p>
        </w:tc>
      </w:tr>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、股票投资策略</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价值投资注重股票内在价值的发现。在内在价值确定以后，通过股票市场价格和内在价值的比较，就可以明确投</w:t>
            </w:r>
            <w:r>
              <w:rPr>
                <w:rFonts w:asciiTheme="minorEastAsia" w:eastAsiaTheme="minorEastAsia" w:hAnsiTheme="minorEastAsia"/>
                <w:color w:val="000000" w:themeColor="text1"/>
                <w:kern w:val="0"/>
              </w:rPr>
              <w:lastRenderedPageBreak/>
              <w:t>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本基金将运用安全边际策略有</w:t>
            </w:r>
            <w:r>
              <w:rPr>
                <w:rFonts w:asciiTheme="minorEastAsia" w:eastAsiaTheme="minorEastAsia" w:hAnsiTheme="minorEastAsia"/>
                <w:color w:val="000000" w:themeColor="text1"/>
                <w:kern w:val="0"/>
              </w:rPr>
              <w:t>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asciiTheme="minorEastAsia" w:eastAsiaTheme="minorEastAsia" w:hAnsiTheme="minorEastAsia"/>
                <w:color w:val="000000" w:themeColor="text1"/>
                <w:kern w:val="0"/>
              </w:rPr>
              <w:t>P/E</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P/CFPS</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P/S</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P/B</w:t>
            </w:r>
            <w:r>
              <w:rPr>
                <w:rFonts w:asciiTheme="minorEastAsia" w:eastAsiaTheme="minorEastAsia" w:hAnsiTheme="minorEastAsia"/>
                <w:color w:val="000000" w:themeColor="text1"/>
                <w:kern w:val="0"/>
              </w:rPr>
              <w:t>等乘数法和</w:t>
            </w:r>
            <w:r>
              <w:rPr>
                <w:rFonts w:asciiTheme="minorEastAsia" w:eastAsiaTheme="minorEastAsia" w:hAnsiTheme="minorEastAsia"/>
                <w:color w:val="000000" w:themeColor="text1"/>
                <w:kern w:val="0"/>
              </w:rPr>
              <w:t>DCF</w:t>
            </w:r>
            <w:r>
              <w:rPr>
                <w:rFonts w:asciiTheme="minorEastAsia" w:eastAsiaTheme="minorEastAsia" w:hAnsiTheme="minorEastAsia"/>
                <w:color w:val="000000" w:themeColor="text1"/>
                <w:kern w:val="0"/>
              </w:rPr>
              <w:t>增长模型建立股票选择池。</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）宏观经济分析</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本基金基于对宏观经济运行状况及政策分析、财政政策与货币政策运行状况分析、行业运行景气状况分析的基础上，重点判断宏观经济周期对市场不同行业的影响，作为</w:t>
            </w:r>
            <w:r>
              <w:rPr>
                <w:rFonts w:asciiTheme="minorEastAsia" w:eastAsiaTheme="minorEastAsia" w:hAnsiTheme="minorEastAsia"/>
                <w:color w:val="000000" w:themeColor="text1"/>
                <w:kern w:val="0"/>
              </w:rPr>
              <w:t>资产配置的依据。同时根据宏观经济对市场影响的分析，初步判断市场的多空方向，决定大类资产配置。</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）行业分析</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）公司质地分析</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企业在行业中的相对竞争力是决定企业成败和投资价值的关键，本基金将根据公司质地对上市公司当前和未来的竞争优势加以评估。公司质地良好的企业通常具</w:t>
            </w:r>
            <w:r>
              <w:rPr>
                <w:rFonts w:asciiTheme="minorEastAsia" w:eastAsiaTheme="minorEastAsia" w:hAnsiTheme="minorEastAsia"/>
                <w:color w:val="000000" w:themeColor="text1"/>
                <w:kern w:val="0"/>
              </w:rPr>
              <w:t>备以下特征：企业在管理、品牌、资源、技术、创新能力中的某一</w:t>
            </w:r>
            <w:r>
              <w:rPr>
                <w:rFonts w:asciiTheme="minorEastAsia" w:eastAsiaTheme="minorEastAsia" w:hAnsiTheme="minorEastAsia"/>
                <w:color w:val="000000" w:themeColor="text1"/>
                <w:kern w:val="0"/>
              </w:rPr>
              <w:lastRenderedPageBreak/>
              <w:t>方面或多个方面具有竞争对手在短时间内难以模仿的显著优势，从而能够获得超越行业平均的盈利水平和增长速度。本基金将通过包括实际调研在内的多种分析手段，对上市公司质地进行判断。</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4</w:t>
            </w:r>
            <w:r>
              <w:rPr>
                <w:rFonts w:asciiTheme="minorEastAsia" w:eastAsiaTheme="minorEastAsia" w:hAnsiTheme="minorEastAsia"/>
                <w:color w:val="000000" w:themeColor="text1"/>
                <w:kern w:val="0"/>
              </w:rPr>
              <w:t>）股票估值水平分析</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asciiTheme="minorEastAsia" w:eastAsiaTheme="minorEastAsia" w:hAnsiTheme="minorEastAsia"/>
                <w:color w:val="000000" w:themeColor="text1"/>
                <w:kern w:val="0"/>
              </w:rPr>
              <w:t>DCF</w:t>
            </w:r>
            <w:r>
              <w:rPr>
                <w:rFonts w:asciiTheme="minorEastAsia" w:eastAsiaTheme="minorEastAsia" w:hAnsiTheme="minorEastAsia"/>
                <w:color w:val="000000" w:themeColor="text1"/>
                <w:kern w:val="0"/>
              </w:rPr>
              <w:t>）计算出股票的内在价值，然后在第二阶段采用乘数估值法（</w:t>
            </w:r>
            <w:r>
              <w:rPr>
                <w:rFonts w:asciiTheme="minorEastAsia" w:eastAsiaTheme="minorEastAsia" w:hAnsiTheme="minorEastAsia"/>
                <w:color w:val="000000" w:themeColor="text1"/>
                <w:kern w:val="0"/>
              </w:rPr>
              <w:t>Multiple</w:t>
            </w:r>
            <w:r>
              <w:rPr>
                <w:rFonts w:asciiTheme="minorEastAsia" w:eastAsiaTheme="minorEastAsia" w:hAnsiTheme="minorEastAsia"/>
                <w:color w:val="000000" w:themeColor="text1"/>
                <w:kern w:val="0"/>
              </w:rPr>
              <w:t>），通过对对同行业公司的情况对样本公司价值进行比较修正，使得对于股票价值的评估更加准确可靠。</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、固定收益类投资策略</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本基金的债券投资策略是建立在对债券核心内在价值的认识上。我们将采用更为有效的</w:t>
            </w:r>
            <w:r>
              <w:rPr>
                <w:rFonts w:asciiTheme="minorEastAsia" w:eastAsiaTheme="minorEastAsia" w:hAnsiTheme="minorEastAsia"/>
                <w:color w:val="000000" w:themeColor="text1"/>
                <w:kern w:val="0"/>
              </w:rPr>
              <w:t>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1</w:t>
            </w:r>
            <w:r>
              <w:rPr>
                <w:rFonts w:asciiTheme="minorEastAsia" w:eastAsiaTheme="minorEastAsia" w:hAnsiTheme="minorEastAsia"/>
                <w:color w:val="000000" w:themeColor="text1"/>
                <w:kern w:val="0"/>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2</w:t>
            </w:r>
            <w:r>
              <w:rPr>
                <w:rFonts w:asciiTheme="minorEastAsia" w:eastAsiaTheme="minorEastAsia" w:hAnsiTheme="minorEastAsia"/>
                <w:color w:val="000000" w:themeColor="text1"/>
                <w:kern w:val="0"/>
              </w:rPr>
              <w:t>）骑乘收</w:t>
            </w:r>
            <w:r>
              <w:rPr>
                <w:rFonts w:asciiTheme="minorEastAsia" w:eastAsiaTheme="minorEastAsia" w:hAnsiTheme="minorEastAsia"/>
                <w:color w:val="000000" w:themeColor="text1"/>
                <w:kern w:val="0"/>
              </w:rPr>
              <w:t>益率曲线策略：骑乘收益率曲线策略是短期货币市场证券管理中流行的一种策略。具体操作时买入收</w:t>
            </w:r>
            <w:r>
              <w:rPr>
                <w:rFonts w:asciiTheme="minorEastAsia" w:eastAsiaTheme="minorEastAsia" w:hAnsiTheme="minorEastAsia"/>
                <w:color w:val="000000" w:themeColor="text1"/>
                <w:kern w:val="0"/>
              </w:rPr>
              <w:lastRenderedPageBreak/>
              <w:t>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w:t>
            </w:r>
            <w:r>
              <w:rPr>
                <w:rFonts w:asciiTheme="minorEastAsia" w:eastAsiaTheme="minorEastAsia" w:hAnsiTheme="minorEastAsia"/>
                <w:color w:val="000000" w:themeColor="text1"/>
                <w:kern w:val="0"/>
              </w:rPr>
              <w:t>债、银行间国债、银行间金融债等子市场。结合各类属资产的市场容量、信用等级和流动性特点，在此基础上运用修正的均值</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方差等模型，定期对投资组合类属资产进行最优化配置和调整，确定类属资产的最优权重。</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3</w:t>
            </w:r>
            <w:r>
              <w:rPr>
                <w:rFonts w:asciiTheme="minorEastAsia" w:eastAsiaTheme="minorEastAsia" w:hAnsiTheme="minorEastAsia"/>
                <w:color w:val="000000" w:themeColor="text1"/>
                <w:kern w:val="0"/>
              </w:rPr>
              <w:t>、权证投资策略</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asciiTheme="minorEastAsia" w:eastAsiaTheme="minorEastAsia" w:hAnsiTheme="minorEastAsia"/>
                <w:color w:val="000000" w:themeColor="text1"/>
                <w:kern w:val="0"/>
              </w:rPr>
              <w:t xml:space="preserve">Black-Scholes Pricing </w:t>
            </w:r>
            <w:r>
              <w:rPr>
                <w:rFonts w:asciiTheme="minorEastAsia" w:eastAsiaTheme="minorEastAsia" w:hAnsiTheme="minorEastAsia"/>
                <w:color w:val="000000" w:themeColor="text1"/>
                <w:kern w:val="0"/>
              </w:rPr>
              <w:t>Model(BSPM)</w:t>
            </w:r>
            <w:r>
              <w:rPr>
                <w:rFonts w:asciiTheme="minorEastAsia" w:eastAsiaTheme="minorEastAsia" w:hAnsiTheme="minorEastAsia"/>
                <w:color w:val="000000" w:themeColor="text1"/>
                <w:kern w:val="0"/>
              </w:rPr>
              <w:t>对权证进行估价。对于股票基本面和投资价值的判断一贯是本公司投资的重要依据。在投资权证前，基金管理人员和研究员应对标的股票的基本面和内在价值作出分析判断。</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4</w:t>
            </w:r>
            <w:r>
              <w:rPr>
                <w:rFonts w:asciiTheme="minorEastAsia" w:eastAsiaTheme="minorEastAsia" w:hAnsiTheme="minorEastAsia"/>
                <w:color w:val="000000" w:themeColor="text1"/>
                <w:kern w:val="0"/>
              </w:rPr>
              <w:t>、资产支持证券投资策略</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lastRenderedPageBreak/>
              <w:t>5</w:t>
            </w:r>
            <w:r>
              <w:rPr>
                <w:rFonts w:asciiTheme="minorEastAsia" w:eastAsiaTheme="minorEastAsia" w:hAnsiTheme="minorEastAsia"/>
                <w:color w:val="000000" w:themeColor="text1"/>
                <w:kern w:val="0"/>
              </w:rPr>
              <w:t>、资产配置策略</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资产配置是本基金资产管理的重要环节。本基金是一只注重价值投资的平</w:t>
            </w:r>
            <w:r>
              <w:rPr>
                <w:rFonts w:asciiTheme="minorEastAsia" w:eastAsiaTheme="minorEastAsia" w:hAnsiTheme="minorEastAsia"/>
                <w:color w:val="000000" w:themeColor="text1"/>
                <w:kern w:val="0"/>
              </w:rPr>
              <w:t>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w:t>
            </w:r>
            <w:r>
              <w:rPr>
                <w:rFonts w:asciiTheme="minorEastAsia" w:eastAsiaTheme="minorEastAsia" w:hAnsiTheme="minorEastAsia"/>
                <w:color w:val="000000" w:themeColor="text1"/>
                <w:kern w:val="0"/>
              </w:rPr>
              <w:t>股票市场安全边际降低，且综合考虑收益风险后投资吸引力低于固定收益资产时，本基金将降低权益类资产的配置比例；相反，在股票市场安全边际增厚时，本基金将相应增加权益类资产的配置比例。</w:t>
            </w:r>
          </w:p>
        </w:tc>
      </w:tr>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w:t>
            </w:r>
            <w:r>
              <w:rPr>
                <w:rFonts w:asciiTheme="minorEastAsia" w:eastAsiaTheme="minorEastAsia" w:hAnsiTheme="minorEastAsia"/>
                <w:color w:val="000000" w:themeColor="text1"/>
                <w:kern w:val="0"/>
              </w:rPr>
              <w:t>300</w:t>
            </w:r>
            <w:r>
              <w:rPr>
                <w:rFonts w:asciiTheme="minorEastAsia" w:eastAsiaTheme="minorEastAsia" w:hAnsiTheme="minorEastAsia"/>
                <w:color w:val="000000" w:themeColor="text1"/>
                <w:kern w:val="0"/>
              </w:rPr>
              <w:t>指数收益率</w:t>
            </w:r>
            <w:r>
              <w:rPr>
                <w:rFonts w:asciiTheme="minorEastAsia" w:eastAsiaTheme="minorEastAsia" w:hAnsiTheme="minorEastAsia"/>
                <w:color w:val="000000" w:themeColor="text1"/>
                <w:kern w:val="0"/>
              </w:rPr>
              <w:t>×50%</w:t>
            </w:r>
            <w:r>
              <w:rPr>
                <w:rFonts w:asciiTheme="minorEastAsia" w:eastAsiaTheme="minorEastAsia" w:hAnsiTheme="minorEastAsia"/>
                <w:color w:val="000000" w:themeColor="text1"/>
                <w:kern w:val="0"/>
              </w:rPr>
              <w:t>＋上证国债指数收益率</w:t>
            </w:r>
            <w:r>
              <w:rPr>
                <w:rFonts w:asciiTheme="minorEastAsia" w:eastAsiaTheme="minorEastAsia" w:hAnsiTheme="minorEastAsia"/>
                <w:color w:val="000000" w:themeColor="text1"/>
                <w:kern w:val="0"/>
              </w:rPr>
              <w:t>×50</w:t>
            </w:r>
            <w:r>
              <w:rPr>
                <w:rFonts w:asciiTheme="minorEastAsia" w:eastAsiaTheme="minorEastAsia" w:hAnsiTheme="minorEastAsia"/>
                <w:color w:val="000000" w:themeColor="text1"/>
                <w:kern w:val="0"/>
              </w:rPr>
              <w:t>％</w:t>
            </w:r>
          </w:p>
        </w:tc>
      </w:tr>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本基金是混合型基金，在证券投资基金中属于中高风险品种，其预期风险收益水平低于股票型基金，高于债券基金与货币市场基金。本基金风险收益特征会定期评估并在公司网站发布，请投资者关注。</w:t>
            </w:r>
          </w:p>
        </w:tc>
      </w:tr>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1F563C">
        <w:tc>
          <w:tcPr>
            <w:tcW w:w="2835"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中国工商银行股份有限公司</w:t>
            </w:r>
          </w:p>
        </w:tc>
      </w:tr>
    </w:tbl>
    <w:p w:rsidR="001F563C" w:rsidRDefault="00CC031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CC0311" w:rsidTr="00CC0311">
        <w:tc>
          <w:tcPr>
            <w:tcW w:w="3402" w:type="dxa"/>
            <w:vAlign w:val="center"/>
          </w:tcPr>
          <w:p w:rsidR="001F563C" w:rsidRDefault="00CC0311">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lastRenderedPageBreak/>
              <w:t>主要财务指标</w:t>
            </w:r>
          </w:p>
        </w:tc>
        <w:tc>
          <w:tcPr>
            <w:tcW w:w="4962" w:type="dxa"/>
            <w:vAlign w:val="center"/>
          </w:tcPr>
          <w:p w:rsidR="001F563C" w:rsidRDefault="00CC0311">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1F563C" w:rsidRDefault="00CC0311">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7</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1</w:t>
            </w:r>
            <w:r>
              <w:rPr>
                <w:rFonts w:asciiTheme="minorEastAsia" w:eastAsiaTheme="minorEastAsia" w:hAnsiTheme="minorEastAsia" w:cs="宋体"/>
                <w:color w:val="000000" w:themeColor="text1"/>
              </w:rPr>
              <w:t>日</w:t>
            </w:r>
            <w:r>
              <w:rPr>
                <w:rFonts w:asciiTheme="minorEastAsia" w:eastAsiaTheme="minorEastAsia" w:hAnsiTheme="minorEastAsia" w:cs="宋体"/>
                <w:color w:val="000000" w:themeColor="text1"/>
              </w:rPr>
              <w:t>-2019</w:t>
            </w:r>
            <w:r>
              <w:rPr>
                <w:rFonts w:asciiTheme="minorEastAsia" w:eastAsiaTheme="minorEastAsia" w:hAnsiTheme="minorEastAsia" w:cs="宋体"/>
                <w:color w:val="000000" w:themeColor="text1"/>
              </w:rPr>
              <w:t>年</w:t>
            </w:r>
            <w:r>
              <w:rPr>
                <w:rFonts w:asciiTheme="minorEastAsia" w:eastAsiaTheme="minorEastAsia" w:hAnsiTheme="minorEastAsia" w:cs="宋体"/>
                <w:color w:val="000000" w:themeColor="text1"/>
              </w:rPr>
              <w:t>9</w:t>
            </w:r>
            <w:r>
              <w:rPr>
                <w:rFonts w:asciiTheme="minorEastAsia" w:eastAsiaTheme="minorEastAsia" w:hAnsiTheme="minorEastAsia" w:cs="宋体"/>
                <w:color w:val="000000" w:themeColor="text1"/>
              </w:rPr>
              <w:t>月</w:t>
            </w:r>
            <w:r>
              <w:rPr>
                <w:rFonts w:asciiTheme="minorEastAsia" w:eastAsiaTheme="minorEastAsia" w:hAnsiTheme="minorEastAsia" w:cs="宋体"/>
                <w:color w:val="000000" w:themeColor="text1"/>
              </w:rPr>
              <w:t>30</w:t>
            </w:r>
            <w:r>
              <w:rPr>
                <w:rFonts w:asciiTheme="minorEastAsia" w:eastAsiaTheme="minorEastAsia" w:hAnsiTheme="minorEastAsia" w:cs="宋体"/>
                <w:color w:val="000000" w:themeColor="text1"/>
              </w:rPr>
              <w:t>日</w:t>
            </w:r>
            <w:r>
              <w:rPr>
                <w:rFonts w:asciiTheme="minorEastAsia" w:eastAsiaTheme="minorEastAsia" w:hAnsiTheme="minorEastAsia" w:cs="宋体" w:hint="eastAsia"/>
                <w:color w:val="000000" w:themeColor="text1"/>
              </w:rPr>
              <w:t>)</w:t>
            </w:r>
          </w:p>
        </w:tc>
      </w:tr>
      <w:tr w:rsidR="00CC0311" w:rsidTr="00CC0311">
        <w:tc>
          <w:tcPr>
            <w:tcW w:w="3402"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1F563C" w:rsidRDefault="00CC031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22,014,270.82</w:t>
            </w:r>
          </w:p>
        </w:tc>
      </w:tr>
      <w:tr w:rsidR="00CC0311" w:rsidTr="00CC0311">
        <w:tc>
          <w:tcPr>
            <w:tcW w:w="3402"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1F563C" w:rsidRDefault="00CC031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35,508,010.34</w:t>
            </w:r>
          </w:p>
        </w:tc>
      </w:tr>
      <w:tr w:rsidR="00CC0311" w:rsidTr="00CC0311">
        <w:tc>
          <w:tcPr>
            <w:tcW w:w="3402"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1F563C" w:rsidRDefault="00CC031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0.2659</w:t>
            </w:r>
          </w:p>
        </w:tc>
      </w:tr>
      <w:tr w:rsidR="00CC0311" w:rsidTr="00CC0311">
        <w:tc>
          <w:tcPr>
            <w:tcW w:w="3402"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1F563C" w:rsidRDefault="00CC031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251,564,869.52</w:t>
            </w:r>
          </w:p>
        </w:tc>
      </w:tr>
      <w:tr w:rsidR="00CC0311" w:rsidTr="00CC0311">
        <w:trPr>
          <w:trHeight w:val="158"/>
        </w:trPr>
        <w:tc>
          <w:tcPr>
            <w:tcW w:w="3402" w:type="dxa"/>
            <w:vAlign w:val="center"/>
          </w:tcPr>
          <w:p w:rsidR="001F563C" w:rsidRDefault="00CC0311">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1F563C" w:rsidRDefault="00CC0311">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1.8854</w:t>
            </w:r>
          </w:p>
        </w:tc>
      </w:tr>
    </w:tbl>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1F563C" w:rsidRDefault="00CC0311">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1F563C">
        <w:tc>
          <w:tcPr>
            <w:tcW w:w="1395"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1F563C">
        <w:tc>
          <w:tcPr>
            <w:tcW w:w="1395" w:type="dxa"/>
            <w:vAlign w:val="center"/>
          </w:tcPr>
          <w:p w:rsidR="001F563C" w:rsidRDefault="00CC0311">
            <w:pPr>
              <w:jc w:val="left"/>
            </w:pPr>
            <w:r>
              <w:rPr>
                <w:rFonts w:asciiTheme="minorEastAsia" w:eastAsiaTheme="minorEastAsia" w:hAnsiTheme="minorEastAsia"/>
                <w:color w:val="000000" w:themeColor="text1"/>
                <w:kern w:val="0"/>
              </w:rPr>
              <w:t>过去三个月</w:t>
            </w:r>
          </w:p>
        </w:tc>
        <w:tc>
          <w:tcPr>
            <w:tcW w:w="1092" w:type="dxa"/>
            <w:vAlign w:val="center"/>
          </w:tcPr>
          <w:p w:rsidR="001F563C" w:rsidRDefault="00CC0311">
            <w:pPr>
              <w:jc w:val="center"/>
            </w:pPr>
            <w:r>
              <w:rPr>
                <w:rFonts w:asciiTheme="minorEastAsia" w:eastAsiaTheme="minorEastAsia" w:hAnsiTheme="minorEastAsia"/>
                <w:color w:val="000000" w:themeColor="text1"/>
                <w:kern w:val="0"/>
              </w:rPr>
              <w:t>16.47%</w:t>
            </w:r>
          </w:p>
        </w:tc>
        <w:tc>
          <w:tcPr>
            <w:tcW w:w="1161" w:type="dxa"/>
            <w:vAlign w:val="center"/>
          </w:tcPr>
          <w:p w:rsidR="001F563C" w:rsidRDefault="00CC0311">
            <w:pPr>
              <w:jc w:val="center"/>
            </w:pPr>
            <w:r>
              <w:rPr>
                <w:rFonts w:asciiTheme="minorEastAsia" w:eastAsiaTheme="minorEastAsia" w:hAnsiTheme="minorEastAsia"/>
                <w:color w:val="000000" w:themeColor="text1"/>
                <w:kern w:val="0"/>
              </w:rPr>
              <w:t>1.09%</w:t>
            </w:r>
          </w:p>
        </w:tc>
        <w:tc>
          <w:tcPr>
            <w:tcW w:w="1181" w:type="dxa"/>
            <w:vAlign w:val="center"/>
          </w:tcPr>
          <w:p w:rsidR="001F563C" w:rsidRDefault="00CC0311">
            <w:pPr>
              <w:jc w:val="center"/>
            </w:pPr>
            <w:r>
              <w:rPr>
                <w:rFonts w:asciiTheme="minorEastAsia" w:eastAsiaTheme="minorEastAsia" w:hAnsiTheme="minorEastAsia"/>
                <w:color w:val="000000" w:themeColor="text1"/>
                <w:kern w:val="0"/>
              </w:rPr>
              <w:t>0.50%</w:t>
            </w:r>
          </w:p>
        </w:tc>
        <w:tc>
          <w:tcPr>
            <w:tcW w:w="1188" w:type="dxa"/>
            <w:vAlign w:val="center"/>
          </w:tcPr>
          <w:p w:rsidR="001F563C" w:rsidRDefault="00CC0311">
            <w:pPr>
              <w:jc w:val="center"/>
            </w:pPr>
            <w:r>
              <w:rPr>
                <w:rFonts w:asciiTheme="minorEastAsia" w:eastAsiaTheme="minorEastAsia" w:hAnsiTheme="minorEastAsia"/>
                <w:color w:val="000000" w:themeColor="text1"/>
                <w:kern w:val="0"/>
              </w:rPr>
              <w:t>0.48%</w:t>
            </w:r>
          </w:p>
        </w:tc>
        <w:tc>
          <w:tcPr>
            <w:tcW w:w="1199" w:type="dxa"/>
            <w:vAlign w:val="center"/>
          </w:tcPr>
          <w:p w:rsidR="001F563C" w:rsidRDefault="00CC0311">
            <w:pPr>
              <w:jc w:val="center"/>
            </w:pPr>
            <w:r>
              <w:rPr>
                <w:rFonts w:asciiTheme="minorEastAsia" w:eastAsiaTheme="minorEastAsia" w:hAnsiTheme="minorEastAsia"/>
                <w:color w:val="000000" w:themeColor="text1"/>
                <w:kern w:val="0"/>
              </w:rPr>
              <w:t>15.97%</w:t>
            </w:r>
          </w:p>
        </w:tc>
        <w:tc>
          <w:tcPr>
            <w:tcW w:w="1204" w:type="dxa"/>
            <w:vAlign w:val="center"/>
          </w:tcPr>
          <w:p w:rsidR="001F563C" w:rsidRDefault="00CC0311">
            <w:pPr>
              <w:jc w:val="center"/>
            </w:pPr>
            <w:r>
              <w:rPr>
                <w:rFonts w:asciiTheme="minorEastAsia" w:eastAsiaTheme="minorEastAsia" w:hAnsiTheme="minorEastAsia"/>
                <w:color w:val="000000" w:themeColor="text1"/>
                <w:kern w:val="0"/>
              </w:rPr>
              <w:t>0.61%</w:t>
            </w:r>
          </w:p>
        </w:tc>
      </w:tr>
    </w:tbl>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1F563C" w:rsidRDefault="00CC0311">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上投摩根双核平衡混合型证券投资基金</w:t>
      </w:r>
    </w:p>
    <w:p w:rsidR="001F563C" w:rsidRDefault="00CC0311">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1F563C" w:rsidRDefault="00CC0311">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w:t>
      </w:r>
      <w:r>
        <w:rPr>
          <w:rFonts w:asciiTheme="minorEastAsia" w:eastAsiaTheme="minorEastAsia" w:hAnsiTheme="minorEastAsia" w:hint="eastAsia"/>
          <w:color w:val="000000" w:themeColor="text1"/>
        </w:rPr>
        <w:t>至</w:t>
      </w:r>
      <w:r>
        <w:rPr>
          <w:rFonts w:asciiTheme="minorEastAsia" w:eastAsiaTheme="minorEastAsia" w:hAnsiTheme="minorEastAsia" w:hint="eastAsia"/>
          <w:color w:val="000000" w:themeColor="text1"/>
        </w:rPr>
        <w:t>2019</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30</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w:t>
      </w:r>
    </w:p>
    <w:p w:rsidR="001F563C" w:rsidRDefault="00CC0311">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lastRenderedPageBreak/>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w:t>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日。建仓期结束时资产配置比例符合本基金基金合同规定。</w:t>
      </w:r>
    </w:p>
    <w:p w:rsidR="001F563C" w:rsidRDefault="001F563C">
      <w:pPr>
        <w:tabs>
          <w:tab w:val="left" w:pos="1800"/>
        </w:tabs>
        <w:spacing w:line="360" w:lineRule="auto"/>
        <w:rPr>
          <w:rFonts w:asciiTheme="minorEastAsia" w:eastAsiaTheme="minorEastAsia" w:hAnsiTheme="minorEastAsia"/>
          <w:color w:val="000000" w:themeColor="text1"/>
          <w:sz w:val="24"/>
          <w:szCs w:val="24"/>
        </w:rPr>
      </w:pPr>
    </w:p>
    <w:p w:rsidR="001F563C" w:rsidRDefault="00CC031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或基金经理小组</w:t>
      </w:r>
      <w:r>
        <w:rPr>
          <w:rFonts w:asciiTheme="minorEastAsia" w:eastAsiaTheme="minorEastAsia" w:hAnsiTheme="minorEastAsia" w:hint="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1F563C">
        <w:trPr>
          <w:cantSplit/>
          <w:trHeight w:val="292"/>
        </w:trPr>
        <w:tc>
          <w:tcPr>
            <w:tcW w:w="851" w:type="dxa"/>
            <w:vMerge w:val="restart"/>
            <w:vAlign w:val="center"/>
          </w:tcPr>
          <w:p w:rsidR="001F563C" w:rsidRDefault="00CC0311">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1F563C" w:rsidRDefault="00CC0311">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1F563C" w:rsidRDefault="00CC0311">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1F563C">
        <w:trPr>
          <w:cantSplit/>
        </w:trPr>
        <w:tc>
          <w:tcPr>
            <w:tcW w:w="851" w:type="dxa"/>
            <w:vMerge/>
            <w:vAlign w:val="center"/>
          </w:tcPr>
          <w:p w:rsidR="001F563C" w:rsidRDefault="001F563C">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1F563C" w:rsidRDefault="001F563C">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1F563C" w:rsidRDefault="001F563C">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1F563C" w:rsidRDefault="001F563C">
            <w:pPr>
              <w:widowControl/>
              <w:spacing w:line="360" w:lineRule="auto"/>
              <w:jc w:val="left"/>
              <w:rPr>
                <w:rFonts w:asciiTheme="minorEastAsia" w:eastAsiaTheme="minorEastAsia" w:hAnsiTheme="minorEastAsia"/>
                <w:color w:val="000000" w:themeColor="text1"/>
                <w:kern w:val="0"/>
              </w:rPr>
            </w:pPr>
          </w:p>
        </w:tc>
      </w:tr>
      <w:tr w:rsidR="001F563C">
        <w:tc>
          <w:tcPr>
            <w:tcW w:w="851" w:type="dxa"/>
            <w:vAlign w:val="center"/>
          </w:tcPr>
          <w:p w:rsidR="001F563C" w:rsidRDefault="00CC0311">
            <w:pPr>
              <w:jc w:val="center"/>
            </w:pPr>
            <w:r>
              <w:rPr>
                <w:rFonts w:asciiTheme="minorEastAsia" w:eastAsiaTheme="minorEastAsia" w:hAnsiTheme="minorEastAsia"/>
                <w:color w:val="000000" w:themeColor="text1"/>
              </w:rPr>
              <w:t>陈思郁</w:t>
            </w:r>
          </w:p>
        </w:tc>
        <w:tc>
          <w:tcPr>
            <w:tcW w:w="850" w:type="dxa"/>
            <w:vAlign w:val="center"/>
          </w:tcPr>
          <w:p w:rsidR="001F563C" w:rsidRDefault="00CC0311">
            <w:pPr>
              <w:jc w:val="center"/>
            </w:pPr>
            <w:r>
              <w:rPr>
                <w:rFonts w:asciiTheme="minorEastAsia" w:eastAsiaTheme="minorEastAsia" w:hAnsiTheme="minorEastAsia"/>
                <w:color w:val="000000" w:themeColor="text1"/>
              </w:rPr>
              <w:t>本基金基金经理</w:t>
            </w:r>
          </w:p>
        </w:tc>
        <w:tc>
          <w:tcPr>
            <w:tcW w:w="1560" w:type="dxa"/>
            <w:vAlign w:val="center"/>
          </w:tcPr>
          <w:p w:rsidR="001F563C" w:rsidRDefault="00CC0311">
            <w:pPr>
              <w:jc w:val="center"/>
            </w:pPr>
            <w:r>
              <w:rPr>
                <w:rFonts w:asciiTheme="minorEastAsia" w:eastAsiaTheme="minorEastAsia" w:hAnsiTheme="minorEastAsia"/>
                <w:color w:val="000000" w:themeColor="text1"/>
              </w:rPr>
              <w:t>2015-08-04</w:t>
            </w:r>
          </w:p>
        </w:tc>
        <w:tc>
          <w:tcPr>
            <w:tcW w:w="1559" w:type="dxa"/>
            <w:vAlign w:val="center"/>
          </w:tcPr>
          <w:p w:rsidR="001F563C" w:rsidRDefault="00CC0311">
            <w:pPr>
              <w:jc w:val="center"/>
            </w:pPr>
            <w:r>
              <w:rPr>
                <w:rFonts w:asciiTheme="minorEastAsia" w:eastAsiaTheme="minorEastAsia" w:hAnsiTheme="minorEastAsia"/>
                <w:color w:val="000000" w:themeColor="text1"/>
              </w:rPr>
              <w:t>-</w:t>
            </w:r>
          </w:p>
        </w:tc>
        <w:tc>
          <w:tcPr>
            <w:tcW w:w="1417" w:type="dxa"/>
            <w:vAlign w:val="center"/>
          </w:tcPr>
          <w:p w:rsidR="001F563C" w:rsidRDefault="00CC0311">
            <w:pPr>
              <w:jc w:val="center"/>
            </w:pP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年</w:t>
            </w:r>
          </w:p>
        </w:tc>
        <w:tc>
          <w:tcPr>
            <w:tcW w:w="2694" w:type="dxa"/>
            <w:vAlign w:val="center"/>
          </w:tcPr>
          <w:p w:rsidR="001F563C" w:rsidRDefault="00CC0311">
            <w:r>
              <w:rPr>
                <w:rFonts w:asciiTheme="minorEastAsia" w:eastAsiaTheme="minorEastAsia" w:hAnsiTheme="minorEastAsia"/>
                <w:color w:val="000000" w:themeColor="text1"/>
              </w:rPr>
              <w:t>陈思郁女士自</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月在国泰君安研究所担任研究员，自</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月起加入上投摩根基金管理有限公司，历任行业专家、基金经理助理，现任国内权益投资部基金经理，自</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月起担任上投摩根双核平衡混合型证券投资基金基金经理，自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月起同时担任上投摩根安全战略股票型证券投资基金基金经理。</w:t>
            </w:r>
          </w:p>
        </w:tc>
      </w:tr>
      <w:tr w:rsidR="001F563C">
        <w:tc>
          <w:tcPr>
            <w:tcW w:w="851" w:type="dxa"/>
            <w:vAlign w:val="center"/>
          </w:tcPr>
          <w:p w:rsidR="001F563C" w:rsidRDefault="00CC0311">
            <w:pPr>
              <w:jc w:val="center"/>
            </w:pPr>
            <w:r>
              <w:rPr>
                <w:rFonts w:asciiTheme="minorEastAsia" w:eastAsiaTheme="minorEastAsia" w:hAnsiTheme="minorEastAsia"/>
                <w:color w:val="000000" w:themeColor="text1"/>
              </w:rPr>
              <w:t>李德辉</w:t>
            </w:r>
          </w:p>
        </w:tc>
        <w:tc>
          <w:tcPr>
            <w:tcW w:w="850" w:type="dxa"/>
            <w:vAlign w:val="center"/>
          </w:tcPr>
          <w:p w:rsidR="001F563C" w:rsidRDefault="00CC0311">
            <w:pPr>
              <w:jc w:val="center"/>
            </w:pPr>
            <w:r>
              <w:rPr>
                <w:rFonts w:asciiTheme="minorEastAsia" w:eastAsiaTheme="minorEastAsia" w:hAnsiTheme="minorEastAsia"/>
                <w:color w:val="000000" w:themeColor="text1"/>
              </w:rPr>
              <w:t>本基金</w:t>
            </w:r>
            <w:r>
              <w:rPr>
                <w:rFonts w:asciiTheme="minorEastAsia" w:eastAsiaTheme="minorEastAsia" w:hAnsiTheme="minorEastAsia"/>
                <w:color w:val="000000" w:themeColor="text1"/>
              </w:rPr>
              <w:lastRenderedPageBreak/>
              <w:t>基金经理</w:t>
            </w:r>
          </w:p>
        </w:tc>
        <w:tc>
          <w:tcPr>
            <w:tcW w:w="1560" w:type="dxa"/>
            <w:vAlign w:val="center"/>
          </w:tcPr>
          <w:p w:rsidR="001F563C" w:rsidRDefault="00CC0311">
            <w:pPr>
              <w:jc w:val="center"/>
            </w:pPr>
            <w:r>
              <w:rPr>
                <w:rFonts w:asciiTheme="minorEastAsia" w:eastAsiaTheme="minorEastAsia" w:hAnsiTheme="minorEastAsia"/>
                <w:color w:val="000000" w:themeColor="text1"/>
              </w:rPr>
              <w:lastRenderedPageBreak/>
              <w:t>2018-03-30</w:t>
            </w:r>
          </w:p>
        </w:tc>
        <w:tc>
          <w:tcPr>
            <w:tcW w:w="1559" w:type="dxa"/>
            <w:vAlign w:val="center"/>
          </w:tcPr>
          <w:p w:rsidR="001F563C" w:rsidRDefault="00CC0311">
            <w:pPr>
              <w:jc w:val="center"/>
            </w:pPr>
            <w:r>
              <w:rPr>
                <w:rFonts w:asciiTheme="minorEastAsia" w:eastAsiaTheme="minorEastAsia" w:hAnsiTheme="minorEastAsia"/>
                <w:color w:val="000000" w:themeColor="text1"/>
              </w:rPr>
              <w:t>-</w:t>
            </w:r>
          </w:p>
        </w:tc>
        <w:tc>
          <w:tcPr>
            <w:tcW w:w="1417" w:type="dxa"/>
            <w:vAlign w:val="center"/>
          </w:tcPr>
          <w:p w:rsidR="001F563C" w:rsidRDefault="00CC0311">
            <w:pPr>
              <w:jc w:val="center"/>
            </w:pP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年</w:t>
            </w:r>
          </w:p>
        </w:tc>
        <w:tc>
          <w:tcPr>
            <w:tcW w:w="2694" w:type="dxa"/>
            <w:vAlign w:val="center"/>
          </w:tcPr>
          <w:p w:rsidR="001F563C" w:rsidRDefault="00CC0311">
            <w:r>
              <w:rPr>
                <w:rFonts w:asciiTheme="minorEastAsia" w:eastAsiaTheme="minorEastAsia" w:hAnsiTheme="minorEastAsia"/>
                <w:color w:val="000000" w:themeColor="text1"/>
              </w:rPr>
              <w:t>李德辉先生，上海交通大学</w:t>
            </w:r>
            <w:r>
              <w:rPr>
                <w:rFonts w:asciiTheme="minorEastAsia" w:eastAsiaTheme="minorEastAsia" w:hAnsiTheme="minorEastAsia"/>
                <w:color w:val="000000" w:themeColor="text1"/>
              </w:rPr>
              <w:lastRenderedPageBreak/>
              <w:t>生物医学工程博士，自</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月，在农银汇理基金管理有限公司担任研究员；自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月起加入上投摩根基金管理有限公司，先后担任研究员、行业专家兼基金经理助理、基金经理，自</w:t>
            </w:r>
            <w:r>
              <w:rPr>
                <w:rFonts w:asciiTheme="minorEastAsia" w:eastAsiaTheme="minorEastAsia" w:hAnsiTheme="minorEastAsia"/>
                <w:color w:val="000000" w:themeColor="text1"/>
              </w:rPr>
              <w:t>2016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月起担任上投摩根科技前沿灵活配置混合型证券投资基金基金经理。自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月同时担任上投摩根安全战略股票型证券投资基金基金经理及上投摩根双核平衡混合型证券投资基金基金经理，自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月起同时担任上投摩根卓越制造股票型证券投资基金基金经理，自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月起同时担任</w:t>
            </w:r>
            <w:r>
              <w:rPr>
                <w:rFonts w:asciiTheme="minorEastAsia" w:eastAsiaTheme="minorEastAsia" w:hAnsiTheme="minorEastAsia"/>
                <w:color w:val="000000" w:themeColor="text1"/>
              </w:rPr>
              <w:t>上投摩根智选</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混合型证券投资基金基金经理。</w:t>
            </w:r>
          </w:p>
        </w:tc>
      </w:tr>
    </w:tbl>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、证券从业的含义遵从行业协会《证券业从业人员资格管理办法》的相关规定。</w:t>
      </w: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1F563C" w:rsidRDefault="00CC031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w:t>
      </w:r>
      <w:r>
        <w:rPr>
          <w:rFonts w:asciiTheme="minorEastAsia" w:eastAsiaTheme="minorEastAsia" w:hAnsiTheme="minorEastAsia"/>
          <w:color w:val="000000" w:themeColor="text1"/>
        </w:rPr>
        <w:lastRenderedPageBreak/>
        <w:t>理活动相关的环节均得到公平对待。</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1F563C" w:rsidRDefault="00CC031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w:t>
      </w:r>
      <w:r>
        <w:rPr>
          <w:rFonts w:asciiTheme="minorEastAsia" w:eastAsiaTheme="minorEastAsia" w:hAnsiTheme="minorEastAsia" w:hint="eastAsia"/>
          <w:color w:val="000000" w:themeColor="text1"/>
        </w:rPr>
        <w:t>交较少的单边交易量超过该证券当日成交量的</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的情形：无。</w:t>
      </w:r>
    </w:p>
    <w:p w:rsidR="001F563C" w:rsidRDefault="001F563C">
      <w:pPr>
        <w:spacing w:line="360" w:lineRule="auto"/>
        <w:ind w:firstLineChars="200" w:firstLine="480"/>
        <w:rPr>
          <w:rFonts w:asciiTheme="minorEastAsia" w:eastAsiaTheme="minorEastAsia" w:hAnsiTheme="minorEastAsia"/>
          <w:color w:val="000000" w:themeColor="text1"/>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1F563C" w:rsidRDefault="00CC031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三季度市场分化严重，上证指数下跌</w:t>
      </w:r>
      <w:r>
        <w:rPr>
          <w:rFonts w:asciiTheme="minorEastAsia" w:eastAsiaTheme="minorEastAsia" w:hAnsiTheme="minorEastAsia"/>
          <w:color w:val="000000" w:themeColor="text1"/>
        </w:rPr>
        <w:t>2.47%</w:t>
      </w:r>
      <w:r>
        <w:rPr>
          <w:rFonts w:asciiTheme="minorEastAsia" w:eastAsiaTheme="minorEastAsia" w:hAnsiTheme="minorEastAsia"/>
          <w:color w:val="000000" w:themeColor="text1"/>
        </w:rPr>
        <w:t>，创业板指上涨</w:t>
      </w:r>
      <w:r>
        <w:rPr>
          <w:rFonts w:asciiTheme="minorEastAsia" w:eastAsiaTheme="minorEastAsia" w:hAnsiTheme="minorEastAsia"/>
          <w:color w:val="000000" w:themeColor="text1"/>
        </w:rPr>
        <w:t>7.68%</w:t>
      </w:r>
      <w:r>
        <w:rPr>
          <w:rFonts w:asciiTheme="minorEastAsia" w:eastAsiaTheme="minorEastAsia" w:hAnsiTheme="minorEastAsia"/>
          <w:color w:val="000000" w:themeColor="text1"/>
        </w:rPr>
        <w:t>。经济趋势依然偏弱，但政策基调年内第二次转暖，使得市场估值出现了一定程度的修复。在一批中报超预期的成长股带动下，市场交易重点逐步从消费转向成长。本季度基金持仓结构仍以传统高股息类型个股为主，但维持了消费的超配，并适当加大了电子等成长股的配置，取得了一定的超额收益。</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四季度，国内库存周期接近底部，全球宽松基调确定，货币政策进一步宽松可能是市场启动的重要催化剂。按照历史经验，四季度存在高低估值转换的可能性，其规律主要源于板块间估值分化过大，低估值行业已经包含了过于悲观的预期。因此在估值极低的时候进行配置将保证基金有足够的基本面缓冲空间。考虑到高股息类型品种已持续两个季度以上跑输了市场，因此我们预计四季度行情会有利于高股息风格。从行业层面来看，诸如金融、地产、建筑、汽车等已经具备了较强的安全边际，未来估值修复的空间较大，且股息回报的预期很明确。消费品中，医药性价比较高，</w:t>
      </w:r>
      <w:r>
        <w:rPr>
          <w:rFonts w:asciiTheme="minorEastAsia" w:eastAsiaTheme="minorEastAsia" w:hAnsiTheme="minorEastAsia"/>
          <w:color w:val="000000" w:themeColor="text1"/>
        </w:rPr>
        <w:t>具有中长期配置价值。电子、计算机等成长类尽管短期估值有所透支，但从基本面趋势来看，明年依然处于逐步好转进程中，基金将考虑适当配置以增强组合收益。</w:t>
      </w:r>
    </w:p>
    <w:p w:rsidR="001F563C" w:rsidRDefault="00CC031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lastRenderedPageBreak/>
        <w:t>4.4.2</w:t>
      </w:r>
      <w:r>
        <w:rPr>
          <w:rFonts w:asciiTheme="minorEastAsia" w:eastAsiaTheme="minorEastAsia" w:hAnsiTheme="minorEastAsia" w:cs="宋体" w:hint="eastAsia"/>
          <w:color w:val="000000" w:themeColor="text1"/>
          <w:sz w:val="24"/>
          <w:szCs w:val="24"/>
        </w:rPr>
        <w:t>报告期内基金的业绩表现</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本报告期上投摩根双核平衡混合份额净值增长率为</w:t>
      </w:r>
      <w:r>
        <w:rPr>
          <w:rFonts w:asciiTheme="minorEastAsia" w:eastAsiaTheme="minorEastAsia" w:hAnsiTheme="minorEastAsia"/>
          <w:color w:val="000000" w:themeColor="text1"/>
        </w:rPr>
        <w:t>:16.47%</w:t>
      </w:r>
      <w:r>
        <w:rPr>
          <w:rFonts w:asciiTheme="minorEastAsia" w:eastAsiaTheme="minorEastAsia" w:hAnsiTheme="minorEastAsia"/>
          <w:color w:val="000000" w:themeColor="text1"/>
        </w:rPr>
        <w:t>，同期业绩比较基准收益率为</w:t>
      </w:r>
      <w:r>
        <w:rPr>
          <w:rFonts w:asciiTheme="minorEastAsia" w:eastAsiaTheme="minorEastAsia" w:hAnsiTheme="minorEastAsia"/>
          <w:color w:val="000000" w:themeColor="text1"/>
        </w:rPr>
        <w:t>:0.50%</w:t>
      </w:r>
      <w:r>
        <w:rPr>
          <w:rFonts w:asciiTheme="minorEastAsia" w:eastAsiaTheme="minorEastAsia" w:hAnsiTheme="minorEastAsia"/>
          <w:color w:val="000000" w:themeColor="text1"/>
        </w:rPr>
        <w:t>。</w:t>
      </w:r>
    </w:p>
    <w:p w:rsidR="001F563C" w:rsidRDefault="001F563C">
      <w:pPr>
        <w:spacing w:line="360" w:lineRule="auto"/>
        <w:ind w:firstLineChars="200" w:firstLine="480"/>
        <w:rPr>
          <w:rFonts w:asciiTheme="minorEastAsia" w:eastAsiaTheme="minorEastAsia" w:hAnsiTheme="minorEastAsia"/>
          <w:color w:val="000000" w:themeColor="text1"/>
          <w:sz w:val="24"/>
          <w:szCs w:val="24"/>
        </w:rPr>
      </w:pPr>
    </w:p>
    <w:p w:rsidR="001F563C" w:rsidRDefault="00CC031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w:t>
      </w:r>
      <w:r>
        <w:rPr>
          <w:rFonts w:asciiTheme="minorEastAsia" w:eastAsiaTheme="minorEastAsia" w:hAnsiTheme="minorEastAsia" w:hint="eastAsia"/>
          <w:b/>
          <w:color w:val="000000" w:themeColor="text1"/>
          <w:kern w:val="0"/>
          <w:sz w:val="24"/>
          <w:szCs w:val="24"/>
        </w:rPr>
        <w:t>报告期内基金持有人数或基金资产净值预警说明</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1F563C" w:rsidRDefault="00CC031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1F563C">
        <w:trPr>
          <w:jc w:val="center"/>
        </w:trPr>
        <w:tc>
          <w:tcPr>
            <w:tcW w:w="720"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w:t>
            </w:r>
            <w:r>
              <w:rPr>
                <w:rFonts w:asciiTheme="minorEastAsia" w:eastAsiaTheme="minorEastAsia" w:hAnsiTheme="minorEastAsia" w:hint="eastAsia"/>
                <w:color w:val="000000" w:themeColor="text1"/>
                <w:kern w:val="0"/>
              </w:rPr>
              <w:t>(</w:t>
            </w:r>
            <w:r>
              <w:rPr>
                <w:rFonts w:asciiTheme="minorEastAsia" w:eastAsiaTheme="minorEastAsia" w:hAnsiTheme="minorEastAsia" w:hint="eastAsia"/>
                <w:color w:val="000000" w:themeColor="text1"/>
                <w:kern w:val="0"/>
              </w:rPr>
              <w:t>元</w:t>
            </w:r>
            <w:r>
              <w:rPr>
                <w:rFonts w:asciiTheme="minorEastAsia" w:eastAsiaTheme="minorEastAsia" w:hAnsiTheme="minorEastAsia" w:hint="eastAsia"/>
                <w:color w:val="000000" w:themeColor="text1"/>
                <w:kern w:val="0"/>
              </w:rPr>
              <w:t>)</w:t>
            </w:r>
          </w:p>
        </w:tc>
        <w:tc>
          <w:tcPr>
            <w:tcW w:w="1843"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hint="eastAsia"/>
                <w:color w:val="000000" w:themeColor="text1"/>
                <w:kern w:val="0"/>
              </w:rPr>
              <w:t>(</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1F563C">
        <w:trPr>
          <w:jc w:val="center"/>
        </w:trPr>
        <w:tc>
          <w:tcPr>
            <w:tcW w:w="720"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1F563C" w:rsidRDefault="00CC031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155,526,701.60</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61.44</w:t>
            </w:r>
          </w:p>
        </w:tc>
      </w:tr>
      <w:tr w:rsidR="001F563C">
        <w:trPr>
          <w:jc w:val="center"/>
        </w:trPr>
        <w:tc>
          <w:tcPr>
            <w:tcW w:w="720" w:type="dxa"/>
            <w:vAlign w:val="center"/>
          </w:tcPr>
          <w:p w:rsidR="001F563C" w:rsidRDefault="001F563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1F563C" w:rsidRDefault="00CC031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155,526,701.60</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61.44</w:t>
            </w:r>
          </w:p>
        </w:tc>
      </w:tr>
      <w:tr w:rsidR="001F563C">
        <w:trPr>
          <w:jc w:val="center"/>
        </w:trPr>
        <w:tc>
          <w:tcPr>
            <w:tcW w:w="720"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1F563C" w:rsidRDefault="00CC031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66,979,564.20</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26.46</w:t>
            </w:r>
          </w:p>
        </w:tc>
      </w:tr>
      <w:tr w:rsidR="001F563C">
        <w:trPr>
          <w:jc w:val="center"/>
        </w:trPr>
        <w:tc>
          <w:tcPr>
            <w:tcW w:w="720" w:type="dxa"/>
            <w:vAlign w:val="center"/>
          </w:tcPr>
          <w:p w:rsidR="001F563C" w:rsidRDefault="001F563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1F563C" w:rsidRDefault="00CC031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66,979,564.20</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26.46</w:t>
            </w:r>
          </w:p>
        </w:tc>
      </w:tr>
      <w:tr w:rsidR="001F563C">
        <w:trPr>
          <w:jc w:val="center"/>
        </w:trPr>
        <w:tc>
          <w:tcPr>
            <w:tcW w:w="720" w:type="dxa"/>
            <w:vAlign w:val="center"/>
          </w:tcPr>
          <w:p w:rsidR="001F563C" w:rsidRDefault="001F563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1F563C" w:rsidRDefault="00CC0311">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F563C">
        <w:trPr>
          <w:jc w:val="center"/>
        </w:trPr>
        <w:tc>
          <w:tcPr>
            <w:tcW w:w="720" w:type="dxa"/>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1F563C" w:rsidRDefault="00CC0311">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F563C">
        <w:trPr>
          <w:jc w:val="center"/>
        </w:trPr>
        <w:tc>
          <w:tcPr>
            <w:tcW w:w="720"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F563C">
        <w:trPr>
          <w:jc w:val="center"/>
        </w:trPr>
        <w:tc>
          <w:tcPr>
            <w:tcW w:w="720"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1F563C" w:rsidRDefault="00CC031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F563C">
        <w:trPr>
          <w:jc w:val="center"/>
        </w:trPr>
        <w:tc>
          <w:tcPr>
            <w:tcW w:w="720" w:type="dxa"/>
            <w:vAlign w:val="center"/>
          </w:tcPr>
          <w:p w:rsidR="001F563C" w:rsidRDefault="001F563C">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1F563C" w:rsidRDefault="00CC031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F563C">
        <w:trPr>
          <w:jc w:val="center"/>
        </w:trPr>
        <w:tc>
          <w:tcPr>
            <w:tcW w:w="720"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1F563C" w:rsidRDefault="00CC0311">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28,993,945.27</w:t>
            </w:r>
          </w:p>
        </w:tc>
        <w:tc>
          <w:tcPr>
            <w:tcW w:w="1843"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11.45</w:t>
            </w:r>
          </w:p>
        </w:tc>
      </w:tr>
      <w:tr w:rsidR="001F563C">
        <w:trPr>
          <w:jc w:val="center"/>
        </w:trPr>
        <w:tc>
          <w:tcPr>
            <w:tcW w:w="720"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1F563C" w:rsidRDefault="00CC0311">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1,643,543.22</w:t>
            </w:r>
          </w:p>
        </w:tc>
        <w:tc>
          <w:tcPr>
            <w:tcW w:w="1843" w:type="dxa"/>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0.65</w:t>
            </w:r>
          </w:p>
        </w:tc>
      </w:tr>
      <w:tr w:rsidR="001F563C">
        <w:trPr>
          <w:jc w:val="center"/>
        </w:trPr>
        <w:tc>
          <w:tcPr>
            <w:tcW w:w="720" w:type="dxa"/>
            <w:vAlign w:val="center"/>
          </w:tcPr>
          <w:p w:rsidR="001F563C" w:rsidRDefault="00CC0311">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1F563C" w:rsidRDefault="00CC0311">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253,143,754.29</w:t>
            </w:r>
          </w:p>
        </w:tc>
        <w:tc>
          <w:tcPr>
            <w:tcW w:w="1843" w:type="dxa"/>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1F563C" w:rsidRDefault="001F563C">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1F563C" w:rsidRDefault="00CC0311">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1F563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w:t>
            </w:r>
            <w:r>
              <w:rPr>
                <w:rFonts w:asciiTheme="minorEastAsia" w:eastAsiaTheme="minorEastAsia" w:hAnsiTheme="minorEastAsia" w:cs="宋体"/>
                <w:color w:val="000000" w:themeColor="text1"/>
                <w:kern w:val="0"/>
              </w:rPr>
              <w:lastRenderedPageBreak/>
              <w:t>比例（％）</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1F563C" w:rsidRDefault="001F563C">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1F563C" w:rsidRDefault="001F563C">
            <w:pPr>
              <w:jc w:val="right"/>
              <w:rPr>
                <w:rFonts w:asciiTheme="minorEastAsia" w:eastAsiaTheme="minorEastAsia" w:hAnsiTheme="minorEastAsia" w:cs="宋体"/>
                <w:color w:val="000000" w:themeColor="text1"/>
                <w:kern w:val="0"/>
              </w:rPr>
            </w:pP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124,455,999.41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49.47</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2,144,566.00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0.85</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4,176,041.24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1.66</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78,198.64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0.03</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38,266.20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0.02</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2,453,992.20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0.98</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6,931,701.60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2.76</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5,368,335.31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2.13</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9,879,601.00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3.93</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1F563C">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1F563C" w:rsidRDefault="00CC0311">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155,526,701.60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563C" w:rsidRDefault="00CC0311">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61.82</w:t>
            </w:r>
          </w:p>
        </w:tc>
      </w:tr>
    </w:tbl>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1F563C">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股</w:t>
            </w:r>
            <w:r>
              <w:rPr>
                <w:rFonts w:asciiTheme="minorEastAsia" w:eastAsiaTheme="minorEastAsia" w:hAnsiTheme="minorEastAsia" w:cs="宋体" w:hint="eastAsia"/>
                <w:color w:val="000000" w:themeColor="text1"/>
                <w:kern w:val="0"/>
              </w:rPr>
              <w:t>)</w:t>
            </w:r>
          </w:p>
        </w:tc>
        <w:tc>
          <w:tcPr>
            <w:tcW w:w="1842"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1</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000661</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长春高新</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35,525</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14,009,639.00</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5.57</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2</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300782</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卓胜微</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29,743</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11,152,137.85</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4.43</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3</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300347</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泰格医药</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159,220</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9,879,601.00</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3.93</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4</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600519</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贵州茅台</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8,062</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9,271,300.00</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3.69</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5</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603501</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韦尔股份</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86,100</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8,447,271.00</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3.36</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6</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600183</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生益科技</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299,652</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7,473,320.88</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2.97</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7</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002463</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沪电股份</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293,100</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7,180,950.00</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2.85</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8</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600031</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三一重工</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487,506</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6,961,585.68</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2.77</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9</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002916</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深南电路</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43,316</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6,540,716.00</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2.60</w:t>
            </w:r>
          </w:p>
        </w:tc>
      </w:tr>
      <w:tr w:rsidR="001F563C">
        <w:tc>
          <w:tcPr>
            <w:tcW w:w="817" w:type="dxa"/>
            <w:vAlign w:val="center"/>
          </w:tcPr>
          <w:p w:rsidR="001F563C" w:rsidRDefault="00CC0311">
            <w:pPr>
              <w:jc w:val="center"/>
            </w:pPr>
            <w:r>
              <w:rPr>
                <w:rFonts w:asciiTheme="minorEastAsia" w:eastAsiaTheme="minorEastAsia" w:hAnsiTheme="minorEastAsia" w:cs="宋体"/>
                <w:color w:val="000000" w:themeColor="text1"/>
                <w:kern w:val="0"/>
              </w:rPr>
              <w:t>10</w:t>
            </w:r>
          </w:p>
        </w:tc>
        <w:tc>
          <w:tcPr>
            <w:tcW w:w="1276" w:type="dxa"/>
            <w:vAlign w:val="center"/>
          </w:tcPr>
          <w:p w:rsidR="001F563C" w:rsidRDefault="00CC0311">
            <w:pPr>
              <w:jc w:val="center"/>
            </w:pPr>
            <w:r>
              <w:rPr>
                <w:rFonts w:asciiTheme="minorEastAsia" w:eastAsiaTheme="minorEastAsia" w:hAnsiTheme="minorEastAsia" w:cs="宋体"/>
                <w:color w:val="000000" w:themeColor="text1"/>
                <w:kern w:val="0"/>
              </w:rPr>
              <w:t>300601</w:t>
            </w:r>
          </w:p>
        </w:tc>
        <w:tc>
          <w:tcPr>
            <w:tcW w:w="1701" w:type="dxa"/>
            <w:vAlign w:val="center"/>
          </w:tcPr>
          <w:p w:rsidR="001F563C" w:rsidRDefault="00CC0311">
            <w:pPr>
              <w:jc w:val="center"/>
            </w:pPr>
            <w:r>
              <w:rPr>
                <w:rFonts w:asciiTheme="minorEastAsia" w:eastAsiaTheme="minorEastAsia" w:hAnsiTheme="minorEastAsia" w:cs="宋体"/>
                <w:color w:val="000000" w:themeColor="text1"/>
                <w:kern w:val="0"/>
              </w:rPr>
              <w:t>康泰生物</w:t>
            </w:r>
          </w:p>
        </w:tc>
        <w:tc>
          <w:tcPr>
            <w:tcW w:w="1276" w:type="dxa"/>
            <w:vAlign w:val="center"/>
          </w:tcPr>
          <w:p w:rsidR="001F563C" w:rsidRDefault="00CC0311">
            <w:pPr>
              <w:jc w:val="right"/>
            </w:pPr>
            <w:r>
              <w:rPr>
                <w:rFonts w:asciiTheme="minorEastAsia" w:eastAsiaTheme="minorEastAsia" w:hAnsiTheme="minorEastAsia" w:cs="宋体"/>
                <w:color w:val="000000" w:themeColor="text1"/>
                <w:kern w:val="0"/>
              </w:rPr>
              <w:t>82,897</w:t>
            </w:r>
          </w:p>
        </w:tc>
        <w:tc>
          <w:tcPr>
            <w:tcW w:w="1842" w:type="dxa"/>
            <w:vAlign w:val="center"/>
          </w:tcPr>
          <w:p w:rsidR="001F563C" w:rsidRDefault="00CC0311">
            <w:pPr>
              <w:jc w:val="right"/>
            </w:pPr>
            <w:r>
              <w:rPr>
                <w:rFonts w:asciiTheme="minorEastAsia" w:eastAsiaTheme="minorEastAsia" w:hAnsiTheme="minorEastAsia" w:cs="宋体"/>
                <w:color w:val="000000" w:themeColor="text1"/>
                <w:kern w:val="0"/>
              </w:rPr>
              <w:t>6,154,273.28</w:t>
            </w:r>
          </w:p>
        </w:tc>
        <w:tc>
          <w:tcPr>
            <w:tcW w:w="1616" w:type="dxa"/>
            <w:vAlign w:val="center"/>
          </w:tcPr>
          <w:p w:rsidR="001F563C" w:rsidRDefault="00CC0311">
            <w:pPr>
              <w:jc w:val="right"/>
            </w:pPr>
            <w:r>
              <w:rPr>
                <w:rFonts w:asciiTheme="minorEastAsia" w:eastAsiaTheme="minorEastAsia" w:hAnsiTheme="minorEastAsia" w:cs="宋体"/>
                <w:color w:val="000000" w:themeColor="text1"/>
                <w:kern w:val="0"/>
              </w:rPr>
              <w:t>2.45</w:t>
            </w:r>
          </w:p>
        </w:tc>
      </w:tr>
    </w:tbl>
    <w:p w:rsidR="001F563C" w:rsidRDefault="001F56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8"/>
        <w:tblW w:w="8755" w:type="dxa"/>
        <w:jc w:val="center"/>
        <w:tblLayout w:type="fixed"/>
        <w:tblLook w:val="04A0" w:firstRow="1" w:lastRow="0" w:firstColumn="1" w:lastColumn="0" w:noHBand="0" w:noVBand="1"/>
      </w:tblPr>
      <w:tblGrid>
        <w:gridCol w:w="817"/>
        <w:gridCol w:w="3260"/>
        <w:gridCol w:w="2949"/>
        <w:gridCol w:w="1729"/>
      </w:tblGrid>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c>
          <w:tcPr>
            <w:tcW w:w="1729"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31,105,675.50</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12.36</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33,251,184.00</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13.22</w:t>
            </w:r>
          </w:p>
        </w:tc>
      </w:tr>
      <w:tr w:rsidR="001F563C">
        <w:trPr>
          <w:jc w:val="center"/>
        </w:trPr>
        <w:tc>
          <w:tcPr>
            <w:tcW w:w="817" w:type="dxa"/>
            <w:vAlign w:val="center"/>
          </w:tcPr>
          <w:p w:rsidR="001F563C" w:rsidRDefault="001F563C">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33,251,184.00</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13.22</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1,870,805.70</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0.74</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751,899.00</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0.30</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1F563C">
        <w:trPr>
          <w:jc w:val="center"/>
        </w:trPr>
        <w:tc>
          <w:tcPr>
            <w:tcW w:w="81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1F563C" w:rsidRDefault="00CC0311">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66,979,564.20</w:t>
            </w:r>
          </w:p>
        </w:tc>
        <w:tc>
          <w:tcPr>
            <w:tcW w:w="1729" w:type="dxa"/>
            <w:vAlign w:val="center"/>
          </w:tcPr>
          <w:p w:rsidR="001F563C" w:rsidRDefault="00CC0311">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26.63</w:t>
            </w:r>
          </w:p>
        </w:tc>
      </w:tr>
    </w:tbl>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8"/>
        <w:tblW w:w="8528" w:type="dxa"/>
        <w:tblLayout w:type="fixed"/>
        <w:tblLook w:val="04A0" w:firstRow="1" w:lastRow="0" w:firstColumn="1" w:lastColumn="0" w:noHBand="0" w:noVBand="1"/>
      </w:tblPr>
      <w:tblGrid>
        <w:gridCol w:w="1252"/>
        <w:gridCol w:w="1310"/>
        <w:gridCol w:w="1282"/>
        <w:gridCol w:w="1426"/>
        <w:gridCol w:w="1646"/>
        <w:gridCol w:w="1612"/>
      </w:tblGrid>
      <w:tr w:rsidR="001F563C">
        <w:tc>
          <w:tcPr>
            <w:tcW w:w="1252"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张</w:t>
            </w:r>
            <w:r>
              <w:rPr>
                <w:rFonts w:asciiTheme="minorEastAsia" w:eastAsiaTheme="minorEastAsia" w:hAnsiTheme="minorEastAsia" w:cs="宋体" w:hint="eastAsia"/>
                <w:color w:val="000000" w:themeColor="text1"/>
                <w:kern w:val="0"/>
              </w:rPr>
              <w:t>)</w:t>
            </w:r>
          </w:p>
        </w:tc>
        <w:tc>
          <w:tcPr>
            <w:tcW w:w="1646"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w:t>
            </w:r>
          </w:p>
        </w:tc>
      </w:tr>
      <w:tr w:rsidR="001F563C">
        <w:tc>
          <w:tcPr>
            <w:tcW w:w="1252" w:type="dxa"/>
            <w:vAlign w:val="center"/>
          </w:tcPr>
          <w:p w:rsidR="001F563C" w:rsidRDefault="00CC0311">
            <w:pPr>
              <w:jc w:val="center"/>
            </w:pPr>
            <w:r>
              <w:rPr>
                <w:rFonts w:asciiTheme="minorEastAsia" w:eastAsiaTheme="minorEastAsia" w:hAnsiTheme="minorEastAsia" w:cs="宋体"/>
                <w:color w:val="000000" w:themeColor="text1"/>
                <w:kern w:val="0"/>
              </w:rPr>
              <w:t>1</w:t>
            </w:r>
          </w:p>
        </w:tc>
        <w:tc>
          <w:tcPr>
            <w:tcW w:w="1310" w:type="dxa"/>
            <w:vAlign w:val="center"/>
          </w:tcPr>
          <w:p w:rsidR="001F563C" w:rsidRDefault="00CC0311">
            <w:pPr>
              <w:jc w:val="center"/>
            </w:pPr>
            <w:r>
              <w:rPr>
                <w:rFonts w:asciiTheme="minorEastAsia" w:eastAsiaTheme="minorEastAsia" w:hAnsiTheme="minorEastAsia" w:cs="宋体"/>
                <w:color w:val="000000" w:themeColor="text1"/>
                <w:kern w:val="0"/>
              </w:rPr>
              <w:t>018006</w:t>
            </w:r>
          </w:p>
        </w:tc>
        <w:tc>
          <w:tcPr>
            <w:tcW w:w="1282" w:type="dxa"/>
            <w:vAlign w:val="center"/>
          </w:tcPr>
          <w:p w:rsidR="001F563C" w:rsidRDefault="00CC0311">
            <w:pPr>
              <w:jc w:val="center"/>
            </w:pPr>
            <w:r>
              <w:rPr>
                <w:rFonts w:asciiTheme="minorEastAsia" w:eastAsiaTheme="minorEastAsia" w:hAnsiTheme="minorEastAsia" w:cs="宋体"/>
                <w:color w:val="000000" w:themeColor="text1"/>
                <w:kern w:val="0"/>
              </w:rPr>
              <w:t>国开</w:t>
            </w:r>
            <w:r>
              <w:rPr>
                <w:rFonts w:asciiTheme="minorEastAsia" w:eastAsiaTheme="minorEastAsia" w:hAnsiTheme="minorEastAsia" w:cs="宋体"/>
                <w:color w:val="000000" w:themeColor="text1"/>
                <w:kern w:val="0"/>
              </w:rPr>
              <w:t>1702</w:t>
            </w:r>
          </w:p>
        </w:tc>
        <w:tc>
          <w:tcPr>
            <w:tcW w:w="1426" w:type="dxa"/>
            <w:vAlign w:val="center"/>
          </w:tcPr>
          <w:p w:rsidR="001F563C" w:rsidRDefault="00CC0311">
            <w:pPr>
              <w:jc w:val="right"/>
            </w:pPr>
            <w:r>
              <w:rPr>
                <w:rFonts w:asciiTheme="minorEastAsia" w:eastAsiaTheme="minorEastAsia" w:hAnsiTheme="minorEastAsia" w:cs="宋体"/>
                <w:color w:val="000000" w:themeColor="text1"/>
                <w:kern w:val="0"/>
              </w:rPr>
              <w:t>170,000</w:t>
            </w:r>
          </w:p>
        </w:tc>
        <w:tc>
          <w:tcPr>
            <w:tcW w:w="1646" w:type="dxa"/>
            <w:vAlign w:val="center"/>
          </w:tcPr>
          <w:p w:rsidR="001F563C" w:rsidRDefault="00CC0311">
            <w:pPr>
              <w:jc w:val="right"/>
            </w:pPr>
            <w:r>
              <w:rPr>
                <w:rFonts w:asciiTheme="minorEastAsia" w:eastAsiaTheme="minorEastAsia" w:hAnsiTheme="minorEastAsia" w:cs="宋体"/>
                <w:color w:val="000000" w:themeColor="text1"/>
                <w:kern w:val="0"/>
              </w:rPr>
              <w:t>17,406,300.00</w:t>
            </w:r>
          </w:p>
        </w:tc>
        <w:tc>
          <w:tcPr>
            <w:tcW w:w="1612" w:type="dxa"/>
            <w:vAlign w:val="center"/>
          </w:tcPr>
          <w:p w:rsidR="001F563C" w:rsidRDefault="00CC0311">
            <w:pPr>
              <w:jc w:val="right"/>
            </w:pPr>
            <w:r>
              <w:rPr>
                <w:rFonts w:asciiTheme="minorEastAsia" w:eastAsiaTheme="minorEastAsia" w:hAnsiTheme="minorEastAsia" w:cs="宋体"/>
                <w:color w:val="000000" w:themeColor="text1"/>
                <w:kern w:val="0"/>
              </w:rPr>
              <w:t>6.92</w:t>
            </w:r>
          </w:p>
        </w:tc>
      </w:tr>
      <w:tr w:rsidR="001F563C">
        <w:tc>
          <w:tcPr>
            <w:tcW w:w="1252" w:type="dxa"/>
            <w:vAlign w:val="center"/>
          </w:tcPr>
          <w:p w:rsidR="001F563C" w:rsidRDefault="00CC0311">
            <w:pPr>
              <w:jc w:val="center"/>
            </w:pPr>
            <w:r>
              <w:rPr>
                <w:rFonts w:asciiTheme="minorEastAsia" w:eastAsiaTheme="minorEastAsia" w:hAnsiTheme="minorEastAsia" w:cs="宋体"/>
                <w:color w:val="000000" w:themeColor="text1"/>
                <w:kern w:val="0"/>
              </w:rPr>
              <w:t>2</w:t>
            </w:r>
          </w:p>
        </w:tc>
        <w:tc>
          <w:tcPr>
            <w:tcW w:w="1310" w:type="dxa"/>
            <w:vAlign w:val="center"/>
          </w:tcPr>
          <w:p w:rsidR="001F563C" w:rsidRDefault="00CC0311">
            <w:pPr>
              <w:jc w:val="center"/>
            </w:pPr>
            <w:r>
              <w:rPr>
                <w:rFonts w:asciiTheme="minorEastAsia" w:eastAsiaTheme="minorEastAsia" w:hAnsiTheme="minorEastAsia" w:cs="宋体"/>
                <w:color w:val="000000" w:themeColor="text1"/>
                <w:kern w:val="0"/>
              </w:rPr>
              <w:t>010107</w:t>
            </w:r>
          </w:p>
        </w:tc>
        <w:tc>
          <w:tcPr>
            <w:tcW w:w="1282" w:type="dxa"/>
            <w:vAlign w:val="center"/>
          </w:tcPr>
          <w:p w:rsidR="001F563C" w:rsidRDefault="00CC0311">
            <w:pPr>
              <w:jc w:val="center"/>
            </w:pPr>
            <w:r>
              <w:rPr>
                <w:rFonts w:asciiTheme="minorEastAsia" w:eastAsiaTheme="minorEastAsia" w:hAnsiTheme="minorEastAsia" w:cs="宋体"/>
                <w:color w:val="000000" w:themeColor="text1"/>
                <w:kern w:val="0"/>
              </w:rPr>
              <w:t>21</w:t>
            </w:r>
            <w:r>
              <w:rPr>
                <w:rFonts w:asciiTheme="minorEastAsia" w:eastAsiaTheme="minorEastAsia" w:hAnsiTheme="minorEastAsia" w:cs="宋体"/>
                <w:color w:val="000000" w:themeColor="text1"/>
                <w:kern w:val="0"/>
              </w:rPr>
              <w:t>国债</w:t>
            </w:r>
            <w:r>
              <w:rPr>
                <w:rFonts w:asciiTheme="minorEastAsia" w:eastAsiaTheme="minorEastAsia" w:hAnsiTheme="minorEastAsia" w:cs="宋体"/>
                <w:color w:val="000000" w:themeColor="text1"/>
                <w:kern w:val="0"/>
              </w:rPr>
              <w:t>⑺</w:t>
            </w:r>
          </w:p>
        </w:tc>
        <w:tc>
          <w:tcPr>
            <w:tcW w:w="1426" w:type="dxa"/>
            <w:vAlign w:val="center"/>
          </w:tcPr>
          <w:p w:rsidR="001F563C" w:rsidRDefault="00CC0311">
            <w:pPr>
              <w:jc w:val="right"/>
            </w:pPr>
            <w:r>
              <w:rPr>
                <w:rFonts w:asciiTheme="minorEastAsia" w:eastAsiaTheme="minorEastAsia" w:hAnsiTheme="minorEastAsia" w:cs="宋体"/>
                <w:color w:val="000000" w:themeColor="text1"/>
                <w:kern w:val="0"/>
              </w:rPr>
              <w:t>160,090</w:t>
            </w:r>
          </w:p>
        </w:tc>
        <w:tc>
          <w:tcPr>
            <w:tcW w:w="1646" w:type="dxa"/>
            <w:vAlign w:val="center"/>
          </w:tcPr>
          <w:p w:rsidR="001F563C" w:rsidRDefault="00CC0311">
            <w:pPr>
              <w:jc w:val="right"/>
            </w:pPr>
            <w:r>
              <w:rPr>
                <w:rFonts w:asciiTheme="minorEastAsia" w:eastAsiaTheme="minorEastAsia" w:hAnsiTheme="minorEastAsia" w:cs="宋体"/>
                <w:color w:val="000000" w:themeColor="text1"/>
                <w:kern w:val="0"/>
              </w:rPr>
              <w:t>16,484,467.30</w:t>
            </w:r>
          </w:p>
        </w:tc>
        <w:tc>
          <w:tcPr>
            <w:tcW w:w="1612" w:type="dxa"/>
            <w:vAlign w:val="center"/>
          </w:tcPr>
          <w:p w:rsidR="001F563C" w:rsidRDefault="00CC0311">
            <w:pPr>
              <w:jc w:val="right"/>
            </w:pPr>
            <w:r>
              <w:rPr>
                <w:rFonts w:asciiTheme="minorEastAsia" w:eastAsiaTheme="minorEastAsia" w:hAnsiTheme="minorEastAsia" w:cs="宋体"/>
                <w:color w:val="000000" w:themeColor="text1"/>
                <w:kern w:val="0"/>
              </w:rPr>
              <w:t>6.55</w:t>
            </w:r>
          </w:p>
        </w:tc>
      </w:tr>
      <w:tr w:rsidR="001F563C">
        <w:tc>
          <w:tcPr>
            <w:tcW w:w="1252" w:type="dxa"/>
            <w:vAlign w:val="center"/>
          </w:tcPr>
          <w:p w:rsidR="001F563C" w:rsidRDefault="00CC0311">
            <w:pPr>
              <w:jc w:val="center"/>
            </w:pPr>
            <w:r>
              <w:rPr>
                <w:rFonts w:asciiTheme="minorEastAsia" w:eastAsiaTheme="minorEastAsia" w:hAnsiTheme="minorEastAsia" w:cs="宋体"/>
                <w:color w:val="000000" w:themeColor="text1"/>
                <w:kern w:val="0"/>
              </w:rPr>
              <w:t>3</w:t>
            </w:r>
          </w:p>
        </w:tc>
        <w:tc>
          <w:tcPr>
            <w:tcW w:w="1310" w:type="dxa"/>
            <w:vAlign w:val="center"/>
          </w:tcPr>
          <w:p w:rsidR="001F563C" w:rsidRDefault="00CC0311">
            <w:pPr>
              <w:jc w:val="center"/>
            </w:pPr>
            <w:r>
              <w:rPr>
                <w:rFonts w:asciiTheme="minorEastAsia" w:eastAsiaTheme="minorEastAsia" w:hAnsiTheme="minorEastAsia" w:cs="宋体"/>
                <w:color w:val="000000" w:themeColor="text1"/>
                <w:kern w:val="0"/>
              </w:rPr>
              <w:t>018007</w:t>
            </w:r>
          </w:p>
        </w:tc>
        <w:tc>
          <w:tcPr>
            <w:tcW w:w="1282" w:type="dxa"/>
            <w:vAlign w:val="center"/>
          </w:tcPr>
          <w:p w:rsidR="001F563C" w:rsidRDefault="00CC0311">
            <w:pPr>
              <w:jc w:val="center"/>
            </w:pPr>
            <w:r>
              <w:rPr>
                <w:rFonts w:asciiTheme="minorEastAsia" w:eastAsiaTheme="minorEastAsia" w:hAnsiTheme="minorEastAsia" w:cs="宋体"/>
                <w:color w:val="000000" w:themeColor="text1"/>
                <w:kern w:val="0"/>
              </w:rPr>
              <w:t>国开</w:t>
            </w:r>
            <w:r>
              <w:rPr>
                <w:rFonts w:asciiTheme="minorEastAsia" w:eastAsiaTheme="minorEastAsia" w:hAnsiTheme="minorEastAsia" w:cs="宋体"/>
                <w:color w:val="000000" w:themeColor="text1"/>
                <w:kern w:val="0"/>
              </w:rPr>
              <w:t>1801</w:t>
            </w:r>
          </w:p>
        </w:tc>
        <w:tc>
          <w:tcPr>
            <w:tcW w:w="1426" w:type="dxa"/>
            <w:vAlign w:val="center"/>
          </w:tcPr>
          <w:p w:rsidR="001F563C" w:rsidRDefault="00CC0311">
            <w:pPr>
              <w:jc w:val="right"/>
            </w:pPr>
            <w:r>
              <w:rPr>
                <w:rFonts w:asciiTheme="minorEastAsia" w:eastAsiaTheme="minorEastAsia" w:hAnsiTheme="minorEastAsia" w:cs="宋体"/>
                <w:color w:val="000000" w:themeColor="text1"/>
                <w:kern w:val="0"/>
              </w:rPr>
              <w:t>156,570</w:t>
            </w:r>
          </w:p>
        </w:tc>
        <w:tc>
          <w:tcPr>
            <w:tcW w:w="1646" w:type="dxa"/>
            <w:vAlign w:val="center"/>
          </w:tcPr>
          <w:p w:rsidR="001F563C" w:rsidRDefault="00CC0311">
            <w:pPr>
              <w:jc w:val="right"/>
            </w:pPr>
            <w:r>
              <w:rPr>
                <w:rFonts w:asciiTheme="minorEastAsia" w:eastAsiaTheme="minorEastAsia" w:hAnsiTheme="minorEastAsia" w:cs="宋体"/>
                <w:color w:val="000000" w:themeColor="text1"/>
                <w:kern w:val="0"/>
              </w:rPr>
              <w:t>15,844,884.00</w:t>
            </w:r>
          </w:p>
        </w:tc>
        <w:tc>
          <w:tcPr>
            <w:tcW w:w="1612" w:type="dxa"/>
            <w:vAlign w:val="center"/>
          </w:tcPr>
          <w:p w:rsidR="001F563C" w:rsidRDefault="00CC0311">
            <w:pPr>
              <w:jc w:val="right"/>
            </w:pPr>
            <w:r>
              <w:rPr>
                <w:rFonts w:asciiTheme="minorEastAsia" w:eastAsiaTheme="minorEastAsia" w:hAnsiTheme="minorEastAsia" w:cs="宋体"/>
                <w:color w:val="000000" w:themeColor="text1"/>
                <w:kern w:val="0"/>
              </w:rPr>
              <w:t>6.30</w:t>
            </w:r>
          </w:p>
        </w:tc>
      </w:tr>
      <w:tr w:rsidR="001F563C">
        <w:tc>
          <w:tcPr>
            <w:tcW w:w="1252" w:type="dxa"/>
            <w:vAlign w:val="center"/>
          </w:tcPr>
          <w:p w:rsidR="001F563C" w:rsidRDefault="00CC0311">
            <w:pPr>
              <w:jc w:val="center"/>
            </w:pPr>
            <w:r>
              <w:rPr>
                <w:rFonts w:asciiTheme="minorEastAsia" w:eastAsiaTheme="minorEastAsia" w:hAnsiTheme="minorEastAsia" w:cs="宋体"/>
                <w:color w:val="000000" w:themeColor="text1"/>
                <w:kern w:val="0"/>
              </w:rPr>
              <w:t>4</w:t>
            </w:r>
          </w:p>
        </w:tc>
        <w:tc>
          <w:tcPr>
            <w:tcW w:w="1310" w:type="dxa"/>
            <w:vAlign w:val="center"/>
          </w:tcPr>
          <w:p w:rsidR="001F563C" w:rsidRDefault="00CC0311">
            <w:pPr>
              <w:jc w:val="center"/>
            </w:pPr>
            <w:r>
              <w:rPr>
                <w:rFonts w:asciiTheme="minorEastAsia" w:eastAsiaTheme="minorEastAsia" w:hAnsiTheme="minorEastAsia" w:cs="宋体"/>
                <w:color w:val="000000" w:themeColor="text1"/>
                <w:kern w:val="0"/>
              </w:rPr>
              <w:t>010303</w:t>
            </w:r>
          </w:p>
        </w:tc>
        <w:tc>
          <w:tcPr>
            <w:tcW w:w="1282" w:type="dxa"/>
            <w:vAlign w:val="center"/>
          </w:tcPr>
          <w:p w:rsidR="001F563C" w:rsidRDefault="00CC0311">
            <w:pPr>
              <w:jc w:val="center"/>
            </w:pPr>
            <w:r>
              <w:rPr>
                <w:rFonts w:asciiTheme="minorEastAsia" w:eastAsiaTheme="minorEastAsia" w:hAnsiTheme="minorEastAsia" w:cs="宋体"/>
                <w:color w:val="000000" w:themeColor="text1"/>
                <w:kern w:val="0"/>
              </w:rPr>
              <w:t>03</w:t>
            </w:r>
            <w:r>
              <w:rPr>
                <w:rFonts w:asciiTheme="minorEastAsia" w:eastAsiaTheme="minorEastAsia" w:hAnsiTheme="minorEastAsia" w:cs="宋体"/>
                <w:color w:val="000000" w:themeColor="text1"/>
                <w:kern w:val="0"/>
              </w:rPr>
              <w:t>国债</w:t>
            </w:r>
            <w:r>
              <w:rPr>
                <w:rFonts w:asciiTheme="minorEastAsia" w:eastAsiaTheme="minorEastAsia" w:hAnsiTheme="minorEastAsia" w:cs="宋体"/>
                <w:color w:val="000000" w:themeColor="text1"/>
                <w:kern w:val="0"/>
              </w:rPr>
              <w:t>⑶</w:t>
            </w:r>
          </w:p>
        </w:tc>
        <w:tc>
          <w:tcPr>
            <w:tcW w:w="1426" w:type="dxa"/>
            <w:vAlign w:val="center"/>
          </w:tcPr>
          <w:p w:rsidR="001F563C" w:rsidRDefault="00CC0311">
            <w:pPr>
              <w:jc w:val="right"/>
            </w:pPr>
            <w:r>
              <w:rPr>
                <w:rFonts w:asciiTheme="minorEastAsia" w:eastAsiaTheme="minorEastAsia" w:hAnsiTheme="minorEastAsia" w:cs="宋体"/>
                <w:color w:val="000000" w:themeColor="text1"/>
                <w:kern w:val="0"/>
              </w:rPr>
              <w:t>75,490</w:t>
            </w:r>
          </w:p>
        </w:tc>
        <w:tc>
          <w:tcPr>
            <w:tcW w:w="1646" w:type="dxa"/>
            <w:vAlign w:val="center"/>
          </w:tcPr>
          <w:p w:rsidR="001F563C" w:rsidRDefault="00CC0311">
            <w:pPr>
              <w:jc w:val="right"/>
            </w:pPr>
            <w:r>
              <w:rPr>
                <w:rFonts w:asciiTheme="minorEastAsia" w:eastAsiaTheme="minorEastAsia" w:hAnsiTheme="minorEastAsia" w:cs="宋体"/>
                <w:color w:val="000000" w:themeColor="text1"/>
                <w:kern w:val="0"/>
              </w:rPr>
              <w:t>7,687,901.60</w:t>
            </w:r>
          </w:p>
        </w:tc>
        <w:tc>
          <w:tcPr>
            <w:tcW w:w="1612" w:type="dxa"/>
            <w:vAlign w:val="center"/>
          </w:tcPr>
          <w:p w:rsidR="001F563C" w:rsidRDefault="00CC0311">
            <w:pPr>
              <w:jc w:val="right"/>
            </w:pPr>
            <w:r>
              <w:rPr>
                <w:rFonts w:asciiTheme="minorEastAsia" w:eastAsiaTheme="minorEastAsia" w:hAnsiTheme="minorEastAsia" w:cs="宋体"/>
                <w:color w:val="000000" w:themeColor="text1"/>
                <w:kern w:val="0"/>
              </w:rPr>
              <w:t>3.06</w:t>
            </w:r>
          </w:p>
        </w:tc>
      </w:tr>
      <w:tr w:rsidR="001F563C">
        <w:tc>
          <w:tcPr>
            <w:tcW w:w="1252" w:type="dxa"/>
            <w:vAlign w:val="center"/>
          </w:tcPr>
          <w:p w:rsidR="001F563C" w:rsidRDefault="00CC0311">
            <w:pPr>
              <w:jc w:val="center"/>
            </w:pPr>
            <w:r>
              <w:rPr>
                <w:rFonts w:asciiTheme="minorEastAsia" w:eastAsiaTheme="minorEastAsia" w:hAnsiTheme="minorEastAsia" w:cs="宋体"/>
                <w:color w:val="000000" w:themeColor="text1"/>
                <w:kern w:val="0"/>
              </w:rPr>
              <w:t>5</w:t>
            </w:r>
          </w:p>
        </w:tc>
        <w:tc>
          <w:tcPr>
            <w:tcW w:w="1310" w:type="dxa"/>
            <w:vAlign w:val="center"/>
          </w:tcPr>
          <w:p w:rsidR="001F563C" w:rsidRDefault="00CC0311">
            <w:pPr>
              <w:jc w:val="center"/>
            </w:pPr>
            <w:r>
              <w:rPr>
                <w:rFonts w:asciiTheme="minorEastAsia" w:eastAsiaTheme="minorEastAsia" w:hAnsiTheme="minorEastAsia" w:cs="宋体"/>
                <w:color w:val="000000" w:themeColor="text1"/>
                <w:kern w:val="0"/>
              </w:rPr>
              <w:t>019611</w:t>
            </w:r>
          </w:p>
        </w:tc>
        <w:tc>
          <w:tcPr>
            <w:tcW w:w="1282" w:type="dxa"/>
            <w:vAlign w:val="center"/>
          </w:tcPr>
          <w:p w:rsidR="001F563C" w:rsidRDefault="00CC0311">
            <w:pPr>
              <w:jc w:val="center"/>
            </w:pPr>
            <w:r>
              <w:rPr>
                <w:rFonts w:asciiTheme="minorEastAsia" w:eastAsiaTheme="minorEastAsia" w:hAnsiTheme="minorEastAsia" w:cs="宋体"/>
                <w:color w:val="000000" w:themeColor="text1"/>
                <w:kern w:val="0"/>
              </w:rPr>
              <w:t>19</w:t>
            </w:r>
            <w:r>
              <w:rPr>
                <w:rFonts w:asciiTheme="minorEastAsia" w:eastAsiaTheme="minorEastAsia" w:hAnsiTheme="minorEastAsia" w:cs="宋体"/>
                <w:color w:val="000000" w:themeColor="text1"/>
                <w:kern w:val="0"/>
              </w:rPr>
              <w:t>国债</w:t>
            </w:r>
            <w:r>
              <w:rPr>
                <w:rFonts w:asciiTheme="minorEastAsia" w:eastAsiaTheme="minorEastAsia" w:hAnsiTheme="minorEastAsia" w:cs="宋体"/>
                <w:color w:val="000000" w:themeColor="text1"/>
                <w:kern w:val="0"/>
              </w:rPr>
              <w:t>01</w:t>
            </w:r>
          </w:p>
        </w:tc>
        <w:tc>
          <w:tcPr>
            <w:tcW w:w="1426" w:type="dxa"/>
            <w:vAlign w:val="center"/>
          </w:tcPr>
          <w:p w:rsidR="001F563C" w:rsidRDefault="00CC0311">
            <w:pPr>
              <w:jc w:val="right"/>
            </w:pPr>
            <w:r>
              <w:rPr>
                <w:rFonts w:asciiTheme="minorEastAsia" w:eastAsiaTheme="minorEastAsia" w:hAnsiTheme="minorEastAsia" w:cs="宋体"/>
                <w:color w:val="000000" w:themeColor="text1"/>
                <w:kern w:val="0"/>
              </w:rPr>
              <w:t>69,340</w:t>
            </w:r>
          </w:p>
        </w:tc>
        <w:tc>
          <w:tcPr>
            <w:tcW w:w="1646" w:type="dxa"/>
            <w:vAlign w:val="center"/>
          </w:tcPr>
          <w:p w:rsidR="001F563C" w:rsidRDefault="00CC0311">
            <w:pPr>
              <w:jc w:val="right"/>
            </w:pPr>
            <w:r>
              <w:rPr>
                <w:rFonts w:asciiTheme="minorEastAsia" w:eastAsiaTheme="minorEastAsia" w:hAnsiTheme="minorEastAsia" w:cs="宋体"/>
                <w:color w:val="000000" w:themeColor="text1"/>
                <w:kern w:val="0"/>
              </w:rPr>
              <w:t>6,933,306.60</w:t>
            </w:r>
          </w:p>
        </w:tc>
        <w:tc>
          <w:tcPr>
            <w:tcW w:w="1612" w:type="dxa"/>
            <w:vAlign w:val="center"/>
          </w:tcPr>
          <w:p w:rsidR="001F563C" w:rsidRDefault="00CC0311">
            <w:pPr>
              <w:jc w:val="right"/>
            </w:pPr>
            <w:r>
              <w:rPr>
                <w:rFonts w:asciiTheme="minorEastAsia" w:eastAsiaTheme="minorEastAsia" w:hAnsiTheme="minorEastAsia" w:cs="宋体"/>
                <w:color w:val="000000" w:themeColor="text1"/>
                <w:kern w:val="0"/>
              </w:rPr>
              <w:t>2.76</w:t>
            </w:r>
          </w:p>
        </w:tc>
      </w:tr>
    </w:tbl>
    <w:p w:rsidR="001F563C" w:rsidRDefault="001F563C">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5.7 </w:t>
      </w:r>
      <w:r>
        <w:rPr>
          <w:rFonts w:asciiTheme="minorEastAsia" w:eastAsiaTheme="minorEastAsia" w:hAnsiTheme="minorEastAsia" w:hint="eastAsia"/>
          <w:b/>
          <w:bCs/>
          <w:color w:val="000000" w:themeColor="text1"/>
          <w:kern w:val="0"/>
          <w:sz w:val="24"/>
          <w:szCs w:val="24"/>
        </w:rPr>
        <w:t>报告期末按公允价值占基金资产净值比例大小排序的前五名贵金属投资明</w:t>
      </w:r>
      <w:r>
        <w:rPr>
          <w:rFonts w:asciiTheme="minorEastAsia" w:eastAsiaTheme="minorEastAsia" w:hAnsiTheme="minorEastAsia" w:hint="eastAsia"/>
          <w:b/>
          <w:bCs/>
          <w:color w:val="000000" w:themeColor="text1"/>
          <w:kern w:val="0"/>
          <w:sz w:val="24"/>
          <w:szCs w:val="24"/>
        </w:rPr>
        <w:lastRenderedPageBreak/>
        <w:t>细</w:t>
      </w:r>
    </w:p>
    <w:p w:rsidR="001F563C" w:rsidRDefault="00CC0311">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1F563C" w:rsidRDefault="001F563C">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 xml:space="preserve">5.9 </w:t>
      </w:r>
      <w:r>
        <w:rPr>
          <w:rFonts w:asciiTheme="minorEastAsia" w:eastAsiaTheme="minorEastAsia" w:hAnsiTheme="minorEastAsia" w:hint="eastAsia"/>
          <w:b/>
          <w:bCs/>
          <w:color w:val="000000" w:themeColor="text1"/>
          <w:kern w:val="0"/>
          <w:sz w:val="24"/>
          <w:szCs w:val="24"/>
        </w:rPr>
        <w:t>报告期末本基金投资的股指期货交易情况说明</w:t>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1F563C" w:rsidRDefault="001F563C">
      <w:pPr>
        <w:adjustRightInd w:val="0"/>
        <w:snapToGrid w:val="0"/>
        <w:spacing w:line="360" w:lineRule="exact"/>
        <w:rPr>
          <w:rFonts w:asciiTheme="minorEastAsia" w:eastAsiaTheme="minorEastAsia" w:hAnsiTheme="minorEastAsia"/>
          <w:color w:val="000000" w:themeColor="text1"/>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w:t>
      </w:r>
      <w:r>
        <w:rPr>
          <w:rFonts w:asciiTheme="minorEastAsia" w:eastAsiaTheme="minorEastAsia" w:hAnsiTheme="minorEastAsia" w:hint="eastAsia"/>
          <w:b/>
          <w:bCs/>
          <w:color w:val="000000" w:themeColor="text1"/>
          <w:kern w:val="0"/>
          <w:sz w:val="24"/>
          <w:szCs w:val="24"/>
        </w:rPr>
        <w:t>报告期末本基金投资的国债期货交易情况说明</w:t>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1F563C" w:rsidRDefault="00CC031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1F563C" w:rsidRDefault="00CC031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1F563C">
        <w:tc>
          <w:tcPr>
            <w:tcW w:w="1235"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1F563C" w:rsidRDefault="00CC0311">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rPr>
              <w:t>)</w:t>
            </w:r>
          </w:p>
        </w:tc>
      </w:tr>
      <w:tr w:rsidR="001F563C">
        <w:tc>
          <w:tcPr>
            <w:tcW w:w="1235" w:type="dxa"/>
            <w:vAlign w:val="center"/>
          </w:tcPr>
          <w:p w:rsidR="001F563C" w:rsidRDefault="00CC031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1F563C" w:rsidRDefault="00CC031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89,522.08</w:t>
            </w:r>
          </w:p>
        </w:tc>
      </w:tr>
      <w:tr w:rsidR="001F563C">
        <w:tc>
          <w:tcPr>
            <w:tcW w:w="1235" w:type="dxa"/>
            <w:vAlign w:val="center"/>
          </w:tcPr>
          <w:p w:rsidR="001F563C" w:rsidRDefault="00CC031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1F563C" w:rsidRDefault="00CC031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573,260.24</w:t>
            </w:r>
          </w:p>
        </w:tc>
      </w:tr>
      <w:tr w:rsidR="001F563C">
        <w:tc>
          <w:tcPr>
            <w:tcW w:w="1235" w:type="dxa"/>
            <w:vAlign w:val="center"/>
          </w:tcPr>
          <w:p w:rsidR="001F563C" w:rsidRDefault="00CC031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1F563C" w:rsidRDefault="00CC031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1F563C">
        <w:tc>
          <w:tcPr>
            <w:tcW w:w="1235" w:type="dxa"/>
            <w:vAlign w:val="center"/>
          </w:tcPr>
          <w:p w:rsidR="001F563C" w:rsidRDefault="00CC031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1F563C" w:rsidRDefault="00CC031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768,663.14</w:t>
            </w:r>
          </w:p>
        </w:tc>
      </w:tr>
      <w:tr w:rsidR="001F563C">
        <w:tc>
          <w:tcPr>
            <w:tcW w:w="1235" w:type="dxa"/>
            <w:vAlign w:val="center"/>
          </w:tcPr>
          <w:p w:rsidR="001F563C" w:rsidRDefault="00CC031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1F563C" w:rsidRDefault="00CC031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212,097.76</w:t>
            </w:r>
          </w:p>
        </w:tc>
      </w:tr>
      <w:tr w:rsidR="001F563C">
        <w:tc>
          <w:tcPr>
            <w:tcW w:w="1235" w:type="dxa"/>
            <w:vAlign w:val="center"/>
          </w:tcPr>
          <w:p w:rsidR="001F563C" w:rsidRDefault="00CC031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1F563C" w:rsidRDefault="00CC031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1F563C">
        <w:tc>
          <w:tcPr>
            <w:tcW w:w="1235" w:type="dxa"/>
            <w:vAlign w:val="center"/>
          </w:tcPr>
          <w:p w:rsidR="001F563C" w:rsidRDefault="00CC031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1F563C" w:rsidRDefault="00CC0311">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1F563C">
        <w:tc>
          <w:tcPr>
            <w:tcW w:w="1235" w:type="dxa"/>
            <w:vAlign w:val="center"/>
          </w:tcPr>
          <w:p w:rsidR="001F563C" w:rsidRDefault="00CC031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1F563C" w:rsidRDefault="00CC031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1F563C">
        <w:tc>
          <w:tcPr>
            <w:tcW w:w="1235" w:type="dxa"/>
            <w:vAlign w:val="center"/>
          </w:tcPr>
          <w:p w:rsidR="001F563C" w:rsidRDefault="00CC0311">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1F563C" w:rsidRDefault="00CC0311">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1,643,543.22</w:t>
            </w:r>
          </w:p>
        </w:tc>
      </w:tr>
    </w:tbl>
    <w:p w:rsidR="001F563C" w:rsidRDefault="001F563C">
      <w:pPr>
        <w:autoSpaceDE w:val="0"/>
        <w:autoSpaceDN w:val="0"/>
        <w:adjustRightInd w:val="0"/>
        <w:spacing w:line="360" w:lineRule="auto"/>
        <w:rPr>
          <w:rFonts w:asciiTheme="minorEastAsia" w:eastAsiaTheme="minorEastAsia" w:hAnsiTheme="minorEastAsia"/>
          <w:color w:val="000000" w:themeColor="text1"/>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w:t>
      </w:r>
      <w:r>
        <w:rPr>
          <w:rFonts w:asciiTheme="minorEastAsia" w:eastAsiaTheme="minorEastAsia" w:hAnsiTheme="minorEastAsia" w:hint="eastAsia"/>
          <w:b/>
          <w:bCs/>
          <w:color w:val="000000" w:themeColor="text1"/>
          <w:kern w:val="0"/>
          <w:sz w:val="24"/>
          <w:szCs w:val="24"/>
        </w:rPr>
        <w:t>报告期末持有的处于转股期的可转换债券明细</w:t>
      </w:r>
    </w:p>
    <w:tbl>
      <w:tblPr>
        <w:tblStyle w:val="af8"/>
        <w:tblW w:w="8513" w:type="dxa"/>
        <w:tblInd w:w="15" w:type="dxa"/>
        <w:tblLayout w:type="fixed"/>
        <w:tblLook w:val="04A0" w:firstRow="1" w:lastRow="0" w:firstColumn="1" w:lastColumn="0" w:noHBand="0" w:noVBand="1"/>
      </w:tblPr>
      <w:tblGrid>
        <w:gridCol w:w="1808"/>
        <w:gridCol w:w="1729"/>
        <w:gridCol w:w="1658"/>
        <w:gridCol w:w="1697"/>
        <w:gridCol w:w="1621"/>
      </w:tblGrid>
      <w:tr w:rsidR="001F563C">
        <w:tc>
          <w:tcPr>
            <w:tcW w:w="1808"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lastRenderedPageBreak/>
              <w:t>序号</w:t>
            </w:r>
          </w:p>
        </w:tc>
        <w:tc>
          <w:tcPr>
            <w:tcW w:w="1729"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658"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697"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21" w:type="dxa"/>
            <w:vAlign w:val="center"/>
          </w:tcPr>
          <w:p w:rsidR="001F563C" w:rsidRDefault="00CC0311">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r>
              <w:rPr>
                <w:rFonts w:asciiTheme="minorEastAsia" w:eastAsiaTheme="minorEastAsia" w:hAnsiTheme="minorEastAsia" w:cs="宋体"/>
                <w:color w:val="000000" w:themeColor="text1"/>
                <w:kern w:val="0"/>
              </w:rPr>
              <w:t>(%)</w:t>
            </w:r>
          </w:p>
        </w:tc>
      </w:tr>
      <w:tr w:rsidR="001F563C">
        <w:tc>
          <w:tcPr>
            <w:tcW w:w="1808" w:type="dxa"/>
            <w:vAlign w:val="center"/>
          </w:tcPr>
          <w:p w:rsidR="001F563C" w:rsidRDefault="00CC0311">
            <w:pPr>
              <w:jc w:val="center"/>
            </w:pPr>
            <w:r>
              <w:rPr>
                <w:rFonts w:asciiTheme="minorEastAsia" w:eastAsiaTheme="minorEastAsia" w:hAnsiTheme="minorEastAsia" w:cs="宋体"/>
                <w:color w:val="000000" w:themeColor="text1"/>
                <w:kern w:val="0"/>
              </w:rPr>
              <w:t>1</w:t>
            </w:r>
          </w:p>
        </w:tc>
        <w:tc>
          <w:tcPr>
            <w:tcW w:w="1729" w:type="dxa"/>
            <w:vAlign w:val="center"/>
          </w:tcPr>
          <w:p w:rsidR="001F563C" w:rsidRDefault="00CC0311">
            <w:pPr>
              <w:jc w:val="center"/>
            </w:pPr>
            <w:r>
              <w:rPr>
                <w:rFonts w:asciiTheme="minorEastAsia" w:eastAsiaTheme="minorEastAsia" w:hAnsiTheme="minorEastAsia" w:cs="宋体"/>
                <w:color w:val="000000" w:themeColor="text1"/>
                <w:kern w:val="0"/>
              </w:rPr>
              <w:t>110054</w:t>
            </w:r>
          </w:p>
        </w:tc>
        <w:tc>
          <w:tcPr>
            <w:tcW w:w="1658" w:type="dxa"/>
            <w:vAlign w:val="center"/>
          </w:tcPr>
          <w:p w:rsidR="001F563C" w:rsidRDefault="00CC0311">
            <w:pPr>
              <w:jc w:val="center"/>
            </w:pPr>
            <w:r>
              <w:rPr>
                <w:rFonts w:asciiTheme="minorEastAsia" w:eastAsiaTheme="minorEastAsia" w:hAnsiTheme="minorEastAsia" w:cs="宋体"/>
                <w:color w:val="000000" w:themeColor="text1"/>
                <w:kern w:val="0"/>
              </w:rPr>
              <w:t>通威转债</w:t>
            </w:r>
          </w:p>
        </w:tc>
        <w:tc>
          <w:tcPr>
            <w:tcW w:w="1697" w:type="dxa"/>
            <w:vAlign w:val="center"/>
          </w:tcPr>
          <w:p w:rsidR="001F563C" w:rsidRDefault="00CC0311">
            <w:pPr>
              <w:jc w:val="right"/>
            </w:pPr>
            <w:r>
              <w:rPr>
                <w:rFonts w:asciiTheme="minorEastAsia" w:eastAsiaTheme="minorEastAsia" w:hAnsiTheme="minorEastAsia" w:cs="宋体"/>
                <w:color w:val="000000" w:themeColor="text1"/>
                <w:kern w:val="0"/>
              </w:rPr>
              <w:t>751,899.00</w:t>
            </w:r>
          </w:p>
        </w:tc>
        <w:tc>
          <w:tcPr>
            <w:tcW w:w="1621" w:type="dxa"/>
            <w:vAlign w:val="center"/>
          </w:tcPr>
          <w:p w:rsidR="001F563C" w:rsidRDefault="00CC0311">
            <w:pPr>
              <w:jc w:val="right"/>
            </w:pPr>
            <w:r>
              <w:rPr>
                <w:rFonts w:asciiTheme="minorEastAsia" w:eastAsiaTheme="minorEastAsia" w:hAnsiTheme="minorEastAsia" w:cs="宋体"/>
                <w:color w:val="000000" w:themeColor="text1"/>
                <w:kern w:val="0"/>
              </w:rPr>
              <w:t>0.30</w:t>
            </w:r>
          </w:p>
        </w:tc>
      </w:tr>
    </w:tbl>
    <w:p w:rsidR="001F563C" w:rsidRDefault="001F563C">
      <w:pPr>
        <w:autoSpaceDE w:val="0"/>
        <w:autoSpaceDN w:val="0"/>
        <w:adjustRightInd w:val="0"/>
        <w:spacing w:line="360" w:lineRule="auto"/>
        <w:rPr>
          <w:rFonts w:asciiTheme="minorEastAsia" w:eastAsiaTheme="minorEastAsia" w:hAnsiTheme="minorEastAsia"/>
          <w:color w:val="000000" w:themeColor="text1"/>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报告期末前十名股票中存在流通受限情况的说明</w:t>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1F563C" w:rsidRDefault="001F563C">
      <w:pPr>
        <w:autoSpaceDE w:val="0"/>
        <w:autoSpaceDN w:val="0"/>
        <w:adjustRightInd w:val="0"/>
        <w:spacing w:line="360" w:lineRule="auto"/>
        <w:rPr>
          <w:rFonts w:asciiTheme="minorEastAsia" w:eastAsiaTheme="minorEastAsia" w:hAnsiTheme="minorEastAsia"/>
          <w:color w:val="000000" w:themeColor="text1"/>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w:t>
      </w:r>
      <w:r>
        <w:rPr>
          <w:rFonts w:asciiTheme="minorEastAsia" w:eastAsiaTheme="minorEastAsia" w:hAnsiTheme="minorEastAsia" w:hint="eastAsia"/>
          <w:b/>
          <w:bCs/>
          <w:color w:val="000000" w:themeColor="text1"/>
          <w:kern w:val="0"/>
          <w:sz w:val="24"/>
          <w:szCs w:val="24"/>
        </w:rPr>
        <w:t>投资组合报告附注的其他文字描述部分</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1F563C" w:rsidRDefault="00CC031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1F563C" w:rsidRDefault="00CC031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1F563C">
        <w:tc>
          <w:tcPr>
            <w:tcW w:w="4609"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134,816,859.44</w:t>
            </w:r>
          </w:p>
        </w:tc>
      </w:tr>
      <w:tr w:rsidR="001F563C">
        <w:tc>
          <w:tcPr>
            <w:tcW w:w="4609"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5,546,302.59</w:t>
            </w:r>
          </w:p>
        </w:tc>
      </w:tr>
      <w:tr w:rsidR="001F563C">
        <w:tc>
          <w:tcPr>
            <w:tcW w:w="4609"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6,936,743.17</w:t>
            </w:r>
          </w:p>
        </w:tc>
      </w:tr>
      <w:tr w:rsidR="001F563C">
        <w:tc>
          <w:tcPr>
            <w:tcW w:w="4609"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1F563C">
        <w:tc>
          <w:tcPr>
            <w:tcW w:w="4609"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1F563C" w:rsidRDefault="00CC0311">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133,426,418.86</w:t>
            </w:r>
          </w:p>
        </w:tc>
      </w:tr>
    </w:tbl>
    <w:p w:rsidR="001F563C" w:rsidRDefault="00CC0311">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w:t>
      </w: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1F563C" w:rsidRDefault="00CC0311">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1F563C" w:rsidRDefault="00CC0311">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1F563C" w:rsidRDefault="001F563C">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1F563C" w:rsidRDefault="00CC031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、中国证监会批准上投摩根双核平衡混合型证券投资基金设立的文件；</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、《上投摩根双核平衡混合型证券投资基金基金合同》；</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、《上投摩根双核平衡混合型证券投资基金托管协议》；</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4</w:t>
      </w:r>
      <w:r>
        <w:rPr>
          <w:rFonts w:asciiTheme="minorEastAsia" w:eastAsiaTheme="minorEastAsia" w:hAnsiTheme="minorEastAsia" w:hint="eastAsia"/>
          <w:color w:val="000000" w:themeColor="text1"/>
        </w:rPr>
        <w:t>、《上投摩根开放式基金业务规则》；</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、基金管理人业务资格批件、营业执照；</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、基金托管人业务资格批件和营业执照。</w:t>
      </w:r>
    </w:p>
    <w:p w:rsidR="001F563C" w:rsidRDefault="001F563C">
      <w:pPr>
        <w:spacing w:line="360" w:lineRule="auto"/>
        <w:ind w:firstLineChars="200" w:firstLine="480"/>
        <w:rPr>
          <w:rFonts w:asciiTheme="minorEastAsia" w:eastAsiaTheme="minorEastAsia" w:hAnsiTheme="minorEastAsia"/>
          <w:color w:val="000000" w:themeColor="text1"/>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1F563C" w:rsidRDefault="001F563C">
      <w:pPr>
        <w:spacing w:line="360" w:lineRule="auto"/>
        <w:ind w:firstLineChars="200" w:firstLine="480"/>
        <w:rPr>
          <w:rFonts w:asciiTheme="minorEastAsia" w:eastAsiaTheme="minorEastAsia" w:hAnsiTheme="minorEastAsia"/>
          <w:color w:val="000000" w:themeColor="text1"/>
          <w:sz w:val="24"/>
          <w:szCs w:val="24"/>
        </w:rPr>
      </w:pPr>
    </w:p>
    <w:p w:rsidR="001F563C" w:rsidRDefault="00CC0311">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1F563C" w:rsidRDefault="00CC0311">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1F563C" w:rsidRDefault="001F563C">
      <w:pPr>
        <w:spacing w:line="360" w:lineRule="auto"/>
        <w:ind w:left="840"/>
        <w:jc w:val="right"/>
        <w:rPr>
          <w:rFonts w:asciiTheme="minorEastAsia" w:eastAsiaTheme="minorEastAsia" w:hAnsiTheme="minorEastAsia"/>
          <w:color w:val="000000" w:themeColor="text1"/>
          <w:sz w:val="24"/>
          <w:szCs w:val="24"/>
        </w:rPr>
      </w:pPr>
    </w:p>
    <w:p w:rsidR="001F563C" w:rsidRDefault="001F563C">
      <w:pPr>
        <w:spacing w:line="360" w:lineRule="auto"/>
        <w:ind w:left="840"/>
        <w:jc w:val="right"/>
        <w:rPr>
          <w:rFonts w:asciiTheme="minorEastAsia" w:eastAsiaTheme="minorEastAsia" w:hAnsiTheme="minorEastAsia"/>
          <w:color w:val="000000" w:themeColor="text1"/>
          <w:sz w:val="24"/>
          <w:szCs w:val="24"/>
        </w:rPr>
      </w:pPr>
    </w:p>
    <w:p w:rsidR="001F563C" w:rsidRDefault="001F563C">
      <w:pPr>
        <w:spacing w:line="360" w:lineRule="auto"/>
        <w:ind w:left="840"/>
        <w:jc w:val="right"/>
        <w:rPr>
          <w:rFonts w:asciiTheme="minorEastAsia" w:eastAsiaTheme="minorEastAsia" w:hAnsiTheme="minorEastAsia"/>
          <w:color w:val="000000" w:themeColor="text1"/>
          <w:sz w:val="24"/>
          <w:szCs w:val="24"/>
        </w:rPr>
      </w:pPr>
    </w:p>
    <w:p w:rsidR="001F563C" w:rsidRDefault="001F563C">
      <w:pPr>
        <w:spacing w:line="360" w:lineRule="auto"/>
        <w:ind w:left="840"/>
        <w:jc w:val="right"/>
        <w:rPr>
          <w:rFonts w:asciiTheme="minorEastAsia" w:eastAsiaTheme="minorEastAsia" w:hAnsiTheme="minorEastAsia"/>
          <w:color w:val="000000" w:themeColor="text1"/>
          <w:sz w:val="24"/>
          <w:szCs w:val="24"/>
        </w:rPr>
      </w:pPr>
    </w:p>
    <w:p w:rsidR="001F563C" w:rsidRDefault="001F563C">
      <w:pPr>
        <w:spacing w:line="360" w:lineRule="auto"/>
        <w:ind w:left="840"/>
        <w:jc w:val="right"/>
        <w:rPr>
          <w:rFonts w:asciiTheme="minorEastAsia" w:eastAsiaTheme="minorEastAsia" w:hAnsiTheme="minorEastAsia"/>
          <w:color w:val="000000" w:themeColor="text1"/>
          <w:sz w:val="24"/>
          <w:szCs w:val="24"/>
        </w:rPr>
      </w:pPr>
    </w:p>
    <w:p w:rsidR="001F563C" w:rsidRDefault="001F563C">
      <w:pPr>
        <w:spacing w:line="360" w:lineRule="auto"/>
        <w:ind w:left="840"/>
        <w:jc w:val="right"/>
        <w:rPr>
          <w:rFonts w:asciiTheme="minorEastAsia" w:eastAsiaTheme="minorEastAsia" w:hAnsiTheme="minorEastAsia"/>
          <w:color w:val="000000" w:themeColor="text1"/>
          <w:sz w:val="24"/>
          <w:szCs w:val="24"/>
        </w:rPr>
      </w:pPr>
    </w:p>
    <w:p w:rsidR="001F563C" w:rsidRDefault="001F563C">
      <w:pPr>
        <w:spacing w:line="360" w:lineRule="auto"/>
        <w:ind w:left="840"/>
        <w:jc w:val="right"/>
        <w:rPr>
          <w:rFonts w:asciiTheme="minorEastAsia" w:eastAsiaTheme="minorEastAsia" w:hAnsiTheme="minorEastAsia"/>
          <w:color w:val="000000" w:themeColor="text1"/>
          <w:sz w:val="24"/>
          <w:szCs w:val="24"/>
        </w:rPr>
      </w:pPr>
    </w:p>
    <w:p w:rsidR="001F563C" w:rsidRDefault="001F563C">
      <w:pPr>
        <w:spacing w:line="360" w:lineRule="auto"/>
        <w:ind w:left="840"/>
        <w:jc w:val="right"/>
        <w:rPr>
          <w:rFonts w:asciiTheme="minorEastAsia" w:eastAsiaTheme="minorEastAsia" w:hAnsiTheme="minorEastAsia"/>
          <w:color w:val="000000" w:themeColor="text1"/>
          <w:sz w:val="24"/>
          <w:szCs w:val="24"/>
        </w:rPr>
      </w:pPr>
    </w:p>
    <w:p w:rsidR="001F563C" w:rsidRDefault="00CC0311">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1F563C" w:rsidRDefault="00CC0311">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二〇一九年十月二十五日</w:t>
      </w:r>
    </w:p>
    <w:p w:rsidR="001F563C" w:rsidRDefault="001F563C">
      <w:pPr>
        <w:spacing w:line="360" w:lineRule="auto"/>
        <w:ind w:left="840"/>
        <w:jc w:val="right"/>
        <w:rPr>
          <w:rFonts w:asciiTheme="minorEastAsia" w:eastAsiaTheme="minorEastAsia" w:hAnsiTheme="minorEastAsia"/>
          <w:b/>
          <w:bCs/>
          <w:color w:val="000000" w:themeColor="text1"/>
          <w:sz w:val="24"/>
          <w:szCs w:val="24"/>
        </w:rPr>
      </w:pPr>
    </w:p>
    <w:p w:rsidR="001F563C" w:rsidRDefault="001F563C">
      <w:pPr>
        <w:rPr>
          <w:rFonts w:asciiTheme="minorEastAsia" w:eastAsiaTheme="minorEastAsia" w:hAnsiTheme="minorEastAsia"/>
          <w:color w:val="000000" w:themeColor="text1"/>
          <w:sz w:val="24"/>
          <w:szCs w:val="24"/>
        </w:rPr>
      </w:pPr>
    </w:p>
    <w:sectPr w:rsidR="001F563C">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0311">
      <w:r>
        <w:separator/>
      </w:r>
    </w:p>
  </w:endnote>
  <w:endnote w:type="continuationSeparator" w:id="0">
    <w:p w:rsidR="00000000" w:rsidRDefault="00CC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3C" w:rsidRDefault="00CC0311">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Pr="00CC0311">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3C" w:rsidRDefault="00CC0311">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3</w:t>
    </w:r>
    <w:r>
      <w:rPr>
        <w:rStyle w:val="af3"/>
      </w:rPr>
      <w:fldChar w:fldCharType="end"/>
    </w:r>
  </w:p>
  <w:p w:rsidR="001F563C" w:rsidRDefault="001F56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0311">
      <w:r>
        <w:separator/>
      </w:r>
    </w:p>
  </w:footnote>
  <w:footnote w:type="continuationSeparator" w:id="0">
    <w:p w:rsidR="00000000" w:rsidRDefault="00CC0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3C" w:rsidRDefault="00CC0311">
    <w:pPr>
      <w:pStyle w:val="ad"/>
      <w:pBdr>
        <w:bottom w:val="single" w:sz="6" w:space="0" w:color="auto"/>
      </w:pBdr>
      <w:jc w:val="right"/>
    </w:pPr>
    <w:r>
      <w:rPr>
        <w:rFonts w:hint="eastAsia"/>
      </w:rPr>
      <w:t>上投摩根双核平衡混合型证券投资基金</w:t>
    </w:r>
    <w:r>
      <w:rPr>
        <w:rFonts w:hint="eastAsia"/>
      </w:rPr>
      <w:t>2019</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63C"/>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C0311"/>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EE409-B7AF-486A-9872-EC513509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7BEED-76FC-4706-8D66-28530A89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WenYu Qiu</cp:lastModifiedBy>
  <cp:revision>265</cp:revision>
  <dcterms:created xsi:type="dcterms:W3CDTF">2012-10-16T06:07:00Z</dcterms:created>
  <dcterms:modified xsi:type="dcterms:W3CDTF">2019-10-24T03:09:00Z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