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8E5A1C">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上投摩根双核平衡混合型证券投资基金</w:t>
      </w:r>
    </w:p>
    <w:p w:rsidR="00051BE6" w:rsidRDefault="008E5A1C">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1</w:t>
      </w:r>
      <w:r>
        <w:rPr>
          <w:rFonts w:asciiTheme="minorEastAsia" w:eastAsiaTheme="minorEastAsia" w:hAnsiTheme="minorEastAsia" w:hint="eastAsia"/>
          <w:b/>
          <w:color w:val="000000" w:themeColor="text1"/>
          <w:sz w:val="36"/>
          <w:szCs w:val="36"/>
        </w:rPr>
        <w:t>季度报告</w:t>
      </w:r>
    </w:p>
    <w:p w:rsidR="00051BE6" w:rsidRDefault="008E5A1C">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3</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31</w:t>
      </w:r>
      <w:r>
        <w:rPr>
          <w:rFonts w:asciiTheme="minorEastAsia" w:eastAsiaTheme="minorEastAsia" w:hAnsiTheme="minorEastAsia"/>
          <w:b/>
          <w:color w:val="000000" w:themeColor="text1"/>
          <w:sz w:val="24"/>
          <w:szCs w:val="24"/>
        </w:rPr>
        <w:t>日</w:t>
      </w:r>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jc w:val="center"/>
        <w:rPr>
          <w:rFonts w:asciiTheme="minorEastAsia" w:eastAsiaTheme="minorEastAsia" w:hAnsiTheme="minorEastAsia"/>
          <w:b/>
          <w:bCs/>
          <w:color w:val="000000" w:themeColor="text1"/>
          <w:sz w:val="24"/>
          <w:szCs w:val="24"/>
        </w:rPr>
      </w:pPr>
      <w:bookmarkStart w:id="0" w:name="_GoBack"/>
      <w:bookmarkEnd w:id="0"/>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jc w:val="center"/>
        <w:rPr>
          <w:rFonts w:asciiTheme="minorEastAsia" w:eastAsiaTheme="minorEastAsia" w:hAnsiTheme="minorEastAsia"/>
          <w:b/>
          <w:bCs/>
          <w:color w:val="000000" w:themeColor="text1"/>
          <w:sz w:val="24"/>
          <w:szCs w:val="24"/>
        </w:rPr>
      </w:pPr>
    </w:p>
    <w:p w:rsidR="00051BE6" w:rsidRDefault="00051BE6">
      <w:pPr>
        <w:spacing w:line="360" w:lineRule="auto"/>
        <w:rPr>
          <w:rFonts w:asciiTheme="minorEastAsia" w:eastAsiaTheme="minorEastAsia" w:hAnsiTheme="minorEastAsia"/>
          <w:b/>
          <w:bCs/>
          <w:color w:val="000000" w:themeColor="text1"/>
          <w:sz w:val="24"/>
          <w:szCs w:val="24"/>
        </w:rPr>
      </w:pPr>
    </w:p>
    <w:p w:rsidR="00051BE6" w:rsidRDefault="008E5A1C">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051BE6" w:rsidRDefault="008E5A1C">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中国工商银行股份有限公司</w:t>
      </w:r>
    </w:p>
    <w:p w:rsidR="00051BE6" w:rsidRDefault="008E5A1C">
      <w:pPr>
        <w:spacing w:line="360" w:lineRule="auto"/>
        <w:ind w:firstLineChars="900" w:firstLine="2168"/>
        <w:rPr>
          <w:rFonts w:asciiTheme="minorEastAsia" w:eastAsiaTheme="minorEastAsia" w:hAnsiTheme="minorEastAsia"/>
          <w:b/>
          <w:color w:val="000000" w:themeColor="text1"/>
          <w:sz w:val="24"/>
          <w:szCs w:val="24"/>
        </w:rPr>
        <w:sectPr w:rsidR="00051BE6">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二〇一九年四月十九日</w:t>
      </w:r>
    </w:p>
    <w:p w:rsidR="00051BE6" w:rsidRDefault="008E5A1C">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基金托管人中国工商银行股份有限公司根据本基金合同规定，于</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18</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日止。</w:t>
      </w:r>
    </w:p>
    <w:p w:rsidR="00051BE6" w:rsidRDefault="008E5A1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051BE6">
        <w:tc>
          <w:tcPr>
            <w:tcW w:w="2835"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上投摩根双核平衡混合</w:t>
            </w:r>
          </w:p>
        </w:tc>
      </w:tr>
      <w:tr w:rsidR="00051BE6">
        <w:tc>
          <w:tcPr>
            <w:tcW w:w="2835" w:type="dxa"/>
            <w:tcBorders>
              <w:top w:val="single" w:sz="4" w:space="0" w:color="auto"/>
              <w:left w:val="single" w:sz="4" w:space="0" w:color="auto"/>
              <w:bottom w:val="single" w:sz="4" w:space="0" w:color="auto"/>
              <w:right w:val="single" w:sz="4" w:space="0" w:color="auto"/>
            </w:tcBorders>
            <w:vAlign w:val="center"/>
          </w:tcPr>
          <w:p w:rsidR="00051BE6" w:rsidRDefault="008E5A1C">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051BE6" w:rsidRDefault="008E5A1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373020</w:t>
            </w:r>
          </w:p>
        </w:tc>
      </w:tr>
      <w:tr w:rsidR="00051BE6">
        <w:tc>
          <w:tcPr>
            <w:tcW w:w="2835" w:type="dxa"/>
            <w:tcBorders>
              <w:top w:val="single" w:sz="4" w:space="0" w:color="auto"/>
              <w:left w:val="single" w:sz="4" w:space="0" w:color="auto"/>
              <w:bottom w:val="single" w:sz="4" w:space="0" w:color="auto"/>
              <w:right w:val="single" w:sz="4" w:space="0" w:color="auto"/>
            </w:tcBorders>
            <w:vAlign w:val="center"/>
          </w:tcPr>
          <w:p w:rsidR="00051BE6" w:rsidRDefault="008E5A1C">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051BE6" w:rsidRDefault="008E5A1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373020</w:t>
            </w:r>
          </w:p>
        </w:tc>
      </w:tr>
      <w:tr w:rsidR="00051BE6">
        <w:tc>
          <w:tcPr>
            <w:tcW w:w="2835"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051BE6">
        <w:tc>
          <w:tcPr>
            <w:tcW w:w="2835"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2008</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5</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21</w:t>
            </w:r>
            <w:r>
              <w:rPr>
                <w:rFonts w:asciiTheme="minorEastAsia" w:eastAsiaTheme="minorEastAsia" w:hAnsiTheme="minorEastAsia"/>
                <w:color w:val="000000" w:themeColor="text1"/>
                <w:kern w:val="0"/>
              </w:rPr>
              <w:t>日</w:t>
            </w:r>
          </w:p>
        </w:tc>
      </w:tr>
      <w:tr w:rsidR="00051BE6">
        <w:tc>
          <w:tcPr>
            <w:tcW w:w="2835"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139,068,969.32</w:t>
            </w:r>
            <w:r>
              <w:rPr>
                <w:rFonts w:asciiTheme="minorEastAsia" w:eastAsiaTheme="minorEastAsia" w:hAnsiTheme="minorEastAsia" w:hint="eastAsia"/>
                <w:color w:val="000000" w:themeColor="text1"/>
                <w:kern w:val="0"/>
              </w:rPr>
              <w:t>份</w:t>
            </w:r>
          </w:p>
        </w:tc>
      </w:tr>
      <w:tr w:rsidR="00051BE6">
        <w:tc>
          <w:tcPr>
            <w:tcW w:w="2835"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本基金深化价值投资理念，精选具备较高估值优势的上市公司股票与优质债券等，持续优化投资风险与收益的动态匹配，通过积极主动的组合管理，追求基金资产的长期稳定增值。</w:t>
            </w:r>
          </w:p>
        </w:tc>
      </w:tr>
      <w:tr w:rsidR="00051BE6">
        <w:tc>
          <w:tcPr>
            <w:tcW w:w="2835"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、股票投资策略</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价值投资注重股票内在价值的发现。在内在价值确定以后，通过股票市场价格和内在价值的比较，就可以明确投资方向。特别当股票的价格低于它的内在价值时，就存在一个正的安全边际。足够的安全边际使投资拥有更容易取胜的优势，因为在价值引力作用下，股票价格更倾向于上涨。所以，安全边际越高，投资风险就会相对较低。</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本基金将运用安全边际策略有</w:t>
            </w:r>
            <w:r>
              <w:rPr>
                <w:rFonts w:asciiTheme="minorEastAsia" w:eastAsiaTheme="minorEastAsia" w:hAnsiTheme="minorEastAsia"/>
                <w:color w:val="000000" w:themeColor="text1"/>
                <w:kern w:val="0"/>
              </w:rPr>
              <w:t>效挖掘价值低估的股票类投资品种。在控制宏观经济趋势、产业发展周期等宏观经济环境变量基础上，考察上市公司的商业模式、管理能力、财务状况等影响企业持续经营的因素，然后综合运用量化价值模型来衡量股票价格是高估还是低估。根据不同的产业和行业特征，本基金将有针对性地选用不同的</w:t>
            </w:r>
            <w:r>
              <w:rPr>
                <w:rFonts w:asciiTheme="minorEastAsia" w:eastAsiaTheme="minorEastAsia" w:hAnsiTheme="minorEastAsia"/>
                <w:color w:val="000000" w:themeColor="text1"/>
                <w:kern w:val="0"/>
              </w:rPr>
              <w:t>P/E</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P/CFPS</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P/S</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P/B</w:t>
            </w:r>
            <w:r>
              <w:rPr>
                <w:rFonts w:asciiTheme="minorEastAsia" w:eastAsiaTheme="minorEastAsia" w:hAnsiTheme="minorEastAsia"/>
                <w:color w:val="000000" w:themeColor="text1"/>
                <w:kern w:val="0"/>
              </w:rPr>
              <w:t>等乘数法和</w:t>
            </w:r>
            <w:r>
              <w:rPr>
                <w:rFonts w:asciiTheme="minorEastAsia" w:eastAsiaTheme="minorEastAsia" w:hAnsiTheme="minorEastAsia"/>
                <w:color w:val="000000" w:themeColor="text1"/>
                <w:kern w:val="0"/>
              </w:rPr>
              <w:t>DCF</w:t>
            </w:r>
            <w:r>
              <w:rPr>
                <w:rFonts w:asciiTheme="minorEastAsia" w:eastAsiaTheme="minorEastAsia" w:hAnsiTheme="minorEastAsia"/>
                <w:color w:val="000000" w:themeColor="text1"/>
                <w:kern w:val="0"/>
              </w:rPr>
              <w:t>增长模型建立股票选择池。</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）宏观经济分析</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本基金基于对宏观经济运行状况及政策分析、财政政策与货币政策运行状况分析、行业运行景气状况分析的基础上，重点判断宏观经济周期对市场不同行业的影响，作为</w:t>
            </w:r>
            <w:r>
              <w:rPr>
                <w:rFonts w:asciiTheme="minorEastAsia" w:eastAsiaTheme="minorEastAsia" w:hAnsiTheme="minorEastAsia"/>
                <w:color w:val="000000" w:themeColor="text1"/>
                <w:kern w:val="0"/>
              </w:rPr>
              <w:t>资产配置的依据。同时根据宏观经济对市场影响的分析，初步判断市场的多空方向，决定大类资产配置。</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）行业分析</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3</w:t>
            </w:r>
            <w:r>
              <w:rPr>
                <w:rFonts w:asciiTheme="minorEastAsia" w:eastAsiaTheme="minorEastAsia" w:hAnsiTheme="minorEastAsia"/>
                <w:color w:val="000000" w:themeColor="text1"/>
                <w:kern w:val="0"/>
              </w:rPr>
              <w:t>）公司质地分析</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企业在行业中的相对竞争力是决定企业成败和投资价值的关键，本基金将根据公司质地对上市公司当前和未来的竞争优势加以评估。公司质地良好的企业通常具</w:t>
            </w:r>
            <w:r>
              <w:rPr>
                <w:rFonts w:asciiTheme="minorEastAsia" w:eastAsiaTheme="minorEastAsia" w:hAnsiTheme="minorEastAsia"/>
                <w:color w:val="000000" w:themeColor="text1"/>
                <w:kern w:val="0"/>
              </w:rPr>
              <w:t>备以下特征：企业在管理、品牌、资源、技术、创新能力中的某一方面或多个方面具有竞争对手在短时间内难以模仿的显著优势，从而能够获得超越行业平均的盈利水平和增长速度。本基金将通过包括实际调研在内的多种分析手段，对上市公司质地进行判断。</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4</w:t>
            </w:r>
            <w:r>
              <w:rPr>
                <w:rFonts w:asciiTheme="minorEastAsia" w:eastAsiaTheme="minorEastAsia" w:hAnsiTheme="minorEastAsia"/>
                <w:color w:val="000000" w:themeColor="text1"/>
                <w:kern w:val="0"/>
              </w:rPr>
              <w:t>）股票估值水平分析</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的战略目标是构造可以创造主动管理报酬的投资组合，上市公司经过竞争优势指标筛选之后，将由研究团队进行估值水平考察。通过基本面和估值指标筛选的基础组合即被纳入上投摩根基金公司策略性评价体系。本基金在对股票进行估值时，首先采用现金流折现模型（</w:t>
            </w:r>
            <w:r>
              <w:rPr>
                <w:rFonts w:asciiTheme="minorEastAsia" w:eastAsiaTheme="minorEastAsia" w:hAnsiTheme="minorEastAsia"/>
                <w:color w:val="000000" w:themeColor="text1"/>
                <w:kern w:val="0"/>
              </w:rPr>
              <w:t>DCF</w:t>
            </w:r>
            <w:r>
              <w:rPr>
                <w:rFonts w:asciiTheme="minorEastAsia" w:eastAsiaTheme="minorEastAsia" w:hAnsiTheme="minorEastAsia"/>
                <w:color w:val="000000" w:themeColor="text1"/>
                <w:kern w:val="0"/>
              </w:rPr>
              <w:t>）计算出股票的内在价值，然后在第二阶段采用乘数估值法（</w:t>
            </w:r>
            <w:r>
              <w:rPr>
                <w:rFonts w:asciiTheme="minorEastAsia" w:eastAsiaTheme="minorEastAsia" w:hAnsiTheme="minorEastAsia"/>
                <w:color w:val="000000" w:themeColor="text1"/>
                <w:kern w:val="0"/>
              </w:rPr>
              <w:t>Multiple</w:t>
            </w:r>
            <w:r>
              <w:rPr>
                <w:rFonts w:asciiTheme="minorEastAsia" w:eastAsiaTheme="minorEastAsia" w:hAnsiTheme="minorEastAsia"/>
                <w:color w:val="000000" w:themeColor="text1"/>
                <w:kern w:val="0"/>
              </w:rPr>
              <w:t>），通过对对同行业公司的情况对样本公司价值进行比较修正，使得对于股票价值的评估更加准确可靠。</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、固定收益类投资策略</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本基金的债券投资策略是建立在对债券核心内在价值的认识上。我们将采用更为有效的</w:t>
            </w:r>
            <w:r>
              <w:rPr>
                <w:rFonts w:asciiTheme="minorEastAsia" w:eastAsiaTheme="minorEastAsia" w:hAnsiTheme="minorEastAsia"/>
                <w:color w:val="000000" w:themeColor="text1"/>
                <w:kern w:val="0"/>
              </w:rPr>
              <w:t>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利率预期策略、骑乘收益曲线策略和类属资产配置策略等积极策略配置各类债券资产。</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）骑乘收</w:t>
            </w:r>
            <w:r>
              <w:rPr>
                <w:rFonts w:asciiTheme="minorEastAsia" w:eastAsiaTheme="minorEastAsia" w:hAnsiTheme="minorEastAsia"/>
                <w:color w:val="000000" w:themeColor="text1"/>
                <w:kern w:val="0"/>
              </w:rPr>
              <w:t>益率曲线策略：骑乘收益率曲线策略是短期货币市场证券管理中流行的一种策略。具体操作时买入收益率曲线最突起部位所在剩余期限的债券，这一期限的收益率水平此时处于相对较高的位置，随着一段时间的持有，当收益率下降时，对应的将是债券价格的走高，而这一期限债券的涨幅将会高于其他期限，这样就可以获得更好的价差收益。</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3</w:t>
            </w:r>
            <w:r>
              <w:rPr>
                <w:rFonts w:asciiTheme="minorEastAsia" w:eastAsiaTheme="minorEastAsia" w:hAnsiTheme="minorEastAsia"/>
                <w:color w:val="000000" w:themeColor="text1"/>
                <w:kern w:val="0"/>
              </w:rPr>
              <w:t>）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w:t>
            </w:r>
            <w:r>
              <w:rPr>
                <w:rFonts w:asciiTheme="minorEastAsia" w:eastAsiaTheme="minorEastAsia" w:hAnsiTheme="minorEastAsia"/>
                <w:color w:val="000000" w:themeColor="text1"/>
                <w:kern w:val="0"/>
              </w:rPr>
              <w:t>债、银行间国债、银行间金融债等子市场。结合各类属资产的市场容量、信用等级和流动性特点，在此基础上运用修正的均值</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方差等模型，定期对投资组合类属资产进行最优化配置和调整，确定类属资产的最优权重。</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w:t>
            </w:r>
            <w:r>
              <w:rPr>
                <w:rFonts w:asciiTheme="minorEastAsia" w:eastAsiaTheme="minorEastAsia" w:hAnsiTheme="minorEastAsia"/>
                <w:color w:val="000000" w:themeColor="text1"/>
                <w:kern w:val="0"/>
              </w:rPr>
              <w:t>、权证投资策略</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在法律法规及基金合同规定的范围内，采取积极的态度进行权证投资。权证投资的主要目的在于对冲组合中证券的持有风险，及在正确估值标的证券的基础上获取权证投资收益。本基金将采用业界广泛应用的</w:t>
            </w:r>
            <w:r>
              <w:rPr>
                <w:rFonts w:asciiTheme="minorEastAsia" w:eastAsiaTheme="minorEastAsia" w:hAnsiTheme="minorEastAsia"/>
                <w:color w:val="000000" w:themeColor="text1"/>
                <w:kern w:val="0"/>
              </w:rPr>
              <w:t xml:space="preserve">Black-Scholes Pricing </w:t>
            </w:r>
            <w:r>
              <w:rPr>
                <w:rFonts w:asciiTheme="minorEastAsia" w:eastAsiaTheme="minorEastAsia" w:hAnsiTheme="minorEastAsia"/>
                <w:color w:val="000000" w:themeColor="text1"/>
                <w:kern w:val="0"/>
              </w:rPr>
              <w:t>Model(BSPM)</w:t>
            </w:r>
            <w:r>
              <w:rPr>
                <w:rFonts w:asciiTheme="minorEastAsia" w:eastAsiaTheme="minorEastAsia" w:hAnsiTheme="minorEastAsia"/>
                <w:color w:val="000000" w:themeColor="text1"/>
                <w:kern w:val="0"/>
              </w:rPr>
              <w:t>对权证进行估价。对于股票基本面和投资价值的判断一贯是本公司投资的重要依据。在投资权证前，基金管理人员和研究员应对标的股票的基本面和内在价值作出分析判断。</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4</w:t>
            </w:r>
            <w:r>
              <w:rPr>
                <w:rFonts w:asciiTheme="minorEastAsia" w:eastAsiaTheme="minorEastAsia" w:hAnsiTheme="minorEastAsia"/>
                <w:color w:val="000000" w:themeColor="text1"/>
                <w:kern w:val="0"/>
              </w:rPr>
              <w:t>、资产支持证券投资策略</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投资资产支持证券时，将综合运用久期管理、收益率曲线、个券选择和把握市场交易机会等积极策略，在严格控制风险的情况下，通过信用研究和对个案的具体分析，确定资产合理配置比例，在保证资产安全性的前提条件下，以期获得长期稳定收益。</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5</w:t>
            </w:r>
            <w:r>
              <w:rPr>
                <w:rFonts w:asciiTheme="minorEastAsia" w:eastAsiaTheme="minorEastAsia" w:hAnsiTheme="minorEastAsia"/>
                <w:color w:val="000000" w:themeColor="text1"/>
                <w:kern w:val="0"/>
              </w:rPr>
              <w:t>、资产配置策略</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资产配置是本基金资产管理的重要环节。本基金是一只注重价值投资的平</w:t>
            </w:r>
            <w:r>
              <w:rPr>
                <w:rFonts w:asciiTheme="minorEastAsia" w:eastAsiaTheme="minorEastAsia" w:hAnsiTheme="minorEastAsia"/>
                <w:color w:val="000000" w:themeColor="text1"/>
                <w:kern w:val="0"/>
              </w:rPr>
              <w:t>衡型基金，资产配置策略依据对宏观经济、股市政策、市场趋势等因素的判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可能大的主动管理回报。</w:t>
            </w:r>
          </w:p>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w:t>
            </w:r>
            <w:r>
              <w:rPr>
                <w:rFonts w:asciiTheme="minorEastAsia" w:eastAsiaTheme="minorEastAsia" w:hAnsiTheme="minorEastAsia"/>
                <w:color w:val="000000" w:themeColor="text1"/>
                <w:kern w:val="0"/>
              </w:rPr>
              <w:t>股票市场安全边际降低，且综合考虑收益风险后投资吸引力低于固定收益资产时，本基金将降低权益类资产的配置比例；相反，在股票市场安全边际增厚时，本基金将相应增加权益类资产的配置比例。</w:t>
            </w:r>
          </w:p>
        </w:tc>
      </w:tr>
      <w:tr w:rsidR="00051BE6">
        <w:tc>
          <w:tcPr>
            <w:tcW w:w="2835"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业绩比较基准</w:t>
            </w:r>
          </w:p>
        </w:tc>
        <w:tc>
          <w:tcPr>
            <w:tcW w:w="5479"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w:t>
            </w:r>
            <w:r>
              <w:rPr>
                <w:rFonts w:asciiTheme="minorEastAsia" w:eastAsiaTheme="minorEastAsia" w:hAnsiTheme="minorEastAsia"/>
                <w:color w:val="000000" w:themeColor="text1"/>
                <w:kern w:val="0"/>
              </w:rPr>
              <w:t>300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×50%</w:t>
            </w:r>
            <w:r>
              <w:rPr>
                <w:rFonts w:asciiTheme="minorEastAsia" w:eastAsiaTheme="minorEastAsia" w:hAnsiTheme="minorEastAsia"/>
                <w:color w:val="000000" w:themeColor="text1"/>
                <w:kern w:val="0"/>
              </w:rPr>
              <w:t>＋上证国债指数收益率</w:t>
            </w:r>
            <w:r>
              <w:rPr>
                <w:rFonts w:asciiTheme="minorEastAsia" w:eastAsiaTheme="minorEastAsia" w:hAnsiTheme="minorEastAsia"/>
                <w:color w:val="000000" w:themeColor="text1"/>
                <w:kern w:val="0"/>
              </w:rPr>
              <w:t>×50</w:t>
            </w:r>
            <w:r>
              <w:rPr>
                <w:rFonts w:asciiTheme="minorEastAsia" w:eastAsiaTheme="minorEastAsia" w:hAnsiTheme="minorEastAsia"/>
                <w:color w:val="000000" w:themeColor="text1"/>
                <w:kern w:val="0"/>
              </w:rPr>
              <w:t>％</w:t>
            </w:r>
          </w:p>
        </w:tc>
      </w:tr>
      <w:tr w:rsidR="00051BE6">
        <w:tc>
          <w:tcPr>
            <w:tcW w:w="2835"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本基金是混合型基金，在证券投资基金中属于中高风险品种，其预期风险收益水平低于股票型基金，高于债券基金与货币市场基金。本基金风险收益特征会定期评估并在公司网站发布，请投资者关注。</w:t>
            </w:r>
          </w:p>
        </w:tc>
      </w:tr>
      <w:tr w:rsidR="00051BE6">
        <w:tc>
          <w:tcPr>
            <w:tcW w:w="2835"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051BE6">
        <w:tc>
          <w:tcPr>
            <w:tcW w:w="2835"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中国工商银行股份有限公司</w:t>
            </w:r>
          </w:p>
        </w:tc>
      </w:tr>
    </w:tbl>
    <w:p w:rsidR="00051BE6" w:rsidRDefault="008E5A1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051BE6" w:rsidRDefault="008E5A1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8E5A1C" w:rsidTr="008E5A1C">
        <w:tc>
          <w:tcPr>
            <w:tcW w:w="3402" w:type="dxa"/>
            <w:vAlign w:val="center"/>
          </w:tcPr>
          <w:p w:rsidR="00051BE6" w:rsidRDefault="008E5A1C">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051BE6" w:rsidRDefault="008E5A1C">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051BE6" w:rsidRDefault="008E5A1C">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3</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31</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8E5A1C" w:rsidTr="008E5A1C">
        <w:tc>
          <w:tcPr>
            <w:tcW w:w="3402"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051BE6" w:rsidRDefault="008E5A1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12,479,291.27</w:t>
            </w:r>
          </w:p>
        </w:tc>
      </w:tr>
      <w:tr w:rsidR="008E5A1C" w:rsidTr="008E5A1C">
        <w:tc>
          <w:tcPr>
            <w:tcW w:w="3402"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051BE6" w:rsidRDefault="008E5A1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41,580,039.78</w:t>
            </w:r>
          </w:p>
        </w:tc>
      </w:tr>
      <w:tr w:rsidR="008E5A1C" w:rsidTr="008E5A1C">
        <w:tc>
          <w:tcPr>
            <w:tcW w:w="3402"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051BE6" w:rsidRDefault="008E5A1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0.2968</w:t>
            </w:r>
          </w:p>
        </w:tc>
      </w:tr>
      <w:tr w:rsidR="008E5A1C" w:rsidTr="008E5A1C">
        <w:tc>
          <w:tcPr>
            <w:tcW w:w="3402"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051BE6" w:rsidRDefault="008E5A1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225,592,795.68</w:t>
            </w:r>
          </w:p>
        </w:tc>
      </w:tr>
      <w:tr w:rsidR="008E5A1C" w:rsidTr="008E5A1C">
        <w:trPr>
          <w:trHeight w:val="158"/>
        </w:trPr>
        <w:tc>
          <w:tcPr>
            <w:tcW w:w="3402" w:type="dxa"/>
            <w:vAlign w:val="center"/>
          </w:tcPr>
          <w:p w:rsidR="00051BE6" w:rsidRDefault="008E5A1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051BE6" w:rsidRDefault="008E5A1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1.6222</w:t>
            </w:r>
          </w:p>
        </w:tc>
      </w:tr>
    </w:tbl>
    <w:p w:rsidR="00051BE6" w:rsidRDefault="008E5A1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051BE6" w:rsidRDefault="008E5A1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051BE6" w:rsidRDefault="008E5A1C">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051BE6">
        <w:tc>
          <w:tcPr>
            <w:tcW w:w="1395"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051BE6">
        <w:tc>
          <w:tcPr>
            <w:tcW w:w="1395" w:type="dxa"/>
            <w:vAlign w:val="center"/>
          </w:tcPr>
          <w:p w:rsidR="00051BE6" w:rsidRDefault="008E5A1C">
            <w:pPr>
              <w:jc w:val="left"/>
            </w:pPr>
            <w:r>
              <w:rPr>
                <w:rFonts w:asciiTheme="minorEastAsia" w:eastAsiaTheme="minorEastAsia" w:hAnsiTheme="minorEastAsia"/>
                <w:color w:val="000000" w:themeColor="text1"/>
                <w:kern w:val="0"/>
              </w:rPr>
              <w:t>过去三个月</w:t>
            </w:r>
          </w:p>
        </w:tc>
        <w:tc>
          <w:tcPr>
            <w:tcW w:w="1092" w:type="dxa"/>
            <w:vAlign w:val="center"/>
          </w:tcPr>
          <w:p w:rsidR="00051BE6" w:rsidRDefault="008E5A1C">
            <w:pPr>
              <w:jc w:val="center"/>
            </w:pPr>
            <w:r>
              <w:rPr>
                <w:rFonts w:asciiTheme="minorEastAsia" w:eastAsiaTheme="minorEastAsia" w:hAnsiTheme="minorEastAsia"/>
                <w:color w:val="000000" w:themeColor="text1"/>
                <w:kern w:val="0"/>
              </w:rPr>
              <w:t>22.42%</w:t>
            </w:r>
          </w:p>
        </w:tc>
        <w:tc>
          <w:tcPr>
            <w:tcW w:w="1161" w:type="dxa"/>
            <w:vAlign w:val="center"/>
          </w:tcPr>
          <w:p w:rsidR="00051BE6" w:rsidRDefault="008E5A1C">
            <w:pPr>
              <w:jc w:val="center"/>
            </w:pPr>
            <w:r>
              <w:rPr>
                <w:rFonts w:asciiTheme="minorEastAsia" w:eastAsiaTheme="minorEastAsia" w:hAnsiTheme="minorEastAsia"/>
                <w:color w:val="000000" w:themeColor="text1"/>
                <w:kern w:val="0"/>
              </w:rPr>
              <w:t>1.16%</w:t>
            </w:r>
          </w:p>
        </w:tc>
        <w:tc>
          <w:tcPr>
            <w:tcW w:w="1181" w:type="dxa"/>
            <w:vAlign w:val="center"/>
          </w:tcPr>
          <w:p w:rsidR="00051BE6" w:rsidRDefault="008E5A1C">
            <w:pPr>
              <w:jc w:val="center"/>
            </w:pPr>
            <w:r>
              <w:rPr>
                <w:rFonts w:asciiTheme="minorEastAsia" w:eastAsiaTheme="minorEastAsia" w:hAnsiTheme="minorEastAsia"/>
                <w:color w:val="000000" w:themeColor="text1"/>
                <w:kern w:val="0"/>
              </w:rPr>
              <w:t>14.94%</w:t>
            </w:r>
          </w:p>
        </w:tc>
        <w:tc>
          <w:tcPr>
            <w:tcW w:w="1188" w:type="dxa"/>
            <w:vAlign w:val="center"/>
          </w:tcPr>
          <w:p w:rsidR="00051BE6" w:rsidRDefault="008E5A1C">
            <w:pPr>
              <w:jc w:val="center"/>
            </w:pPr>
            <w:r>
              <w:rPr>
                <w:rFonts w:asciiTheme="minorEastAsia" w:eastAsiaTheme="minorEastAsia" w:hAnsiTheme="minorEastAsia"/>
                <w:color w:val="000000" w:themeColor="text1"/>
                <w:kern w:val="0"/>
              </w:rPr>
              <w:t>0.78%</w:t>
            </w:r>
          </w:p>
        </w:tc>
        <w:tc>
          <w:tcPr>
            <w:tcW w:w="1199" w:type="dxa"/>
            <w:vAlign w:val="center"/>
          </w:tcPr>
          <w:p w:rsidR="00051BE6" w:rsidRDefault="008E5A1C">
            <w:pPr>
              <w:jc w:val="center"/>
            </w:pPr>
            <w:r>
              <w:rPr>
                <w:rFonts w:asciiTheme="minorEastAsia" w:eastAsiaTheme="minorEastAsia" w:hAnsiTheme="minorEastAsia"/>
                <w:color w:val="000000" w:themeColor="text1"/>
                <w:kern w:val="0"/>
              </w:rPr>
              <w:t>7.48%</w:t>
            </w:r>
          </w:p>
        </w:tc>
        <w:tc>
          <w:tcPr>
            <w:tcW w:w="1204" w:type="dxa"/>
            <w:vAlign w:val="center"/>
          </w:tcPr>
          <w:p w:rsidR="00051BE6" w:rsidRDefault="008E5A1C">
            <w:pPr>
              <w:jc w:val="center"/>
            </w:pPr>
            <w:r>
              <w:rPr>
                <w:rFonts w:asciiTheme="minorEastAsia" w:eastAsiaTheme="minorEastAsia" w:hAnsiTheme="minorEastAsia"/>
                <w:color w:val="000000" w:themeColor="text1"/>
                <w:kern w:val="0"/>
              </w:rPr>
              <w:t>0.38%</w:t>
            </w:r>
          </w:p>
        </w:tc>
      </w:tr>
    </w:tbl>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051BE6" w:rsidRDefault="008E5A1C">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上投摩根双核平衡混合型证券投资基金</w:t>
      </w:r>
    </w:p>
    <w:p w:rsidR="00051BE6" w:rsidRDefault="008E5A1C">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051BE6" w:rsidRDefault="008E5A1C">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31</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051BE6" w:rsidRDefault="008E5A1C">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051BE6" w:rsidRDefault="008E5A1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w:t>
      </w:r>
    </w:p>
    <w:p w:rsidR="00051BE6" w:rsidRDefault="008E5A1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日。建仓期结束时资产配置比例符合本基金基金合同规定。</w:t>
      </w:r>
    </w:p>
    <w:p w:rsidR="00051BE6" w:rsidRDefault="00051BE6">
      <w:pPr>
        <w:tabs>
          <w:tab w:val="left" w:pos="1800"/>
        </w:tabs>
        <w:spacing w:line="360" w:lineRule="auto"/>
        <w:rPr>
          <w:rFonts w:asciiTheme="minorEastAsia" w:eastAsiaTheme="minorEastAsia" w:hAnsiTheme="minorEastAsia"/>
          <w:color w:val="000000" w:themeColor="text1"/>
          <w:sz w:val="24"/>
          <w:szCs w:val="24"/>
        </w:rPr>
      </w:pPr>
    </w:p>
    <w:p w:rsidR="00051BE6" w:rsidRDefault="008E5A1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051BE6">
        <w:trPr>
          <w:cantSplit/>
          <w:trHeight w:val="292"/>
        </w:trPr>
        <w:tc>
          <w:tcPr>
            <w:tcW w:w="851" w:type="dxa"/>
            <w:vMerge w:val="restart"/>
            <w:vAlign w:val="center"/>
          </w:tcPr>
          <w:p w:rsidR="00051BE6" w:rsidRDefault="008E5A1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051BE6" w:rsidRDefault="008E5A1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051BE6" w:rsidRDefault="008E5A1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051BE6">
        <w:trPr>
          <w:cantSplit/>
        </w:trPr>
        <w:tc>
          <w:tcPr>
            <w:tcW w:w="851" w:type="dxa"/>
            <w:vMerge/>
            <w:vAlign w:val="center"/>
          </w:tcPr>
          <w:p w:rsidR="00051BE6" w:rsidRDefault="00051BE6">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051BE6" w:rsidRDefault="00051BE6">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051BE6" w:rsidRDefault="00051BE6">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051BE6" w:rsidRDefault="00051BE6">
            <w:pPr>
              <w:widowControl/>
              <w:spacing w:line="360" w:lineRule="auto"/>
              <w:jc w:val="left"/>
              <w:rPr>
                <w:rFonts w:asciiTheme="minorEastAsia" w:eastAsiaTheme="minorEastAsia" w:hAnsiTheme="minorEastAsia"/>
                <w:color w:val="000000" w:themeColor="text1"/>
                <w:kern w:val="0"/>
              </w:rPr>
            </w:pPr>
          </w:p>
        </w:tc>
      </w:tr>
      <w:tr w:rsidR="00051BE6">
        <w:tc>
          <w:tcPr>
            <w:tcW w:w="851" w:type="dxa"/>
            <w:vAlign w:val="center"/>
          </w:tcPr>
          <w:p w:rsidR="00051BE6" w:rsidRDefault="008E5A1C">
            <w:pPr>
              <w:jc w:val="center"/>
            </w:pPr>
            <w:r>
              <w:rPr>
                <w:rFonts w:asciiTheme="minorEastAsia" w:eastAsiaTheme="minorEastAsia" w:hAnsiTheme="minorEastAsia"/>
                <w:color w:val="000000" w:themeColor="text1"/>
              </w:rPr>
              <w:t>陈思郁</w:t>
            </w:r>
          </w:p>
        </w:tc>
        <w:tc>
          <w:tcPr>
            <w:tcW w:w="850" w:type="dxa"/>
            <w:vAlign w:val="center"/>
          </w:tcPr>
          <w:p w:rsidR="00051BE6" w:rsidRDefault="008E5A1C">
            <w:pPr>
              <w:jc w:val="center"/>
            </w:pPr>
            <w:r>
              <w:rPr>
                <w:rFonts w:asciiTheme="minorEastAsia" w:eastAsiaTheme="minorEastAsia" w:hAnsiTheme="minorEastAsia"/>
                <w:color w:val="000000" w:themeColor="text1"/>
              </w:rPr>
              <w:t>本基金基金经理</w:t>
            </w:r>
          </w:p>
        </w:tc>
        <w:tc>
          <w:tcPr>
            <w:tcW w:w="1560" w:type="dxa"/>
            <w:vAlign w:val="center"/>
          </w:tcPr>
          <w:p w:rsidR="00051BE6" w:rsidRDefault="008E5A1C">
            <w:pPr>
              <w:jc w:val="center"/>
            </w:pPr>
            <w:r>
              <w:rPr>
                <w:rFonts w:asciiTheme="minorEastAsia" w:eastAsiaTheme="minorEastAsia" w:hAnsiTheme="minorEastAsia"/>
                <w:color w:val="000000" w:themeColor="text1"/>
              </w:rPr>
              <w:t>2015-08-04</w:t>
            </w:r>
          </w:p>
        </w:tc>
        <w:tc>
          <w:tcPr>
            <w:tcW w:w="1559" w:type="dxa"/>
            <w:vAlign w:val="center"/>
          </w:tcPr>
          <w:p w:rsidR="00051BE6" w:rsidRDefault="008E5A1C">
            <w:pPr>
              <w:jc w:val="center"/>
            </w:pPr>
            <w:r>
              <w:rPr>
                <w:rFonts w:asciiTheme="minorEastAsia" w:eastAsiaTheme="minorEastAsia" w:hAnsiTheme="minorEastAsia"/>
                <w:color w:val="000000" w:themeColor="text1"/>
              </w:rPr>
              <w:t>-</w:t>
            </w:r>
          </w:p>
        </w:tc>
        <w:tc>
          <w:tcPr>
            <w:tcW w:w="1417" w:type="dxa"/>
            <w:vAlign w:val="center"/>
          </w:tcPr>
          <w:p w:rsidR="00051BE6" w:rsidRDefault="008E5A1C">
            <w:pPr>
              <w:jc w:val="center"/>
            </w:pP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年</w:t>
            </w:r>
          </w:p>
        </w:tc>
        <w:tc>
          <w:tcPr>
            <w:tcW w:w="2694" w:type="dxa"/>
            <w:vAlign w:val="center"/>
          </w:tcPr>
          <w:p w:rsidR="00051BE6" w:rsidRDefault="008E5A1C">
            <w:r>
              <w:rPr>
                <w:rFonts w:asciiTheme="minorEastAsia" w:eastAsiaTheme="minorEastAsia" w:hAnsiTheme="minorEastAsia"/>
                <w:color w:val="000000" w:themeColor="text1"/>
              </w:rPr>
              <w:t>陈思郁女士自</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月在国泰君安研究所担任研究员，自</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月起加入上投摩根基金管理有限公司，历任行业专家、基金经理助理，现任国内权益投资一部基金经理，自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月起担任上投摩根双核平衡混合型证券投资基金基金经理，自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月起同时担任上投摩根安全战略股票型证券投资基金基金经理。</w:t>
            </w:r>
          </w:p>
        </w:tc>
      </w:tr>
      <w:tr w:rsidR="00051BE6">
        <w:tc>
          <w:tcPr>
            <w:tcW w:w="851" w:type="dxa"/>
            <w:vAlign w:val="center"/>
          </w:tcPr>
          <w:p w:rsidR="00051BE6" w:rsidRDefault="008E5A1C">
            <w:pPr>
              <w:jc w:val="center"/>
            </w:pPr>
            <w:r>
              <w:rPr>
                <w:rFonts w:asciiTheme="minorEastAsia" w:eastAsiaTheme="minorEastAsia" w:hAnsiTheme="minorEastAsia"/>
                <w:color w:val="000000" w:themeColor="text1"/>
              </w:rPr>
              <w:t>李德辉</w:t>
            </w:r>
          </w:p>
        </w:tc>
        <w:tc>
          <w:tcPr>
            <w:tcW w:w="850" w:type="dxa"/>
            <w:vAlign w:val="center"/>
          </w:tcPr>
          <w:p w:rsidR="00051BE6" w:rsidRDefault="008E5A1C">
            <w:pPr>
              <w:jc w:val="center"/>
            </w:pPr>
            <w:r>
              <w:rPr>
                <w:rFonts w:asciiTheme="minorEastAsia" w:eastAsiaTheme="minorEastAsia" w:hAnsiTheme="minorEastAsia"/>
                <w:color w:val="000000" w:themeColor="text1"/>
              </w:rPr>
              <w:t>本基金基金经理</w:t>
            </w:r>
          </w:p>
        </w:tc>
        <w:tc>
          <w:tcPr>
            <w:tcW w:w="1560" w:type="dxa"/>
            <w:vAlign w:val="center"/>
          </w:tcPr>
          <w:p w:rsidR="00051BE6" w:rsidRDefault="008E5A1C">
            <w:pPr>
              <w:jc w:val="center"/>
            </w:pPr>
            <w:r>
              <w:rPr>
                <w:rFonts w:asciiTheme="minorEastAsia" w:eastAsiaTheme="minorEastAsia" w:hAnsiTheme="minorEastAsia"/>
                <w:color w:val="000000" w:themeColor="text1"/>
              </w:rPr>
              <w:t>2018-03-30</w:t>
            </w:r>
          </w:p>
        </w:tc>
        <w:tc>
          <w:tcPr>
            <w:tcW w:w="1559" w:type="dxa"/>
            <w:vAlign w:val="center"/>
          </w:tcPr>
          <w:p w:rsidR="00051BE6" w:rsidRDefault="008E5A1C">
            <w:pPr>
              <w:jc w:val="center"/>
            </w:pPr>
            <w:r>
              <w:rPr>
                <w:rFonts w:asciiTheme="minorEastAsia" w:eastAsiaTheme="minorEastAsia" w:hAnsiTheme="minorEastAsia"/>
                <w:color w:val="000000" w:themeColor="text1"/>
              </w:rPr>
              <w:t>-</w:t>
            </w:r>
          </w:p>
        </w:tc>
        <w:tc>
          <w:tcPr>
            <w:tcW w:w="1417" w:type="dxa"/>
            <w:vAlign w:val="center"/>
          </w:tcPr>
          <w:p w:rsidR="00051BE6" w:rsidRDefault="008E5A1C">
            <w:pPr>
              <w:jc w:val="center"/>
            </w:pP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年</w:t>
            </w:r>
          </w:p>
        </w:tc>
        <w:tc>
          <w:tcPr>
            <w:tcW w:w="2694" w:type="dxa"/>
            <w:vAlign w:val="center"/>
          </w:tcPr>
          <w:p w:rsidR="00051BE6" w:rsidRDefault="008E5A1C">
            <w:r>
              <w:rPr>
                <w:rFonts w:asciiTheme="minorEastAsia" w:eastAsiaTheme="minorEastAsia" w:hAnsiTheme="minorEastAsia"/>
                <w:color w:val="000000" w:themeColor="text1"/>
              </w:rPr>
              <w:t>李德辉先生，上海交通大学生物医学工程博士，自</w:t>
            </w:r>
            <w:r>
              <w:rPr>
                <w:rFonts w:asciiTheme="minorEastAsia" w:eastAsiaTheme="minorEastAsia" w:hAnsiTheme="minorEastAsia"/>
                <w:color w:val="000000" w:themeColor="text1"/>
              </w:rPr>
              <w:t>2012</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月，在农银汇理基金管理有限公司担任研究员；自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月起加入上投摩根基金管理有限公司，先后担任研究员、行业专家兼基金经理助理，自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月起担任上投摩根科技前沿灵活配置混合型证券投资基金基金经理。自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月起同时担任上投摩根安全战略股票型证券投资基金基金经理及上投摩根双核平衡混合型证券投资基金基金经理，自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月起同时担任上投摩根卓越制造股票型证券投资基金基金经理，自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月起同时担任上投摩根智选</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混合型证</w:t>
            </w:r>
            <w:r>
              <w:rPr>
                <w:rFonts w:asciiTheme="minorEastAsia" w:eastAsiaTheme="minorEastAsia" w:hAnsiTheme="minorEastAsia"/>
                <w:color w:val="000000" w:themeColor="text1"/>
              </w:rPr>
              <w:t>券投资基金基金经理。</w:t>
            </w:r>
          </w:p>
        </w:tc>
      </w:tr>
    </w:tbl>
    <w:p w:rsidR="00051BE6" w:rsidRDefault="008E5A1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051BE6" w:rsidRDefault="008E5A1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、证券从业的含义遵从行业协会《证券业从业人员资格管理办法》的相关规定。</w:t>
      </w:r>
    </w:p>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双核平衡混合型证券投资基金基金合同》的规定。基金经理对个股和投资组合的比例遵循了投资决策委员会的授权限制，基金投资比例符合基金合同和法律法规的要求。</w:t>
      </w:r>
    </w:p>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051BE6" w:rsidRDefault="008E5A1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051BE6" w:rsidRDefault="008E5A1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w:t>
      </w:r>
      <w:r>
        <w:rPr>
          <w:rFonts w:asciiTheme="minorEastAsia" w:eastAsiaTheme="minorEastAsia" w:hAnsiTheme="minorEastAsia" w:hint="eastAsia"/>
          <w:color w:val="000000" w:themeColor="text1"/>
        </w:rPr>
        <w:t>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的情形：报告期内，所有投资组合参与的交易所公开竞价同日反向交易成交较少的单边交易量超过该证券当日成交量的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的次数为一次，发生在量化投资组合与主动管理投资组合之间。</w:t>
      </w:r>
    </w:p>
    <w:p w:rsidR="00051BE6" w:rsidRDefault="00051BE6">
      <w:pPr>
        <w:spacing w:line="360" w:lineRule="auto"/>
        <w:ind w:firstLineChars="200" w:firstLine="480"/>
        <w:rPr>
          <w:rFonts w:asciiTheme="minorEastAsia" w:eastAsiaTheme="minorEastAsia" w:hAnsiTheme="minorEastAsia"/>
          <w:color w:val="000000" w:themeColor="text1"/>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051BE6" w:rsidRDefault="008E5A1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一季度回顾：进入</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年一季度，经济数据略微好于之前市场较为悲观的预期，其中消费数据表现亮眼，白酒动销较好，渠道去库存顺利，地产产业链的家居和家电行业</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月也取得了不错的成绩。流动性方面，虽然</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的天量社融我们并不认为会持续，但去杠杆压力最大的时候肯定过去，流动性温和的局面是可以持续的。因此一季度整体市场表现不错，本基金也积极布局了价格拐点出现的养殖标的，以及行业景气度较高的医药、食品饮料等行业，取得了不错的成绩</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展望未来：中国经济有望逐步企稳，主要动力将来自于消费和创新，流动性也会持续温和，这些因素都为股</w:t>
      </w:r>
      <w:r>
        <w:rPr>
          <w:rFonts w:asciiTheme="minorEastAsia" w:eastAsiaTheme="minorEastAsia" w:hAnsiTheme="minorEastAsia"/>
          <w:color w:val="000000" w:themeColor="text1"/>
        </w:rPr>
        <w:t>市提供了较好的环境，医疗健康有望成为未来持续出现较好投资机会的领域。；在国家积极推进减税的背景下，消费数据有望持续超预期，其中白酒、家电行业值得重点跟踪。本基金将继续寻找高景气度的行业以及有望持续较高质量增长的龙头公司进行投资，争取为投资人带来较好回报。</w:t>
      </w:r>
    </w:p>
    <w:p w:rsidR="00051BE6" w:rsidRDefault="008E5A1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本报告期上投摩根双核平衡混合份额净值增长率为</w:t>
      </w:r>
      <w:r>
        <w:rPr>
          <w:rFonts w:asciiTheme="minorEastAsia" w:eastAsiaTheme="minorEastAsia" w:hAnsiTheme="minorEastAsia"/>
          <w:color w:val="000000" w:themeColor="text1"/>
        </w:rPr>
        <w:t>:22.42%</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:14.94%</w:t>
      </w:r>
      <w:r>
        <w:rPr>
          <w:rFonts w:asciiTheme="minorEastAsia" w:eastAsiaTheme="minorEastAsia" w:hAnsiTheme="minorEastAsia"/>
          <w:color w:val="000000" w:themeColor="text1"/>
        </w:rPr>
        <w:t>。</w:t>
      </w:r>
    </w:p>
    <w:p w:rsidR="00051BE6" w:rsidRDefault="00051BE6">
      <w:pPr>
        <w:spacing w:line="360" w:lineRule="auto"/>
        <w:ind w:firstLineChars="200" w:firstLine="480"/>
        <w:rPr>
          <w:rFonts w:asciiTheme="minorEastAsia" w:eastAsiaTheme="minorEastAsia" w:hAnsiTheme="minorEastAsia"/>
          <w:color w:val="000000" w:themeColor="text1"/>
          <w:sz w:val="24"/>
          <w:szCs w:val="24"/>
        </w:rPr>
      </w:pPr>
    </w:p>
    <w:p w:rsidR="00051BE6" w:rsidRDefault="008E5A1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051BE6" w:rsidRDefault="008E5A1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051BE6">
        <w:trPr>
          <w:jc w:val="center"/>
        </w:trPr>
        <w:tc>
          <w:tcPr>
            <w:tcW w:w="720" w:type="dxa"/>
            <w:vAlign w:val="center"/>
          </w:tcPr>
          <w:p w:rsidR="00051BE6" w:rsidRDefault="008E5A1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051BE6" w:rsidRDefault="008E5A1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051BE6" w:rsidRDefault="008E5A1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051BE6" w:rsidRDefault="008E5A1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051BE6">
        <w:trPr>
          <w:jc w:val="center"/>
        </w:trPr>
        <w:tc>
          <w:tcPr>
            <w:tcW w:w="720" w:type="dxa"/>
            <w:vAlign w:val="center"/>
          </w:tcPr>
          <w:p w:rsidR="00051BE6" w:rsidRDefault="008E5A1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051BE6" w:rsidRDefault="008E5A1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148,494,937.59</w:t>
            </w:r>
          </w:p>
        </w:tc>
        <w:tc>
          <w:tcPr>
            <w:tcW w:w="1843"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63.92</w:t>
            </w:r>
          </w:p>
        </w:tc>
      </w:tr>
      <w:tr w:rsidR="00051BE6">
        <w:trPr>
          <w:jc w:val="center"/>
        </w:trPr>
        <w:tc>
          <w:tcPr>
            <w:tcW w:w="720" w:type="dxa"/>
            <w:vAlign w:val="center"/>
          </w:tcPr>
          <w:p w:rsidR="00051BE6" w:rsidRDefault="00051BE6">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51BE6" w:rsidRDefault="008E5A1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148,494,937.59</w:t>
            </w:r>
          </w:p>
        </w:tc>
        <w:tc>
          <w:tcPr>
            <w:tcW w:w="1843"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63.92</w:t>
            </w:r>
          </w:p>
        </w:tc>
      </w:tr>
      <w:tr w:rsidR="00051BE6">
        <w:trPr>
          <w:jc w:val="center"/>
        </w:trPr>
        <w:tc>
          <w:tcPr>
            <w:tcW w:w="720" w:type="dxa"/>
            <w:vAlign w:val="center"/>
          </w:tcPr>
          <w:p w:rsidR="00051BE6" w:rsidRDefault="008E5A1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051BE6" w:rsidRDefault="008E5A1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56,400,656.50</w:t>
            </w:r>
          </w:p>
        </w:tc>
        <w:tc>
          <w:tcPr>
            <w:tcW w:w="1843"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24.28</w:t>
            </w:r>
          </w:p>
        </w:tc>
      </w:tr>
      <w:tr w:rsidR="00051BE6">
        <w:trPr>
          <w:jc w:val="center"/>
        </w:trPr>
        <w:tc>
          <w:tcPr>
            <w:tcW w:w="720" w:type="dxa"/>
            <w:vAlign w:val="center"/>
          </w:tcPr>
          <w:p w:rsidR="00051BE6" w:rsidRDefault="00051BE6">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51BE6" w:rsidRDefault="008E5A1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56,400,656.50</w:t>
            </w:r>
          </w:p>
        </w:tc>
        <w:tc>
          <w:tcPr>
            <w:tcW w:w="1843"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24.28</w:t>
            </w:r>
          </w:p>
        </w:tc>
      </w:tr>
      <w:tr w:rsidR="00051BE6">
        <w:trPr>
          <w:jc w:val="center"/>
        </w:trPr>
        <w:tc>
          <w:tcPr>
            <w:tcW w:w="720" w:type="dxa"/>
            <w:vAlign w:val="center"/>
          </w:tcPr>
          <w:p w:rsidR="00051BE6" w:rsidRDefault="00051BE6">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51BE6" w:rsidRDefault="008E5A1C">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51BE6">
        <w:trPr>
          <w:jc w:val="center"/>
        </w:trPr>
        <w:tc>
          <w:tcPr>
            <w:tcW w:w="720" w:type="dxa"/>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051BE6" w:rsidRDefault="008E5A1C">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51BE6">
        <w:trPr>
          <w:jc w:val="center"/>
        </w:trPr>
        <w:tc>
          <w:tcPr>
            <w:tcW w:w="720"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51BE6">
        <w:trPr>
          <w:jc w:val="center"/>
        </w:trPr>
        <w:tc>
          <w:tcPr>
            <w:tcW w:w="720" w:type="dxa"/>
            <w:vAlign w:val="center"/>
          </w:tcPr>
          <w:p w:rsidR="00051BE6" w:rsidRDefault="008E5A1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051BE6" w:rsidRDefault="008E5A1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51BE6">
        <w:trPr>
          <w:jc w:val="center"/>
        </w:trPr>
        <w:tc>
          <w:tcPr>
            <w:tcW w:w="720" w:type="dxa"/>
            <w:vAlign w:val="center"/>
          </w:tcPr>
          <w:p w:rsidR="00051BE6" w:rsidRDefault="00051BE6">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51BE6" w:rsidRDefault="008E5A1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51BE6">
        <w:trPr>
          <w:jc w:val="center"/>
        </w:trPr>
        <w:tc>
          <w:tcPr>
            <w:tcW w:w="720" w:type="dxa"/>
            <w:vAlign w:val="center"/>
          </w:tcPr>
          <w:p w:rsidR="00051BE6" w:rsidRDefault="008E5A1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051BE6" w:rsidRDefault="008E5A1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24,957,626.51</w:t>
            </w:r>
          </w:p>
        </w:tc>
        <w:tc>
          <w:tcPr>
            <w:tcW w:w="1843"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10.74</w:t>
            </w:r>
          </w:p>
        </w:tc>
      </w:tr>
      <w:tr w:rsidR="00051BE6">
        <w:trPr>
          <w:jc w:val="center"/>
        </w:trPr>
        <w:tc>
          <w:tcPr>
            <w:tcW w:w="720" w:type="dxa"/>
            <w:vAlign w:val="center"/>
          </w:tcPr>
          <w:p w:rsidR="00051BE6" w:rsidRDefault="008E5A1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051BE6" w:rsidRDefault="008E5A1C">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2,464,190.28</w:t>
            </w:r>
          </w:p>
        </w:tc>
        <w:tc>
          <w:tcPr>
            <w:tcW w:w="1843" w:type="dxa"/>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1.06</w:t>
            </w:r>
          </w:p>
        </w:tc>
      </w:tr>
      <w:tr w:rsidR="00051BE6">
        <w:trPr>
          <w:jc w:val="center"/>
        </w:trPr>
        <w:tc>
          <w:tcPr>
            <w:tcW w:w="720" w:type="dxa"/>
            <w:vAlign w:val="center"/>
          </w:tcPr>
          <w:p w:rsidR="00051BE6" w:rsidRDefault="008E5A1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051BE6" w:rsidRDefault="008E5A1C">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232,317,410.88</w:t>
            </w:r>
          </w:p>
        </w:tc>
        <w:tc>
          <w:tcPr>
            <w:tcW w:w="1843" w:type="dxa"/>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051BE6" w:rsidRDefault="00051BE6">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051BE6" w:rsidRDefault="008E5A1C">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051BE6">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10,404,282.54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4.61</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051BE6" w:rsidRDefault="00051BE6">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051BE6" w:rsidRDefault="00051BE6">
            <w:pPr>
              <w:jc w:val="right"/>
              <w:rPr>
                <w:rFonts w:asciiTheme="minorEastAsia" w:eastAsiaTheme="minorEastAsia" w:hAnsiTheme="minorEastAsia" w:cs="宋体"/>
                <w:color w:val="000000" w:themeColor="text1"/>
                <w:kern w:val="0"/>
              </w:rPr>
            </w:pP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107,378,964.27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47.60</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6,156,124.80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2.73</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4,353,094.94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1.93</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134,343.00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0.06</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3,927,773.76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1.74</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10,050,898.18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4.46</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6,089,456.10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2.70</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051BE6">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51BE6" w:rsidRDefault="008E5A1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148,494,937.59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BE6" w:rsidRDefault="008E5A1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65.82</w:t>
            </w:r>
          </w:p>
        </w:tc>
      </w:tr>
    </w:tbl>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051BE6">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051BE6">
        <w:tc>
          <w:tcPr>
            <w:tcW w:w="817" w:type="dxa"/>
            <w:vAlign w:val="center"/>
          </w:tcPr>
          <w:p w:rsidR="00051BE6" w:rsidRDefault="008E5A1C">
            <w:pPr>
              <w:jc w:val="center"/>
            </w:pPr>
            <w:r>
              <w:rPr>
                <w:rFonts w:asciiTheme="minorEastAsia" w:eastAsiaTheme="minorEastAsia" w:hAnsiTheme="minorEastAsia" w:cs="宋体"/>
                <w:color w:val="000000" w:themeColor="text1"/>
                <w:kern w:val="0"/>
              </w:rPr>
              <w:t>1</w:t>
            </w:r>
          </w:p>
        </w:tc>
        <w:tc>
          <w:tcPr>
            <w:tcW w:w="1276" w:type="dxa"/>
            <w:vAlign w:val="center"/>
          </w:tcPr>
          <w:p w:rsidR="00051BE6" w:rsidRDefault="008E5A1C">
            <w:pPr>
              <w:jc w:val="center"/>
            </w:pPr>
            <w:r>
              <w:rPr>
                <w:rFonts w:asciiTheme="minorEastAsia" w:eastAsiaTheme="minorEastAsia" w:hAnsiTheme="minorEastAsia" w:cs="宋体"/>
                <w:color w:val="000000" w:themeColor="text1"/>
                <w:kern w:val="0"/>
              </w:rPr>
              <w:t>000661</w:t>
            </w:r>
          </w:p>
        </w:tc>
        <w:tc>
          <w:tcPr>
            <w:tcW w:w="1701" w:type="dxa"/>
            <w:vAlign w:val="center"/>
          </w:tcPr>
          <w:p w:rsidR="00051BE6" w:rsidRDefault="008E5A1C">
            <w:pPr>
              <w:jc w:val="center"/>
            </w:pPr>
            <w:r>
              <w:rPr>
                <w:rFonts w:asciiTheme="minorEastAsia" w:eastAsiaTheme="minorEastAsia" w:hAnsiTheme="minorEastAsia" w:cs="宋体"/>
                <w:color w:val="000000" w:themeColor="text1"/>
                <w:kern w:val="0"/>
              </w:rPr>
              <w:t>长春高新</w:t>
            </w:r>
          </w:p>
        </w:tc>
        <w:tc>
          <w:tcPr>
            <w:tcW w:w="1276" w:type="dxa"/>
            <w:vAlign w:val="center"/>
          </w:tcPr>
          <w:p w:rsidR="00051BE6" w:rsidRDefault="008E5A1C">
            <w:pPr>
              <w:jc w:val="right"/>
            </w:pPr>
            <w:r>
              <w:rPr>
                <w:rFonts w:asciiTheme="minorEastAsia" w:eastAsiaTheme="minorEastAsia" w:hAnsiTheme="minorEastAsia" w:cs="宋体"/>
                <w:color w:val="000000" w:themeColor="text1"/>
                <w:kern w:val="0"/>
              </w:rPr>
              <w:t>32,871</w:t>
            </w:r>
          </w:p>
        </w:tc>
        <w:tc>
          <w:tcPr>
            <w:tcW w:w="1842" w:type="dxa"/>
            <w:vAlign w:val="center"/>
          </w:tcPr>
          <w:p w:rsidR="00051BE6" w:rsidRDefault="008E5A1C">
            <w:pPr>
              <w:jc w:val="right"/>
            </w:pPr>
            <w:r>
              <w:rPr>
                <w:rFonts w:asciiTheme="minorEastAsia" w:eastAsiaTheme="minorEastAsia" w:hAnsiTheme="minorEastAsia" w:cs="宋体"/>
                <w:color w:val="000000" w:themeColor="text1"/>
                <w:kern w:val="0"/>
              </w:rPr>
              <w:t>10,419,778.29</w:t>
            </w:r>
          </w:p>
        </w:tc>
        <w:tc>
          <w:tcPr>
            <w:tcW w:w="1616" w:type="dxa"/>
            <w:vAlign w:val="center"/>
          </w:tcPr>
          <w:p w:rsidR="00051BE6" w:rsidRDefault="008E5A1C">
            <w:pPr>
              <w:jc w:val="right"/>
            </w:pPr>
            <w:r>
              <w:rPr>
                <w:rFonts w:asciiTheme="minorEastAsia" w:eastAsiaTheme="minorEastAsia" w:hAnsiTheme="minorEastAsia" w:cs="宋体"/>
                <w:color w:val="000000" w:themeColor="text1"/>
                <w:kern w:val="0"/>
              </w:rPr>
              <w:t>4.62</w:t>
            </w:r>
          </w:p>
        </w:tc>
      </w:tr>
      <w:tr w:rsidR="00051BE6">
        <w:tc>
          <w:tcPr>
            <w:tcW w:w="817" w:type="dxa"/>
            <w:vAlign w:val="center"/>
          </w:tcPr>
          <w:p w:rsidR="00051BE6" w:rsidRDefault="008E5A1C">
            <w:pPr>
              <w:jc w:val="center"/>
            </w:pPr>
            <w:r>
              <w:rPr>
                <w:rFonts w:asciiTheme="minorEastAsia" w:eastAsiaTheme="minorEastAsia" w:hAnsiTheme="minorEastAsia" w:cs="宋体"/>
                <w:color w:val="000000" w:themeColor="text1"/>
                <w:kern w:val="0"/>
              </w:rPr>
              <w:t>2</w:t>
            </w:r>
          </w:p>
        </w:tc>
        <w:tc>
          <w:tcPr>
            <w:tcW w:w="1276" w:type="dxa"/>
            <w:vAlign w:val="center"/>
          </w:tcPr>
          <w:p w:rsidR="00051BE6" w:rsidRDefault="008E5A1C">
            <w:pPr>
              <w:jc w:val="center"/>
            </w:pPr>
            <w:r>
              <w:rPr>
                <w:rFonts w:asciiTheme="minorEastAsia" w:eastAsiaTheme="minorEastAsia" w:hAnsiTheme="minorEastAsia" w:cs="宋体"/>
                <w:color w:val="000000" w:themeColor="text1"/>
                <w:kern w:val="0"/>
              </w:rPr>
              <w:t>002916</w:t>
            </w:r>
          </w:p>
        </w:tc>
        <w:tc>
          <w:tcPr>
            <w:tcW w:w="1701" w:type="dxa"/>
            <w:vAlign w:val="center"/>
          </w:tcPr>
          <w:p w:rsidR="00051BE6" w:rsidRDefault="008E5A1C">
            <w:pPr>
              <w:jc w:val="center"/>
            </w:pPr>
            <w:r>
              <w:rPr>
                <w:rFonts w:asciiTheme="minorEastAsia" w:eastAsiaTheme="minorEastAsia" w:hAnsiTheme="minorEastAsia" w:cs="宋体"/>
                <w:color w:val="000000" w:themeColor="text1"/>
                <w:kern w:val="0"/>
              </w:rPr>
              <w:t>深南电路</w:t>
            </w:r>
          </w:p>
        </w:tc>
        <w:tc>
          <w:tcPr>
            <w:tcW w:w="1276" w:type="dxa"/>
            <w:vAlign w:val="center"/>
          </w:tcPr>
          <w:p w:rsidR="00051BE6" w:rsidRDefault="008E5A1C">
            <w:pPr>
              <w:jc w:val="right"/>
            </w:pPr>
            <w:r>
              <w:rPr>
                <w:rFonts w:asciiTheme="minorEastAsia" w:eastAsiaTheme="minorEastAsia" w:hAnsiTheme="minorEastAsia" w:cs="宋体"/>
                <w:color w:val="000000" w:themeColor="text1"/>
                <w:kern w:val="0"/>
              </w:rPr>
              <w:t>50,984</w:t>
            </w:r>
          </w:p>
        </w:tc>
        <w:tc>
          <w:tcPr>
            <w:tcW w:w="1842" w:type="dxa"/>
            <w:vAlign w:val="center"/>
          </w:tcPr>
          <w:p w:rsidR="00051BE6" w:rsidRDefault="008E5A1C">
            <w:pPr>
              <w:jc w:val="right"/>
            </w:pPr>
            <w:r>
              <w:rPr>
                <w:rFonts w:asciiTheme="minorEastAsia" w:eastAsiaTheme="minorEastAsia" w:hAnsiTheme="minorEastAsia" w:cs="宋体"/>
                <w:color w:val="000000" w:themeColor="text1"/>
                <w:kern w:val="0"/>
              </w:rPr>
              <w:t>6,342,919.44</w:t>
            </w:r>
          </w:p>
        </w:tc>
        <w:tc>
          <w:tcPr>
            <w:tcW w:w="1616" w:type="dxa"/>
            <w:vAlign w:val="center"/>
          </w:tcPr>
          <w:p w:rsidR="00051BE6" w:rsidRDefault="008E5A1C">
            <w:pPr>
              <w:jc w:val="right"/>
            </w:pPr>
            <w:r>
              <w:rPr>
                <w:rFonts w:asciiTheme="minorEastAsia" w:eastAsiaTheme="minorEastAsia" w:hAnsiTheme="minorEastAsia" w:cs="宋体"/>
                <w:color w:val="000000" w:themeColor="text1"/>
                <w:kern w:val="0"/>
              </w:rPr>
              <w:t>2.81</w:t>
            </w:r>
          </w:p>
        </w:tc>
      </w:tr>
      <w:tr w:rsidR="00051BE6">
        <w:tc>
          <w:tcPr>
            <w:tcW w:w="817" w:type="dxa"/>
            <w:vAlign w:val="center"/>
          </w:tcPr>
          <w:p w:rsidR="00051BE6" w:rsidRDefault="008E5A1C">
            <w:pPr>
              <w:jc w:val="center"/>
            </w:pPr>
            <w:r>
              <w:rPr>
                <w:rFonts w:asciiTheme="minorEastAsia" w:eastAsiaTheme="minorEastAsia" w:hAnsiTheme="minorEastAsia" w:cs="宋体"/>
                <w:color w:val="000000" w:themeColor="text1"/>
                <w:kern w:val="0"/>
              </w:rPr>
              <w:t>3</w:t>
            </w:r>
          </w:p>
        </w:tc>
        <w:tc>
          <w:tcPr>
            <w:tcW w:w="1276" w:type="dxa"/>
            <w:vAlign w:val="center"/>
          </w:tcPr>
          <w:p w:rsidR="00051BE6" w:rsidRDefault="008E5A1C">
            <w:pPr>
              <w:jc w:val="center"/>
            </w:pPr>
            <w:r>
              <w:rPr>
                <w:rFonts w:asciiTheme="minorEastAsia" w:eastAsiaTheme="minorEastAsia" w:hAnsiTheme="minorEastAsia" w:cs="宋体"/>
                <w:color w:val="000000" w:themeColor="text1"/>
                <w:kern w:val="0"/>
              </w:rPr>
              <w:t>002714</w:t>
            </w:r>
          </w:p>
        </w:tc>
        <w:tc>
          <w:tcPr>
            <w:tcW w:w="1701" w:type="dxa"/>
            <w:vAlign w:val="center"/>
          </w:tcPr>
          <w:p w:rsidR="00051BE6" w:rsidRDefault="008E5A1C">
            <w:pPr>
              <w:jc w:val="center"/>
            </w:pPr>
            <w:r>
              <w:rPr>
                <w:rFonts w:asciiTheme="minorEastAsia" w:eastAsiaTheme="minorEastAsia" w:hAnsiTheme="minorEastAsia" w:cs="宋体"/>
                <w:color w:val="000000" w:themeColor="text1"/>
                <w:kern w:val="0"/>
              </w:rPr>
              <w:t>牧原股份</w:t>
            </w:r>
          </w:p>
        </w:tc>
        <w:tc>
          <w:tcPr>
            <w:tcW w:w="1276" w:type="dxa"/>
            <w:vAlign w:val="center"/>
          </w:tcPr>
          <w:p w:rsidR="00051BE6" w:rsidRDefault="008E5A1C">
            <w:pPr>
              <w:jc w:val="right"/>
            </w:pPr>
            <w:r>
              <w:rPr>
                <w:rFonts w:asciiTheme="minorEastAsia" w:eastAsiaTheme="minorEastAsia" w:hAnsiTheme="minorEastAsia" w:cs="宋体"/>
                <w:color w:val="000000" w:themeColor="text1"/>
                <w:kern w:val="0"/>
              </w:rPr>
              <w:t>99,194</w:t>
            </w:r>
          </w:p>
        </w:tc>
        <w:tc>
          <w:tcPr>
            <w:tcW w:w="1842" w:type="dxa"/>
            <w:vAlign w:val="center"/>
          </w:tcPr>
          <w:p w:rsidR="00051BE6" w:rsidRDefault="008E5A1C">
            <w:pPr>
              <w:jc w:val="right"/>
            </w:pPr>
            <w:r>
              <w:rPr>
                <w:rFonts w:asciiTheme="minorEastAsia" w:eastAsiaTheme="minorEastAsia" w:hAnsiTheme="minorEastAsia" w:cs="宋体"/>
                <w:color w:val="000000" w:themeColor="text1"/>
                <w:kern w:val="0"/>
              </w:rPr>
              <w:t>6,279,972.14</w:t>
            </w:r>
          </w:p>
        </w:tc>
        <w:tc>
          <w:tcPr>
            <w:tcW w:w="1616" w:type="dxa"/>
            <w:vAlign w:val="center"/>
          </w:tcPr>
          <w:p w:rsidR="00051BE6" w:rsidRDefault="008E5A1C">
            <w:pPr>
              <w:jc w:val="right"/>
            </w:pPr>
            <w:r>
              <w:rPr>
                <w:rFonts w:asciiTheme="minorEastAsia" w:eastAsiaTheme="minorEastAsia" w:hAnsiTheme="minorEastAsia" w:cs="宋体"/>
                <w:color w:val="000000" w:themeColor="text1"/>
                <w:kern w:val="0"/>
              </w:rPr>
              <w:t>2.78</w:t>
            </w:r>
          </w:p>
        </w:tc>
      </w:tr>
      <w:tr w:rsidR="00051BE6">
        <w:tc>
          <w:tcPr>
            <w:tcW w:w="817" w:type="dxa"/>
            <w:vAlign w:val="center"/>
          </w:tcPr>
          <w:p w:rsidR="00051BE6" w:rsidRDefault="008E5A1C">
            <w:pPr>
              <w:jc w:val="center"/>
            </w:pPr>
            <w:r>
              <w:rPr>
                <w:rFonts w:asciiTheme="minorEastAsia" w:eastAsiaTheme="minorEastAsia" w:hAnsiTheme="minorEastAsia" w:cs="宋体"/>
                <w:color w:val="000000" w:themeColor="text1"/>
                <w:kern w:val="0"/>
              </w:rPr>
              <w:t>4</w:t>
            </w:r>
          </w:p>
        </w:tc>
        <w:tc>
          <w:tcPr>
            <w:tcW w:w="1276" w:type="dxa"/>
            <w:vAlign w:val="center"/>
          </w:tcPr>
          <w:p w:rsidR="00051BE6" w:rsidRDefault="008E5A1C">
            <w:pPr>
              <w:jc w:val="center"/>
            </w:pPr>
            <w:r>
              <w:rPr>
                <w:rFonts w:asciiTheme="minorEastAsia" w:eastAsiaTheme="minorEastAsia" w:hAnsiTheme="minorEastAsia" w:cs="宋体"/>
                <w:color w:val="000000" w:themeColor="text1"/>
                <w:kern w:val="0"/>
              </w:rPr>
              <w:t>000858</w:t>
            </w:r>
          </w:p>
        </w:tc>
        <w:tc>
          <w:tcPr>
            <w:tcW w:w="1701" w:type="dxa"/>
            <w:vAlign w:val="center"/>
          </w:tcPr>
          <w:p w:rsidR="00051BE6" w:rsidRDefault="008E5A1C">
            <w:pPr>
              <w:jc w:val="center"/>
            </w:pPr>
            <w:r>
              <w:rPr>
                <w:rFonts w:asciiTheme="minorEastAsia" w:eastAsiaTheme="minorEastAsia" w:hAnsiTheme="minorEastAsia" w:cs="宋体"/>
                <w:color w:val="000000" w:themeColor="text1"/>
                <w:kern w:val="0"/>
              </w:rPr>
              <w:t>五</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粮</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液</w:t>
            </w:r>
          </w:p>
        </w:tc>
        <w:tc>
          <w:tcPr>
            <w:tcW w:w="1276" w:type="dxa"/>
            <w:vAlign w:val="center"/>
          </w:tcPr>
          <w:p w:rsidR="00051BE6" w:rsidRDefault="008E5A1C">
            <w:pPr>
              <w:jc w:val="right"/>
            </w:pPr>
            <w:r>
              <w:rPr>
                <w:rFonts w:asciiTheme="minorEastAsia" w:eastAsiaTheme="minorEastAsia" w:hAnsiTheme="minorEastAsia" w:cs="宋体"/>
                <w:color w:val="000000" w:themeColor="text1"/>
                <w:kern w:val="0"/>
              </w:rPr>
              <w:t>65,200</w:t>
            </w:r>
          </w:p>
        </w:tc>
        <w:tc>
          <w:tcPr>
            <w:tcW w:w="1842" w:type="dxa"/>
            <w:vAlign w:val="center"/>
          </w:tcPr>
          <w:p w:rsidR="00051BE6" w:rsidRDefault="008E5A1C">
            <w:pPr>
              <w:jc w:val="right"/>
            </w:pPr>
            <w:r>
              <w:rPr>
                <w:rFonts w:asciiTheme="minorEastAsia" w:eastAsiaTheme="minorEastAsia" w:hAnsiTheme="minorEastAsia" w:cs="宋体"/>
                <w:color w:val="000000" w:themeColor="text1"/>
                <w:kern w:val="0"/>
              </w:rPr>
              <w:t>6,194,000.00</w:t>
            </w:r>
          </w:p>
        </w:tc>
        <w:tc>
          <w:tcPr>
            <w:tcW w:w="1616" w:type="dxa"/>
            <w:vAlign w:val="center"/>
          </w:tcPr>
          <w:p w:rsidR="00051BE6" w:rsidRDefault="008E5A1C">
            <w:pPr>
              <w:jc w:val="right"/>
            </w:pPr>
            <w:r>
              <w:rPr>
                <w:rFonts w:asciiTheme="minorEastAsia" w:eastAsiaTheme="minorEastAsia" w:hAnsiTheme="minorEastAsia" w:cs="宋体"/>
                <w:color w:val="000000" w:themeColor="text1"/>
                <w:kern w:val="0"/>
              </w:rPr>
              <w:t>2.75</w:t>
            </w:r>
          </w:p>
        </w:tc>
      </w:tr>
      <w:tr w:rsidR="00051BE6">
        <w:tc>
          <w:tcPr>
            <w:tcW w:w="817" w:type="dxa"/>
            <w:vAlign w:val="center"/>
          </w:tcPr>
          <w:p w:rsidR="00051BE6" w:rsidRDefault="008E5A1C">
            <w:pPr>
              <w:jc w:val="center"/>
            </w:pPr>
            <w:r>
              <w:rPr>
                <w:rFonts w:asciiTheme="minorEastAsia" w:eastAsiaTheme="minorEastAsia" w:hAnsiTheme="minorEastAsia" w:cs="宋体"/>
                <w:color w:val="000000" w:themeColor="text1"/>
                <w:kern w:val="0"/>
              </w:rPr>
              <w:t>5</w:t>
            </w:r>
          </w:p>
        </w:tc>
        <w:tc>
          <w:tcPr>
            <w:tcW w:w="1276" w:type="dxa"/>
            <w:vAlign w:val="center"/>
          </w:tcPr>
          <w:p w:rsidR="00051BE6" w:rsidRDefault="008E5A1C">
            <w:pPr>
              <w:jc w:val="center"/>
            </w:pPr>
            <w:r>
              <w:rPr>
                <w:rFonts w:asciiTheme="minorEastAsia" w:eastAsiaTheme="minorEastAsia" w:hAnsiTheme="minorEastAsia" w:cs="宋体"/>
                <w:color w:val="000000" w:themeColor="text1"/>
                <w:kern w:val="0"/>
              </w:rPr>
              <w:t>002607</w:t>
            </w:r>
          </w:p>
        </w:tc>
        <w:tc>
          <w:tcPr>
            <w:tcW w:w="1701" w:type="dxa"/>
            <w:vAlign w:val="center"/>
          </w:tcPr>
          <w:p w:rsidR="00051BE6" w:rsidRDefault="008E5A1C">
            <w:pPr>
              <w:jc w:val="center"/>
            </w:pPr>
            <w:r>
              <w:rPr>
                <w:rFonts w:asciiTheme="minorEastAsia" w:eastAsiaTheme="minorEastAsia" w:hAnsiTheme="minorEastAsia" w:cs="宋体"/>
                <w:color w:val="000000" w:themeColor="text1"/>
                <w:kern w:val="0"/>
              </w:rPr>
              <w:t>中公教育</w:t>
            </w:r>
          </w:p>
        </w:tc>
        <w:tc>
          <w:tcPr>
            <w:tcW w:w="1276" w:type="dxa"/>
            <w:vAlign w:val="center"/>
          </w:tcPr>
          <w:p w:rsidR="00051BE6" w:rsidRDefault="008E5A1C">
            <w:pPr>
              <w:jc w:val="right"/>
            </w:pPr>
            <w:r>
              <w:rPr>
                <w:rFonts w:asciiTheme="minorEastAsia" w:eastAsiaTheme="minorEastAsia" w:hAnsiTheme="minorEastAsia" w:cs="宋体"/>
                <w:color w:val="000000" w:themeColor="text1"/>
                <w:kern w:val="0"/>
              </w:rPr>
              <w:t>477,960</w:t>
            </w:r>
          </w:p>
        </w:tc>
        <w:tc>
          <w:tcPr>
            <w:tcW w:w="1842" w:type="dxa"/>
            <w:vAlign w:val="center"/>
          </w:tcPr>
          <w:p w:rsidR="00051BE6" w:rsidRDefault="008E5A1C">
            <w:pPr>
              <w:jc w:val="right"/>
            </w:pPr>
            <w:r>
              <w:rPr>
                <w:rFonts w:asciiTheme="minorEastAsia" w:eastAsiaTheme="minorEastAsia" w:hAnsiTheme="minorEastAsia" w:cs="宋体"/>
                <w:color w:val="000000" w:themeColor="text1"/>
                <w:kern w:val="0"/>
              </w:rPr>
              <w:t>6,156,124.80</w:t>
            </w:r>
          </w:p>
        </w:tc>
        <w:tc>
          <w:tcPr>
            <w:tcW w:w="1616" w:type="dxa"/>
            <w:vAlign w:val="center"/>
          </w:tcPr>
          <w:p w:rsidR="00051BE6" w:rsidRDefault="008E5A1C">
            <w:pPr>
              <w:jc w:val="right"/>
            </w:pPr>
            <w:r>
              <w:rPr>
                <w:rFonts w:asciiTheme="minorEastAsia" w:eastAsiaTheme="minorEastAsia" w:hAnsiTheme="minorEastAsia" w:cs="宋体"/>
                <w:color w:val="000000" w:themeColor="text1"/>
                <w:kern w:val="0"/>
              </w:rPr>
              <w:t>2.73</w:t>
            </w:r>
          </w:p>
        </w:tc>
      </w:tr>
      <w:tr w:rsidR="00051BE6">
        <w:tc>
          <w:tcPr>
            <w:tcW w:w="817" w:type="dxa"/>
            <w:vAlign w:val="center"/>
          </w:tcPr>
          <w:p w:rsidR="00051BE6" w:rsidRDefault="008E5A1C">
            <w:pPr>
              <w:jc w:val="center"/>
            </w:pPr>
            <w:r>
              <w:rPr>
                <w:rFonts w:asciiTheme="minorEastAsia" w:eastAsiaTheme="minorEastAsia" w:hAnsiTheme="minorEastAsia" w:cs="宋体"/>
                <w:color w:val="000000" w:themeColor="text1"/>
                <w:kern w:val="0"/>
              </w:rPr>
              <w:t>6</w:t>
            </w:r>
          </w:p>
        </w:tc>
        <w:tc>
          <w:tcPr>
            <w:tcW w:w="1276" w:type="dxa"/>
            <w:vAlign w:val="center"/>
          </w:tcPr>
          <w:p w:rsidR="00051BE6" w:rsidRDefault="008E5A1C">
            <w:pPr>
              <w:jc w:val="center"/>
            </w:pPr>
            <w:r>
              <w:rPr>
                <w:rFonts w:asciiTheme="minorEastAsia" w:eastAsiaTheme="minorEastAsia" w:hAnsiTheme="minorEastAsia" w:cs="宋体"/>
                <w:color w:val="000000" w:themeColor="text1"/>
                <w:kern w:val="0"/>
              </w:rPr>
              <w:t>300347</w:t>
            </w:r>
          </w:p>
        </w:tc>
        <w:tc>
          <w:tcPr>
            <w:tcW w:w="1701" w:type="dxa"/>
            <w:vAlign w:val="center"/>
          </w:tcPr>
          <w:p w:rsidR="00051BE6" w:rsidRDefault="008E5A1C">
            <w:pPr>
              <w:jc w:val="center"/>
            </w:pPr>
            <w:r>
              <w:rPr>
                <w:rFonts w:asciiTheme="minorEastAsia" w:eastAsiaTheme="minorEastAsia" w:hAnsiTheme="minorEastAsia" w:cs="宋体"/>
                <w:color w:val="000000" w:themeColor="text1"/>
                <w:kern w:val="0"/>
              </w:rPr>
              <w:t>泰格医药</w:t>
            </w:r>
          </w:p>
        </w:tc>
        <w:tc>
          <w:tcPr>
            <w:tcW w:w="1276" w:type="dxa"/>
            <w:vAlign w:val="center"/>
          </w:tcPr>
          <w:p w:rsidR="00051BE6" w:rsidRDefault="008E5A1C">
            <w:pPr>
              <w:jc w:val="right"/>
            </w:pPr>
            <w:r>
              <w:rPr>
                <w:rFonts w:asciiTheme="minorEastAsia" w:eastAsiaTheme="minorEastAsia" w:hAnsiTheme="minorEastAsia" w:cs="宋体"/>
                <w:color w:val="000000" w:themeColor="text1"/>
                <w:kern w:val="0"/>
              </w:rPr>
              <w:t>91,847</w:t>
            </w:r>
          </w:p>
        </w:tc>
        <w:tc>
          <w:tcPr>
            <w:tcW w:w="1842" w:type="dxa"/>
            <w:vAlign w:val="center"/>
          </w:tcPr>
          <w:p w:rsidR="00051BE6" w:rsidRDefault="008E5A1C">
            <w:pPr>
              <w:jc w:val="right"/>
            </w:pPr>
            <w:r>
              <w:rPr>
                <w:rFonts w:asciiTheme="minorEastAsia" w:eastAsiaTheme="minorEastAsia" w:hAnsiTheme="minorEastAsia" w:cs="宋体"/>
                <w:color w:val="000000" w:themeColor="text1"/>
                <w:kern w:val="0"/>
              </w:rPr>
              <w:t>6,089,456.10</w:t>
            </w:r>
          </w:p>
        </w:tc>
        <w:tc>
          <w:tcPr>
            <w:tcW w:w="1616" w:type="dxa"/>
            <w:vAlign w:val="center"/>
          </w:tcPr>
          <w:p w:rsidR="00051BE6" w:rsidRDefault="008E5A1C">
            <w:pPr>
              <w:jc w:val="right"/>
            </w:pPr>
            <w:r>
              <w:rPr>
                <w:rFonts w:asciiTheme="minorEastAsia" w:eastAsiaTheme="minorEastAsia" w:hAnsiTheme="minorEastAsia" w:cs="宋体"/>
                <w:color w:val="000000" w:themeColor="text1"/>
                <w:kern w:val="0"/>
              </w:rPr>
              <w:t>2.70</w:t>
            </w:r>
          </w:p>
        </w:tc>
      </w:tr>
      <w:tr w:rsidR="00051BE6">
        <w:tc>
          <w:tcPr>
            <w:tcW w:w="817" w:type="dxa"/>
            <w:vAlign w:val="center"/>
          </w:tcPr>
          <w:p w:rsidR="00051BE6" w:rsidRDefault="008E5A1C">
            <w:pPr>
              <w:jc w:val="center"/>
            </w:pPr>
            <w:r>
              <w:rPr>
                <w:rFonts w:asciiTheme="minorEastAsia" w:eastAsiaTheme="minorEastAsia" w:hAnsiTheme="minorEastAsia" w:cs="宋体"/>
                <w:color w:val="000000" w:themeColor="text1"/>
                <w:kern w:val="0"/>
              </w:rPr>
              <w:t>7</w:t>
            </w:r>
          </w:p>
        </w:tc>
        <w:tc>
          <w:tcPr>
            <w:tcW w:w="1276" w:type="dxa"/>
            <w:vAlign w:val="center"/>
          </w:tcPr>
          <w:p w:rsidR="00051BE6" w:rsidRDefault="008E5A1C">
            <w:pPr>
              <w:jc w:val="center"/>
            </w:pPr>
            <w:r>
              <w:rPr>
                <w:rFonts w:asciiTheme="minorEastAsia" w:eastAsiaTheme="minorEastAsia" w:hAnsiTheme="minorEastAsia" w:cs="宋体"/>
                <w:color w:val="000000" w:themeColor="text1"/>
                <w:kern w:val="0"/>
              </w:rPr>
              <w:t>600519</w:t>
            </w:r>
          </w:p>
        </w:tc>
        <w:tc>
          <w:tcPr>
            <w:tcW w:w="1701" w:type="dxa"/>
            <w:vAlign w:val="center"/>
          </w:tcPr>
          <w:p w:rsidR="00051BE6" w:rsidRDefault="008E5A1C">
            <w:pPr>
              <w:jc w:val="center"/>
            </w:pPr>
            <w:r>
              <w:rPr>
                <w:rFonts w:asciiTheme="minorEastAsia" w:eastAsiaTheme="minorEastAsia" w:hAnsiTheme="minorEastAsia" w:cs="宋体"/>
                <w:color w:val="000000" w:themeColor="text1"/>
                <w:kern w:val="0"/>
              </w:rPr>
              <w:t>贵州茅台</w:t>
            </w:r>
          </w:p>
        </w:tc>
        <w:tc>
          <w:tcPr>
            <w:tcW w:w="1276" w:type="dxa"/>
            <w:vAlign w:val="center"/>
          </w:tcPr>
          <w:p w:rsidR="00051BE6" w:rsidRDefault="008E5A1C">
            <w:pPr>
              <w:jc w:val="right"/>
            </w:pPr>
            <w:r>
              <w:rPr>
                <w:rFonts w:asciiTheme="minorEastAsia" w:eastAsiaTheme="minorEastAsia" w:hAnsiTheme="minorEastAsia" w:cs="宋体"/>
                <w:color w:val="000000" w:themeColor="text1"/>
                <w:kern w:val="0"/>
              </w:rPr>
              <w:t>6,563</w:t>
            </w:r>
          </w:p>
        </w:tc>
        <w:tc>
          <w:tcPr>
            <w:tcW w:w="1842" w:type="dxa"/>
            <w:vAlign w:val="center"/>
          </w:tcPr>
          <w:p w:rsidR="00051BE6" w:rsidRDefault="008E5A1C">
            <w:pPr>
              <w:jc w:val="right"/>
            </w:pPr>
            <w:r>
              <w:rPr>
                <w:rFonts w:asciiTheme="minorEastAsia" w:eastAsiaTheme="minorEastAsia" w:hAnsiTheme="minorEastAsia" w:cs="宋体"/>
                <w:color w:val="000000" w:themeColor="text1"/>
                <w:kern w:val="0"/>
              </w:rPr>
              <w:t>5,604,736.37</w:t>
            </w:r>
          </w:p>
        </w:tc>
        <w:tc>
          <w:tcPr>
            <w:tcW w:w="1616" w:type="dxa"/>
            <w:vAlign w:val="center"/>
          </w:tcPr>
          <w:p w:rsidR="00051BE6" w:rsidRDefault="008E5A1C">
            <w:pPr>
              <w:jc w:val="right"/>
            </w:pPr>
            <w:r>
              <w:rPr>
                <w:rFonts w:asciiTheme="minorEastAsia" w:eastAsiaTheme="minorEastAsia" w:hAnsiTheme="minorEastAsia" w:cs="宋体"/>
                <w:color w:val="000000" w:themeColor="text1"/>
                <w:kern w:val="0"/>
              </w:rPr>
              <w:t>2.48</w:t>
            </w:r>
          </w:p>
        </w:tc>
      </w:tr>
      <w:tr w:rsidR="00051BE6">
        <w:tc>
          <w:tcPr>
            <w:tcW w:w="817" w:type="dxa"/>
            <w:vAlign w:val="center"/>
          </w:tcPr>
          <w:p w:rsidR="00051BE6" w:rsidRDefault="008E5A1C">
            <w:pPr>
              <w:jc w:val="center"/>
            </w:pPr>
            <w:r>
              <w:rPr>
                <w:rFonts w:asciiTheme="minorEastAsia" w:eastAsiaTheme="minorEastAsia" w:hAnsiTheme="minorEastAsia" w:cs="宋体"/>
                <w:color w:val="000000" w:themeColor="text1"/>
                <w:kern w:val="0"/>
              </w:rPr>
              <w:t>8</w:t>
            </w:r>
          </w:p>
        </w:tc>
        <w:tc>
          <w:tcPr>
            <w:tcW w:w="1276" w:type="dxa"/>
            <w:vAlign w:val="center"/>
          </w:tcPr>
          <w:p w:rsidR="00051BE6" w:rsidRDefault="008E5A1C">
            <w:pPr>
              <w:jc w:val="center"/>
            </w:pPr>
            <w:r>
              <w:rPr>
                <w:rFonts w:asciiTheme="minorEastAsia" w:eastAsiaTheme="minorEastAsia" w:hAnsiTheme="minorEastAsia" w:cs="宋体"/>
                <w:color w:val="000000" w:themeColor="text1"/>
                <w:kern w:val="0"/>
              </w:rPr>
              <w:t>300149</w:t>
            </w:r>
          </w:p>
        </w:tc>
        <w:tc>
          <w:tcPr>
            <w:tcW w:w="1701" w:type="dxa"/>
            <w:vAlign w:val="center"/>
          </w:tcPr>
          <w:p w:rsidR="00051BE6" w:rsidRDefault="008E5A1C">
            <w:pPr>
              <w:jc w:val="center"/>
            </w:pPr>
            <w:r>
              <w:rPr>
                <w:rFonts w:asciiTheme="minorEastAsia" w:eastAsiaTheme="minorEastAsia" w:hAnsiTheme="minorEastAsia" w:cs="宋体"/>
                <w:color w:val="000000" w:themeColor="text1"/>
                <w:kern w:val="0"/>
              </w:rPr>
              <w:t>量子生物</w:t>
            </w:r>
          </w:p>
        </w:tc>
        <w:tc>
          <w:tcPr>
            <w:tcW w:w="1276" w:type="dxa"/>
            <w:vAlign w:val="center"/>
          </w:tcPr>
          <w:p w:rsidR="00051BE6" w:rsidRDefault="008E5A1C">
            <w:pPr>
              <w:jc w:val="right"/>
            </w:pPr>
            <w:r>
              <w:rPr>
                <w:rFonts w:asciiTheme="minorEastAsia" w:eastAsiaTheme="minorEastAsia" w:hAnsiTheme="minorEastAsia" w:cs="宋体"/>
                <w:color w:val="000000" w:themeColor="text1"/>
                <w:kern w:val="0"/>
              </w:rPr>
              <w:t>305,735</w:t>
            </w:r>
          </w:p>
        </w:tc>
        <w:tc>
          <w:tcPr>
            <w:tcW w:w="1842" w:type="dxa"/>
            <w:vAlign w:val="center"/>
          </w:tcPr>
          <w:p w:rsidR="00051BE6" w:rsidRDefault="008E5A1C">
            <w:pPr>
              <w:jc w:val="right"/>
            </w:pPr>
            <w:r>
              <w:rPr>
                <w:rFonts w:asciiTheme="minorEastAsia" w:eastAsiaTheme="minorEastAsia" w:hAnsiTheme="minorEastAsia" w:cs="宋体"/>
                <w:color w:val="000000" w:themeColor="text1"/>
                <w:kern w:val="0"/>
              </w:rPr>
              <w:t>5,338,133.10</w:t>
            </w:r>
          </w:p>
        </w:tc>
        <w:tc>
          <w:tcPr>
            <w:tcW w:w="1616" w:type="dxa"/>
            <w:vAlign w:val="center"/>
          </w:tcPr>
          <w:p w:rsidR="00051BE6" w:rsidRDefault="008E5A1C">
            <w:pPr>
              <w:jc w:val="right"/>
            </w:pPr>
            <w:r>
              <w:rPr>
                <w:rFonts w:asciiTheme="minorEastAsia" w:eastAsiaTheme="minorEastAsia" w:hAnsiTheme="minorEastAsia" w:cs="宋体"/>
                <w:color w:val="000000" w:themeColor="text1"/>
                <w:kern w:val="0"/>
              </w:rPr>
              <w:t>2.37</w:t>
            </w:r>
          </w:p>
        </w:tc>
      </w:tr>
      <w:tr w:rsidR="00051BE6">
        <w:tc>
          <w:tcPr>
            <w:tcW w:w="817" w:type="dxa"/>
            <w:vAlign w:val="center"/>
          </w:tcPr>
          <w:p w:rsidR="00051BE6" w:rsidRDefault="008E5A1C">
            <w:pPr>
              <w:jc w:val="center"/>
            </w:pPr>
            <w:r>
              <w:rPr>
                <w:rFonts w:asciiTheme="minorEastAsia" w:eastAsiaTheme="minorEastAsia" w:hAnsiTheme="minorEastAsia" w:cs="宋体"/>
                <w:color w:val="000000" w:themeColor="text1"/>
                <w:kern w:val="0"/>
              </w:rPr>
              <w:t>9</w:t>
            </w:r>
          </w:p>
        </w:tc>
        <w:tc>
          <w:tcPr>
            <w:tcW w:w="1276" w:type="dxa"/>
            <w:vAlign w:val="center"/>
          </w:tcPr>
          <w:p w:rsidR="00051BE6" w:rsidRDefault="008E5A1C">
            <w:pPr>
              <w:jc w:val="center"/>
            </w:pPr>
            <w:r>
              <w:rPr>
                <w:rFonts w:asciiTheme="minorEastAsia" w:eastAsiaTheme="minorEastAsia" w:hAnsiTheme="minorEastAsia" w:cs="宋体"/>
                <w:color w:val="000000" w:themeColor="text1"/>
                <w:kern w:val="0"/>
              </w:rPr>
              <w:t>002124</w:t>
            </w:r>
          </w:p>
        </w:tc>
        <w:tc>
          <w:tcPr>
            <w:tcW w:w="1701" w:type="dxa"/>
            <w:vAlign w:val="center"/>
          </w:tcPr>
          <w:p w:rsidR="00051BE6" w:rsidRDefault="008E5A1C">
            <w:pPr>
              <w:jc w:val="center"/>
            </w:pPr>
            <w:r>
              <w:rPr>
                <w:rFonts w:asciiTheme="minorEastAsia" w:eastAsiaTheme="minorEastAsia" w:hAnsiTheme="minorEastAsia" w:cs="宋体"/>
                <w:color w:val="000000" w:themeColor="text1"/>
                <w:kern w:val="0"/>
              </w:rPr>
              <w:t>天邦股份</w:t>
            </w:r>
          </w:p>
        </w:tc>
        <w:tc>
          <w:tcPr>
            <w:tcW w:w="1276" w:type="dxa"/>
            <w:vAlign w:val="center"/>
          </w:tcPr>
          <w:p w:rsidR="00051BE6" w:rsidRDefault="008E5A1C">
            <w:pPr>
              <w:jc w:val="right"/>
            </w:pPr>
            <w:r>
              <w:rPr>
                <w:rFonts w:asciiTheme="minorEastAsia" w:eastAsiaTheme="minorEastAsia" w:hAnsiTheme="minorEastAsia" w:cs="宋体"/>
                <w:color w:val="000000" w:themeColor="text1"/>
                <w:kern w:val="0"/>
              </w:rPr>
              <w:t>304,686</w:t>
            </w:r>
          </w:p>
        </w:tc>
        <w:tc>
          <w:tcPr>
            <w:tcW w:w="1842" w:type="dxa"/>
            <w:vAlign w:val="center"/>
          </w:tcPr>
          <w:p w:rsidR="00051BE6" w:rsidRDefault="008E5A1C">
            <w:pPr>
              <w:jc w:val="right"/>
            </w:pPr>
            <w:r>
              <w:rPr>
                <w:rFonts w:asciiTheme="minorEastAsia" w:eastAsiaTheme="minorEastAsia" w:hAnsiTheme="minorEastAsia" w:cs="宋体"/>
                <w:color w:val="000000" w:themeColor="text1"/>
                <w:kern w:val="0"/>
              </w:rPr>
              <w:t>5,325,911.28</w:t>
            </w:r>
          </w:p>
        </w:tc>
        <w:tc>
          <w:tcPr>
            <w:tcW w:w="1616" w:type="dxa"/>
            <w:vAlign w:val="center"/>
          </w:tcPr>
          <w:p w:rsidR="00051BE6" w:rsidRDefault="008E5A1C">
            <w:pPr>
              <w:jc w:val="right"/>
            </w:pPr>
            <w:r>
              <w:rPr>
                <w:rFonts w:asciiTheme="minorEastAsia" w:eastAsiaTheme="minorEastAsia" w:hAnsiTheme="minorEastAsia" w:cs="宋体"/>
                <w:color w:val="000000" w:themeColor="text1"/>
                <w:kern w:val="0"/>
              </w:rPr>
              <w:t>2.36</w:t>
            </w:r>
          </w:p>
        </w:tc>
      </w:tr>
      <w:tr w:rsidR="00051BE6">
        <w:tc>
          <w:tcPr>
            <w:tcW w:w="817" w:type="dxa"/>
            <w:vAlign w:val="center"/>
          </w:tcPr>
          <w:p w:rsidR="00051BE6" w:rsidRDefault="008E5A1C">
            <w:pPr>
              <w:jc w:val="center"/>
            </w:pPr>
            <w:r>
              <w:rPr>
                <w:rFonts w:asciiTheme="minorEastAsia" w:eastAsiaTheme="minorEastAsia" w:hAnsiTheme="minorEastAsia" w:cs="宋体"/>
                <w:color w:val="000000" w:themeColor="text1"/>
                <w:kern w:val="0"/>
              </w:rPr>
              <w:t>10</w:t>
            </w:r>
          </w:p>
        </w:tc>
        <w:tc>
          <w:tcPr>
            <w:tcW w:w="1276" w:type="dxa"/>
            <w:vAlign w:val="center"/>
          </w:tcPr>
          <w:p w:rsidR="00051BE6" w:rsidRDefault="008E5A1C">
            <w:pPr>
              <w:jc w:val="center"/>
            </w:pPr>
            <w:r>
              <w:rPr>
                <w:rFonts w:asciiTheme="minorEastAsia" w:eastAsiaTheme="minorEastAsia" w:hAnsiTheme="minorEastAsia" w:cs="宋体"/>
                <w:color w:val="000000" w:themeColor="text1"/>
                <w:kern w:val="0"/>
              </w:rPr>
              <w:t>300725</w:t>
            </w:r>
          </w:p>
        </w:tc>
        <w:tc>
          <w:tcPr>
            <w:tcW w:w="1701" w:type="dxa"/>
            <w:vAlign w:val="center"/>
          </w:tcPr>
          <w:p w:rsidR="00051BE6" w:rsidRDefault="008E5A1C">
            <w:pPr>
              <w:jc w:val="center"/>
            </w:pPr>
            <w:r>
              <w:rPr>
                <w:rFonts w:asciiTheme="minorEastAsia" w:eastAsiaTheme="minorEastAsia" w:hAnsiTheme="minorEastAsia" w:cs="宋体"/>
                <w:color w:val="000000" w:themeColor="text1"/>
                <w:kern w:val="0"/>
              </w:rPr>
              <w:t>药石科技</w:t>
            </w:r>
          </w:p>
        </w:tc>
        <w:tc>
          <w:tcPr>
            <w:tcW w:w="1276" w:type="dxa"/>
            <w:vAlign w:val="center"/>
          </w:tcPr>
          <w:p w:rsidR="00051BE6" w:rsidRDefault="008E5A1C">
            <w:pPr>
              <w:jc w:val="right"/>
            </w:pPr>
            <w:r>
              <w:rPr>
                <w:rFonts w:asciiTheme="minorEastAsia" w:eastAsiaTheme="minorEastAsia" w:hAnsiTheme="minorEastAsia" w:cs="宋体"/>
                <w:color w:val="000000" w:themeColor="text1"/>
                <w:kern w:val="0"/>
              </w:rPr>
              <w:t>50,981</w:t>
            </w:r>
          </w:p>
        </w:tc>
        <w:tc>
          <w:tcPr>
            <w:tcW w:w="1842" w:type="dxa"/>
            <w:vAlign w:val="center"/>
          </w:tcPr>
          <w:p w:rsidR="00051BE6" w:rsidRDefault="008E5A1C">
            <w:pPr>
              <w:jc w:val="right"/>
            </w:pPr>
            <w:r>
              <w:rPr>
                <w:rFonts w:asciiTheme="minorEastAsia" w:eastAsiaTheme="minorEastAsia" w:hAnsiTheme="minorEastAsia" w:cs="宋体"/>
                <w:color w:val="000000" w:themeColor="text1"/>
                <w:kern w:val="0"/>
              </w:rPr>
              <w:t>5,025,197.17</w:t>
            </w:r>
          </w:p>
        </w:tc>
        <w:tc>
          <w:tcPr>
            <w:tcW w:w="1616" w:type="dxa"/>
            <w:vAlign w:val="center"/>
          </w:tcPr>
          <w:p w:rsidR="00051BE6" w:rsidRDefault="008E5A1C">
            <w:pPr>
              <w:jc w:val="right"/>
            </w:pPr>
            <w:r>
              <w:rPr>
                <w:rFonts w:asciiTheme="minorEastAsia" w:eastAsiaTheme="minorEastAsia" w:hAnsiTheme="minorEastAsia" w:cs="宋体"/>
                <w:color w:val="000000" w:themeColor="text1"/>
                <w:kern w:val="0"/>
              </w:rPr>
              <w:t>2.23</w:t>
            </w:r>
          </w:p>
        </w:tc>
      </w:tr>
    </w:tbl>
    <w:p w:rsidR="00051BE6" w:rsidRDefault="00051BE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8"/>
        <w:tblW w:w="8755" w:type="dxa"/>
        <w:jc w:val="center"/>
        <w:tblLayout w:type="fixed"/>
        <w:tblLook w:val="04A0" w:firstRow="1" w:lastRow="0" w:firstColumn="1" w:lastColumn="0" w:noHBand="0" w:noVBand="1"/>
      </w:tblPr>
      <w:tblGrid>
        <w:gridCol w:w="817"/>
        <w:gridCol w:w="3260"/>
        <w:gridCol w:w="2949"/>
        <w:gridCol w:w="1729"/>
      </w:tblGrid>
      <w:tr w:rsidR="00051BE6">
        <w:trPr>
          <w:jc w:val="center"/>
        </w:trPr>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c>
          <w:tcPr>
            <w:tcW w:w="1729"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051BE6">
        <w:trPr>
          <w:jc w:val="center"/>
        </w:trPr>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8,197,400.00</w:t>
            </w:r>
          </w:p>
        </w:tc>
        <w:tc>
          <w:tcPr>
            <w:tcW w:w="172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3.63</w:t>
            </w:r>
          </w:p>
        </w:tc>
      </w:tr>
      <w:tr w:rsidR="00051BE6">
        <w:trPr>
          <w:jc w:val="center"/>
        </w:trPr>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jc w:val="center"/>
        </w:trPr>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45,563,697.00</w:t>
            </w:r>
          </w:p>
        </w:tc>
        <w:tc>
          <w:tcPr>
            <w:tcW w:w="172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20.20</w:t>
            </w:r>
          </w:p>
        </w:tc>
      </w:tr>
      <w:tr w:rsidR="00051BE6">
        <w:trPr>
          <w:jc w:val="center"/>
        </w:trPr>
        <w:tc>
          <w:tcPr>
            <w:tcW w:w="817" w:type="dxa"/>
            <w:vAlign w:val="center"/>
          </w:tcPr>
          <w:p w:rsidR="00051BE6" w:rsidRDefault="00051BE6">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45,563,697.00</w:t>
            </w:r>
          </w:p>
        </w:tc>
        <w:tc>
          <w:tcPr>
            <w:tcW w:w="172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20.20</w:t>
            </w:r>
          </w:p>
        </w:tc>
      </w:tr>
      <w:tr w:rsidR="00051BE6">
        <w:trPr>
          <w:jc w:val="center"/>
        </w:trPr>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1,876,358.70</w:t>
            </w:r>
          </w:p>
        </w:tc>
        <w:tc>
          <w:tcPr>
            <w:tcW w:w="172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0.83</w:t>
            </w:r>
          </w:p>
        </w:tc>
      </w:tr>
      <w:tr w:rsidR="00051BE6">
        <w:trPr>
          <w:jc w:val="center"/>
        </w:trPr>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jc w:val="center"/>
        </w:trPr>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51BE6">
        <w:trPr>
          <w:jc w:val="center"/>
        </w:trPr>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763,200.80</w:t>
            </w:r>
          </w:p>
        </w:tc>
        <w:tc>
          <w:tcPr>
            <w:tcW w:w="172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0.34</w:t>
            </w:r>
          </w:p>
        </w:tc>
      </w:tr>
      <w:tr w:rsidR="00051BE6">
        <w:trPr>
          <w:jc w:val="center"/>
        </w:trPr>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51BE6">
        <w:trPr>
          <w:jc w:val="center"/>
        </w:trPr>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51BE6">
        <w:trPr>
          <w:jc w:val="center"/>
        </w:trPr>
        <w:tc>
          <w:tcPr>
            <w:tcW w:w="81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051BE6" w:rsidRDefault="008E5A1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56,400,656.50</w:t>
            </w:r>
          </w:p>
        </w:tc>
        <w:tc>
          <w:tcPr>
            <w:tcW w:w="1729" w:type="dxa"/>
            <w:vAlign w:val="center"/>
          </w:tcPr>
          <w:p w:rsidR="00051BE6" w:rsidRDefault="008E5A1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25.00</w:t>
            </w:r>
          </w:p>
        </w:tc>
      </w:tr>
    </w:tbl>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8"/>
        <w:tblW w:w="8528" w:type="dxa"/>
        <w:tblLayout w:type="fixed"/>
        <w:tblLook w:val="04A0" w:firstRow="1" w:lastRow="0" w:firstColumn="1" w:lastColumn="0" w:noHBand="0" w:noVBand="1"/>
      </w:tblPr>
      <w:tblGrid>
        <w:gridCol w:w="1252"/>
        <w:gridCol w:w="1310"/>
        <w:gridCol w:w="1282"/>
        <w:gridCol w:w="1426"/>
        <w:gridCol w:w="1646"/>
        <w:gridCol w:w="1612"/>
      </w:tblGrid>
      <w:tr w:rsidR="00051BE6">
        <w:tc>
          <w:tcPr>
            <w:tcW w:w="1252"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张</w:t>
            </w:r>
            <w:r>
              <w:rPr>
                <w:rFonts w:asciiTheme="minorEastAsia" w:eastAsiaTheme="minorEastAsia" w:hAnsiTheme="minorEastAsia" w:cs="宋体" w:hint="eastAsia"/>
                <w:color w:val="000000" w:themeColor="text1"/>
                <w:kern w:val="0"/>
              </w:rPr>
              <w:t>)</w:t>
            </w:r>
          </w:p>
        </w:tc>
        <w:tc>
          <w:tcPr>
            <w:tcW w:w="1646"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051BE6">
        <w:tc>
          <w:tcPr>
            <w:tcW w:w="1252" w:type="dxa"/>
            <w:vAlign w:val="center"/>
          </w:tcPr>
          <w:p w:rsidR="00051BE6" w:rsidRDefault="008E5A1C">
            <w:pPr>
              <w:jc w:val="center"/>
            </w:pPr>
            <w:r>
              <w:rPr>
                <w:rFonts w:asciiTheme="minorEastAsia" w:eastAsiaTheme="minorEastAsia" w:hAnsiTheme="minorEastAsia" w:cs="宋体"/>
                <w:color w:val="000000" w:themeColor="text1"/>
                <w:kern w:val="0"/>
              </w:rPr>
              <w:t>1</w:t>
            </w:r>
          </w:p>
        </w:tc>
        <w:tc>
          <w:tcPr>
            <w:tcW w:w="1310" w:type="dxa"/>
            <w:vAlign w:val="center"/>
          </w:tcPr>
          <w:p w:rsidR="00051BE6" w:rsidRDefault="008E5A1C">
            <w:pPr>
              <w:jc w:val="center"/>
            </w:pPr>
            <w:r>
              <w:rPr>
                <w:rFonts w:asciiTheme="minorEastAsia" w:eastAsiaTheme="minorEastAsia" w:hAnsiTheme="minorEastAsia" w:cs="宋体"/>
                <w:color w:val="000000" w:themeColor="text1"/>
                <w:kern w:val="0"/>
              </w:rPr>
              <w:t>018006</w:t>
            </w:r>
          </w:p>
        </w:tc>
        <w:tc>
          <w:tcPr>
            <w:tcW w:w="1282" w:type="dxa"/>
            <w:vAlign w:val="center"/>
          </w:tcPr>
          <w:p w:rsidR="00051BE6" w:rsidRDefault="008E5A1C">
            <w:pPr>
              <w:jc w:val="center"/>
            </w:pPr>
            <w:r>
              <w:rPr>
                <w:rFonts w:asciiTheme="minorEastAsia" w:eastAsiaTheme="minorEastAsia" w:hAnsiTheme="minorEastAsia" w:cs="宋体"/>
                <w:color w:val="000000" w:themeColor="text1"/>
                <w:kern w:val="0"/>
              </w:rPr>
              <w:t>国开</w:t>
            </w:r>
            <w:r>
              <w:rPr>
                <w:rFonts w:asciiTheme="minorEastAsia" w:eastAsiaTheme="minorEastAsia" w:hAnsiTheme="minorEastAsia" w:cs="宋体"/>
                <w:color w:val="000000" w:themeColor="text1"/>
                <w:kern w:val="0"/>
              </w:rPr>
              <w:t>1702</w:t>
            </w:r>
          </w:p>
        </w:tc>
        <w:tc>
          <w:tcPr>
            <w:tcW w:w="1426" w:type="dxa"/>
            <w:vAlign w:val="center"/>
          </w:tcPr>
          <w:p w:rsidR="00051BE6" w:rsidRDefault="008E5A1C">
            <w:pPr>
              <w:jc w:val="right"/>
            </w:pPr>
            <w:r>
              <w:rPr>
                <w:rFonts w:asciiTheme="minorEastAsia" w:eastAsiaTheme="minorEastAsia" w:hAnsiTheme="minorEastAsia" w:cs="宋体"/>
                <w:color w:val="000000" w:themeColor="text1"/>
                <w:kern w:val="0"/>
              </w:rPr>
              <w:t>170,000</w:t>
            </w:r>
          </w:p>
        </w:tc>
        <w:tc>
          <w:tcPr>
            <w:tcW w:w="1646" w:type="dxa"/>
            <w:vAlign w:val="center"/>
          </w:tcPr>
          <w:p w:rsidR="00051BE6" w:rsidRDefault="008E5A1C">
            <w:pPr>
              <w:jc w:val="right"/>
            </w:pPr>
            <w:r>
              <w:rPr>
                <w:rFonts w:asciiTheme="minorEastAsia" w:eastAsiaTheme="minorEastAsia" w:hAnsiTheme="minorEastAsia" w:cs="宋体"/>
                <w:color w:val="000000" w:themeColor="text1"/>
                <w:kern w:val="0"/>
              </w:rPr>
              <w:t>17,397,800.00</w:t>
            </w:r>
          </w:p>
        </w:tc>
        <w:tc>
          <w:tcPr>
            <w:tcW w:w="1612" w:type="dxa"/>
            <w:vAlign w:val="center"/>
          </w:tcPr>
          <w:p w:rsidR="00051BE6" w:rsidRDefault="008E5A1C">
            <w:pPr>
              <w:jc w:val="right"/>
            </w:pPr>
            <w:r>
              <w:rPr>
                <w:rFonts w:asciiTheme="minorEastAsia" w:eastAsiaTheme="minorEastAsia" w:hAnsiTheme="minorEastAsia" w:cs="宋体"/>
                <w:color w:val="000000" w:themeColor="text1"/>
                <w:kern w:val="0"/>
              </w:rPr>
              <w:t>7.71</w:t>
            </w:r>
          </w:p>
        </w:tc>
      </w:tr>
      <w:tr w:rsidR="00051BE6">
        <w:tc>
          <w:tcPr>
            <w:tcW w:w="1252" w:type="dxa"/>
            <w:vAlign w:val="center"/>
          </w:tcPr>
          <w:p w:rsidR="00051BE6" w:rsidRDefault="008E5A1C">
            <w:pPr>
              <w:jc w:val="center"/>
            </w:pPr>
            <w:r>
              <w:rPr>
                <w:rFonts w:asciiTheme="minorEastAsia" w:eastAsiaTheme="minorEastAsia" w:hAnsiTheme="minorEastAsia" w:cs="宋体"/>
                <w:color w:val="000000" w:themeColor="text1"/>
                <w:kern w:val="0"/>
              </w:rPr>
              <w:t>2</w:t>
            </w:r>
          </w:p>
        </w:tc>
        <w:tc>
          <w:tcPr>
            <w:tcW w:w="1310" w:type="dxa"/>
            <w:vAlign w:val="center"/>
          </w:tcPr>
          <w:p w:rsidR="00051BE6" w:rsidRDefault="008E5A1C">
            <w:pPr>
              <w:jc w:val="center"/>
            </w:pPr>
            <w:r>
              <w:rPr>
                <w:rFonts w:asciiTheme="minorEastAsia" w:eastAsiaTheme="minorEastAsia" w:hAnsiTheme="minorEastAsia" w:cs="宋体"/>
                <w:color w:val="000000" w:themeColor="text1"/>
                <w:kern w:val="0"/>
              </w:rPr>
              <w:t>018007</w:t>
            </w:r>
          </w:p>
        </w:tc>
        <w:tc>
          <w:tcPr>
            <w:tcW w:w="1282" w:type="dxa"/>
            <w:vAlign w:val="center"/>
          </w:tcPr>
          <w:p w:rsidR="00051BE6" w:rsidRDefault="008E5A1C">
            <w:pPr>
              <w:jc w:val="center"/>
            </w:pPr>
            <w:r>
              <w:rPr>
                <w:rFonts w:asciiTheme="minorEastAsia" w:eastAsiaTheme="minorEastAsia" w:hAnsiTheme="minorEastAsia" w:cs="宋体"/>
                <w:color w:val="000000" w:themeColor="text1"/>
                <w:kern w:val="0"/>
              </w:rPr>
              <w:t>国开</w:t>
            </w:r>
            <w:r>
              <w:rPr>
                <w:rFonts w:asciiTheme="minorEastAsia" w:eastAsiaTheme="minorEastAsia" w:hAnsiTheme="minorEastAsia" w:cs="宋体"/>
                <w:color w:val="000000" w:themeColor="text1"/>
                <w:kern w:val="0"/>
              </w:rPr>
              <w:t>1801</w:t>
            </w:r>
          </w:p>
        </w:tc>
        <w:tc>
          <w:tcPr>
            <w:tcW w:w="1426" w:type="dxa"/>
            <w:vAlign w:val="center"/>
          </w:tcPr>
          <w:p w:rsidR="00051BE6" w:rsidRDefault="008E5A1C">
            <w:pPr>
              <w:jc w:val="right"/>
            </w:pPr>
            <w:r>
              <w:rPr>
                <w:rFonts w:asciiTheme="minorEastAsia" w:eastAsiaTheme="minorEastAsia" w:hAnsiTheme="minorEastAsia" w:cs="宋体"/>
                <w:color w:val="000000" w:themeColor="text1"/>
                <w:kern w:val="0"/>
              </w:rPr>
              <w:t>120,270</w:t>
            </w:r>
          </w:p>
        </w:tc>
        <w:tc>
          <w:tcPr>
            <w:tcW w:w="1646" w:type="dxa"/>
            <w:vAlign w:val="center"/>
          </w:tcPr>
          <w:p w:rsidR="00051BE6" w:rsidRDefault="008E5A1C">
            <w:pPr>
              <w:jc w:val="right"/>
            </w:pPr>
            <w:r>
              <w:rPr>
                <w:rFonts w:asciiTheme="minorEastAsia" w:eastAsiaTheme="minorEastAsia" w:hAnsiTheme="minorEastAsia" w:cs="宋体"/>
                <w:color w:val="000000" w:themeColor="text1"/>
                <w:kern w:val="0"/>
              </w:rPr>
              <w:t>12,159,297.00</w:t>
            </w:r>
          </w:p>
        </w:tc>
        <w:tc>
          <w:tcPr>
            <w:tcW w:w="1612" w:type="dxa"/>
            <w:vAlign w:val="center"/>
          </w:tcPr>
          <w:p w:rsidR="00051BE6" w:rsidRDefault="008E5A1C">
            <w:pPr>
              <w:jc w:val="right"/>
            </w:pPr>
            <w:r>
              <w:rPr>
                <w:rFonts w:asciiTheme="minorEastAsia" w:eastAsiaTheme="minorEastAsia" w:hAnsiTheme="minorEastAsia" w:cs="宋体"/>
                <w:color w:val="000000" w:themeColor="text1"/>
                <w:kern w:val="0"/>
              </w:rPr>
              <w:t>5.39</w:t>
            </w:r>
          </w:p>
        </w:tc>
      </w:tr>
      <w:tr w:rsidR="00051BE6">
        <w:tc>
          <w:tcPr>
            <w:tcW w:w="1252" w:type="dxa"/>
            <w:vAlign w:val="center"/>
          </w:tcPr>
          <w:p w:rsidR="00051BE6" w:rsidRDefault="008E5A1C">
            <w:pPr>
              <w:jc w:val="center"/>
            </w:pPr>
            <w:r>
              <w:rPr>
                <w:rFonts w:asciiTheme="minorEastAsia" w:eastAsiaTheme="minorEastAsia" w:hAnsiTheme="minorEastAsia" w:cs="宋体"/>
                <w:color w:val="000000" w:themeColor="text1"/>
                <w:kern w:val="0"/>
              </w:rPr>
              <w:t>3</w:t>
            </w:r>
          </w:p>
        </w:tc>
        <w:tc>
          <w:tcPr>
            <w:tcW w:w="1310" w:type="dxa"/>
            <w:vAlign w:val="center"/>
          </w:tcPr>
          <w:p w:rsidR="00051BE6" w:rsidRDefault="008E5A1C">
            <w:pPr>
              <w:jc w:val="center"/>
            </w:pPr>
            <w:r>
              <w:rPr>
                <w:rFonts w:asciiTheme="minorEastAsia" w:eastAsiaTheme="minorEastAsia" w:hAnsiTheme="minorEastAsia" w:cs="宋体"/>
                <w:color w:val="000000" w:themeColor="text1"/>
                <w:kern w:val="0"/>
              </w:rPr>
              <w:t>018005</w:t>
            </w:r>
          </w:p>
        </w:tc>
        <w:tc>
          <w:tcPr>
            <w:tcW w:w="1282" w:type="dxa"/>
            <w:vAlign w:val="center"/>
          </w:tcPr>
          <w:p w:rsidR="00051BE6" w:rsidRDefault="008E5A1C">
            <w:pPr>
              <w:jc w:val="center"/>
            </w:pPr>
            <w:r>
              <w:rPr>
                <w:rFonts w:asciiTheme="minorEastAsia" w:eastAsiaTheme="minorEastAsia" w:hAnsiTheme="minorEastAsia" w:cs="宋体"/>
                <w:color w:val="000000" w:themeColor="text1"/>
                <w:kern w:val="0"/>
              </w:rPr>
              <w:t>国开</w:t>
            </w:r>
            <w:r>
              <w:rPr>
                <w:rFonts w:asciiTheme="minorEastAsia" w:eastAsiaTheme="minorEastAsia" w:hAnsiTheme="minorEastAsia" w:cs="宋体"/>
                <w:color w:val="000000" w:themeColor="text1"/>
                <w:kern w:val="0"/>
              </w:rPr>
              <w:t>1701</w:t>
            </w:r>
          </w:p>
        </w:tc>
        <w:tc>
          <w:tcPr>
            <w:tcW w:w="1426" w:type="dxa"/>
            <w:vAlign w:val="center"/>
          </w:tcPr>
          <w:p w:rsidR="00051BE6" w:rsidRDefault="008E5A1C">
            <w:pPr>
              <w:jc w:val="right"/>
            </w:pPr>
            <w:r>
              <w:rPr>
                <w:rFonts w:asciiTheme="minorEastAsia" w:eastAsiaTheme="minorEastAsia" w:hAnsiTheme="minorEastAsia" w:cs="宋体"/>
                <w:color w:val="000000" w:themeColor="text1"/>
                <w:kern w:val="0"/>
              </w:rPr>
              <w:t>110,000</w:t>
            </w:r>
          </w:p>
        </w:tc>
        <w:tc>
          <w:tcPr>
            <w:tcW w:w="1646" w:type="dxa"/>
            <w:vAlign w:val="center"/>
          </w:tcPr>
          <w:p w:rsidR="00051BE6" w:rsidRDefault="008E5A1C">
            <w:pPr>
              <w:jc w:val="right"/>
            </w:pPr>
            <w:r>
              <w:rPr>
                <w:rFonts w:asciiTheme="minorEastAsia" w:eastAsiaTheme="minorEastAsia" w:hAnsiTheme="minorEastAsia" w:cs="宋体"/>
                <w:color w:val="000000" w:themeColor="text1"/>
                <w:kern w:val="0"/>
              </w:rPr>
              <w:t>11,001,100.00</w:t>
            </w:r>
          </w:p>
        </w:tc>
        <w:tc>
          <w:tcPr>
            <w:tcW w:w="1612" w:type="dxa"/>
            <w:vAlign w:val="center"/>
          </w:tcPr>
          <w:p w:rsidR="00051BE6" w:rsidRDefault="008E5A1C">
            <w:pPr>
              <w:jc w:val="right"/>
            </w:pPr>
            <w:r>
              <w:rPr>
                <w:rFonts w:asciiTheme="minorEastAsia" w:eastAsiaTheme="minorEastAsia" w:hAnsiTheme="minorEastAsia" w:cs="宋体"/>
                <w:color w:val="000000" w:themeColor="text1"/>
                <w:kern w:val="0"/>
              </w:rPr>
              <w:t>4.88</w:t>
            </w:r>
          </w:p>
        </w:tc>
      </w:tr>
      <w:tr w:rsidR="00051BE6">
        <w:tc>
          <w:tcPr>
            <w:tcW w:w="1252" w:type="dxa"/>
            <w:vAlign w:val="center"/>
          </w:tcPr>
          <w:p w:rsidR="00051BE6" w:rsidRDefault="008E5A1C">
            <w:pPr>
              <w:jc w:val="center"/>
            </w:pPr>
            <w:r>
              <w:rPr>
                <w:rFonts w:asciiTheme="minorEastAsia" w:eastAsiaTheme="minorEastAsia" w:hAnsiTheme="minorEastAsia" w:cs="宋体"/>
                <w:color w:val="000000" w:themeColor="text1"/>
                <w:kern w:val="0"/>
              </w:rPr>
              <w:t>4</w:t>
            </w:r>
          </w:p>
        </w:tc>
        <w:tc>
          <w:tcPr>
            <w:tcW w:w="1310" w:type="dxa"/>
            <w:vAlign w:val="center"/>
          </w:tcPr>
          <w:p w:rsidR="00051BE6" w:rsidRDefault="008E5A1C">
            <w:pPr>
              <w:jc w:val="center"/>
            </w:pPr>
            <w:r>
              <w:rPr>
                <w:rFonts w:asciiTheme="minorEastAsia" w:eastAsiaTheme="minorEastAsia" w:hAnsiTheme="minorEastAsia" w:cs="宋体"/>
                <w:color w:val="000000" w:themeColor="text1"/>
                <w:kern w:val="0"/>
              </w:rPr>
              <w:t>010107</w:t>
            </w:r>
          </w:p>
        </w:tc>
        <w:tc>
          <w:tcPr>
            <w:tcW w:w="1282" w:type="dxa"/>
            <w:vAlign w:val="center"/>
          </w:tcPr>
          <w:p w:rsidR="00051BE6" w:rsidRDefault="008E5A1C">
            <w:pPr>
              <w:jc w:val="center"/>
            </w:pPr>
            <w:r>
              <w:rPr>
                <w:rFonts w:asciiTheme="minorEastAsia" w:eastAsiaTheme="minorEastAsia" w:hAnsiTheme="minorEastAsia" w:cs="宋体"/>
                <w:color w:val="000000" w:themeColor="text1"/>
                <w:kern w:val="0"/>
              </w:rPr>
              <w:t>21</w:t>
            </w:r>
            <w:r>
              <w:rPr>
                <w:rFonts w:asciiTheme="minorEastAsia" w:eastAsiaTheme="minorEastAsia" w:hAnsiTheme="minorEastAsia" w:cs="宋体"/>
                <w:color w:val="000000" w:themeColor="text1"/>
                <w:kern w:val="0"/>
              </w:rPr>
              <w:t>国债</w:t>
            </w:r>
            <w:r>
              <w:rPr>
                <w:rFonts w:asciiTheme="minorEastAsia" w:eastAsiaTheme="minorEastAsia" w:hAnsiTheme="minorEastAsia" w:cs="宋体"/>
                <w:color w:val="000000" w:themeColor="text1"/>
                <w:kern w:val="0"/>
              </w:rPr>
              <w:t>⑺</w:t>
            </w:r>
          </w:p>
        </w:tc>
        <w:tc>
          <w:tcPr>
            <w:tcW w:w="1426" w:type="dxa"/>
            <w:vAlign w:val="center"/>
          </w:tcPr>
          <w:p w:rsidR="00051BE6" w:rsidRDefault="008E5A1C">
            <w:pPr>
              <w:jc w:val="right"/>
            </w:pPr>
            <w:r>
              <w:rPr>
                <w:rFonts w:asciiTheme="minorEastAsia" w:eastAsiaTheme="minorEastAsia" w:hAnsiTheme="minorEastAsia" w:cs="宋体"/>
                <w:color w:val="000000" w:themeColor="text1"/>
                <w:kern w:val="0"/>
              </w:rPr>
              <w:t>50,000</w:t>
            </w:r>
          </w:p>
        </w:tc>
        <w:tc>
          <w:tcPr>
            <w:tcW w:w="1646" w:type="dxa"/>
            <w:vAlign w:val="center"/>
          </w:tcPr>
          <w:p w:rsidR="00051BE6" w:rsidRDefault="008E5A1C">
            <w:pPr>
              <w:jc w:val="right"/>
            </w:pPr>
            <w:r>
              <w:rPr>
                <w:rFonts w:asciiTheme="minorEastAsia" w:eastAsiaTheme="minorEastAsia" w:hAnsiTheme="minorEastAsia" w:cs="宋体"/>
                <w:color w:val="000000" w:themeColor="text1"/>
                <w:kern w:val="0"/>
              </w:rPr>
              <w:t>5,159,000.00</w:t>
            </w:r>
          </w:p>
        </w:tc>
        <w:tc>
          <w:tcPr>
            <w:tcW w:w="1612" w:type="dxa"/>
            <w:vAlign w:val="center"/>
          </w:tcPr>
          <w:p w:rsidR="00051BE6" w:rsidRDefault="008E5A1C">
            <w:pPr>
              <w:jc w:val="right"/>
            </w:pPr>
            <w:r>
              <w:rPr>
                <w:rFonts w:asciiTheme="minorEastAsia" w:eastAsiaTheme="minorEastAsia" w:hAnsiTheme="minorEastAsia" w:cs="宋体"/>
                <w:color w:val="000000" w:themeColor="text1"/>
                <w:kern w:val="0"/>
              </w:rPr>
              <w:t>2.29</w:t>
            </w:r>
          </w:p>
        </w:tc>
      </w:tr>
      <w:tr w:rsidR="00051BE6">
        <w:tc>
          <w:tcPr>
            <w:tcW w:w="1252" w:type="dxa"/>
            <w:vAlign w:val="center"/>
          </w:tcPr>
          <w:p w:rsidR="00051BE6" w:rsidRDefault="008E5A1C">
            <w:pPr>
              <w:jc w:val="center"/>
            </w:pPr>
            <w:r>
              <w:rPr>
                <w:rFonts w:asciiTheme="minorEastAsia" w:eastAsiaTheme="minorEastAsia" w:hAnsiTheme="minorEastAsia" w:cs="宋体"/>
                <w:color w:val="000000" w:themeColor="text1"/>
                <w:kern w:val="0"/>
              </w:rPr>
              <w:t>5</w:t>
            </w:r>
          </w:p>
        </w:tc>
        <w:tc>
          <w:tcPr>
            <w:tcW w:w="1310" w:type="dxa"/>
            <w:vAlign w:val="center"/>
          </w:tcPr>
          <w:p w:rsidR="00051BE6" w:rsidRDefault="008E5A1C">
            <w:pPr>
              <w:jc w:val="center"/>
            </w:pPr>
            <w:r>
              <w:rPr>
                <w:rFonts w:asciiTheme="minorEastAsia" w:eastAsiaTheme="minorEastAsia" w:hAnsiTheme="minorEastAsia" w:cs="宋体"/>
                <w:color w:val="000000" w:themeColor="text1"/>
                <w:kern w:val="0"/>
              </w:rPr>
              <w:t>160420</w:t>
            </w:r>
          </w:p>
        </w:tc>
        <w:tc>
          <w:tcPr>
            <w:tcW w:w="1282" w:type="dxa"/>
            <w:vAlign w:val="center"/>
          </w:tcPr>
          <w:p w:rsidR="00051BE6" w:rsidRDefault="008E5A1C">
            <w:pPr>
              <w:jc w:val="center"/>
            </w:pPr>
            <w:r>
              <w:rPr>
                <w:rFonts w:asciiTheme="minorEastAsia" w:eastAsiaTheme="minorEastAsia" w:hAnsiTheme="minorEastAsia" w:cs="宋体"/>
                <w:color w:val="000000" w:themeColor="text1"/>
                <w:kern w:val="0"/>
              </w:rPr>
              <w:t>16</w:t>
            </w:r>
            <w:r>
              <w:rPr>
                <w:rFonts w:asciiTheme="minorEastAsia" w:eastAsiaTheme="minorEastAsia" w:hAnsiTheme="minorEastAsia" w:cs="宋体"/>
                <w:color w:val="000000" w:themeColor="text1"/>
                <w:kern w:val="0"/>
              </w:rPr>
              <w:t>农发</w:t>
            </w:r>
            <w:r>
              <w:rPr>
                <w:rFonts w:asciiTheme="minorEastAsia" w:eastAsiaTheme="minorEastAsia" w:hAnsiTheme="minorEastAsia" w:cs="宋体"/>
                <w:color w:val="000000" w:themeColor="text1"/>
                <w:kern w:val="0"/>
              </w:rPr>
              <w:t>20</w:t>
            </w:r>
          </w:p>
        </w:tc>
        <w:tc>
          <w:tcPr>
            <w:tcW w:w="1426" w:type="dxa"/>
            <w:vAlign w:val="center"/>
          </w:tcPr>
          <w:p w:rsidR="00051BE6" w:rsidRDefault="008E5A1C">
            <w:pPr>
              <w:jc w:val="right"/>
            </w:pPr>
            <w:r>
              <w:rPr>
                <w:rFonts w:asciiTheme="minorEastAsia" w:eastAsiaTheme="minorEastAsia" w:hAnsiTheme="minorEastAsia" w:cs="宋体"/>
                <w:color w:val="000000" w:themeColor="text1"/>
                <w:kern w:val="0"/>
              </w:rPr>
              <w:t>50,000</w:t>
            </w:r>
          </w:p>
        </w:tc>
        <w:tc>
          <w:tcPr>
            <w:tcW w:w="1646" w:type="dxa"/>
            <w:vAlign w:val="center"/>
          </w:tcPr>
          <w:p w:rsidR="00051BE6" w:rsidRDefault="008E5A1C">
            <w:pPr>
              <w:jc w:val="right"/>
            </w:pPr>
            <w:r>
              <w:rPr>
                <w:rFonts w:asciiTheme="minorEastAsia" w:eastAsiaTheme="minorEastAsia" w:hAnsiTheme="minorEastAsia" w:cs="宋体"/>
                <w:color w:val="000000" w:themeColor="text1"/>
                <w:kern w:val="0"/>
              </w:rPr>
              <w:t>5,005,500.00</w:t>
            </w:r>
          </w:p>
        </w:tc>
        <w:tc>
          <w:tcPr>
            <w:tcW w:w="1612" w:type="dxa"/>
            <w:vAlign w:val="center"/>
          </w:tcPr>
          <w:p w:rsidR="00051BE6" w:rsidRDefault="008E5A1C">
            <w:pPr>
              <w:jc w:val="right"/>
            </w:pPr>
            <w:r>
              <w:rPr>
                <w:rFonts w:asciiTheme="minorEastAsia" w:eastAsiaTheme="minorEastAsia" w:hAnsiTheme="minorEastAsia" w:cs="宋体"/>
                <w:color w:val="000000" w:themeColor="text1"/>
                <w:kern w:val="0"/>
              </w:rPr>
              <w:t>2.22</w:t>
            </w:r>
          </w:p>
        </w:tc>
      </w:tr>
    </w:tbl>
    <w:p w:rsidR="00051BE6" w:rsidRDefault="00051BE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051BE6" w:rsidRDefault="008E5A1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051BE6" w:rsidRDefault="00051BE6">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051BE6" w:rsidRDefault="008E5A1C">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051BE6" w:rsidRDefault="008E5A1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051BE6" w:rsidRDefault="00051BE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051BE6" w:rsidRDefault="008E5A1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051BE6" w:rsidRDefault="00051BE6">
      <w:pPr>
        <w:adjustRightInd w:val="0"/>
        <w:snapToGrid w:val="0"/>
        <w:spacing w:line="360" w:lineRule="exact"/>
        <w:rPr>
          <w:rFonts w:asciiTheme="minorEastAsia" w:eastAsiaTheme="minorEastAsia" w:hAnsiTheme="minorEastAsia"/>
          <w:color w:val="000000" w:themeColor="text1"/>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051BE6" w:rsidRDefault="008E5A1C">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051BE6" w:rsidRDefault="008E5A1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051BE6" w:rsidRDefault="008E5A1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051BE6">
        <w:tc>
          <w:tcPr>
            <w:tcW w:w="1235"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051BE6" w:rsidRDefault="008E5A1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051BE6">
        <w:tc>
          <w:tcPr>
            <w:tcW w:w="1235" w:type="dxa"/>
            <w:vAlign w:val="center"/>
          </w:tcPr>
          <w:p w:rsidR="00051BE6" w:rsidRDefault="008E5A1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051BE6" w:rsidRDefault="008E5A1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051BE6" w:rsidRDefault="008E5A1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67,972.84</w:t>
            </w:r>
          </w:p>
        </w:tc>
      </w:tr>
      <w:tr w:rsidR="00051BE6">
        <w:tc>
          <w:tcPr>
            <w:tcW w:w="1235" w:type="dxa"/>
            <w:vAlign w:val="center"/>
          </w:tcPr>
          <w:p w:rsidR="00051BE6" w:rsidRDefault="008E5A1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051BE6" w:rsidRDefault="008E5A1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051BE6" w:rsidRDefault="008E5A1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796,948.88</w:t>
            </w:r>
          </w:p>
        </w:tc>
      </w:tr>
      <w:tr w:rsidR="00051BE6">
        <w:tc>
          <w:tcPr>
            <w:tcW w:w="1235" w:type="dxa"/>
            <w:vAlign w:val="center"/>
          </w:tcPr>
          <w:p w:rsidR="00051BE6" w:rsidRDefault="008E5A1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051BE6" w:rsidRDefault="008E5A1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051BE6" w:rsidRDefault="008E5A1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51BE6">
        <w:tc>
          <w:tcPr>
            <w:tcW w:w="1235" w:type="dxa"/>
            <w:vAlign w:val="center"/>
          </w:tcPr>
          <w:p w:rsidR="00051BE6" w:rsidRDefault="008E5A1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051BE6" w:rsidRDefault="008E5A1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051BE6" w:rsidRDefault="008E5A1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1,567,099.16</w:t>
            </w:r>
          </w:p>
        </w:tc>
      </w:tr>
      <w:tr w:rsidR="00051BE6">
        <w:tc>
          <w:tcPr>
            <w:tcW w:w="1235" w:type="dxa"/>
            <w:vAlign w:val="center"/>
          </w:tcPr>
          <w:p w:rsidR="00051BE6" w:rsidRDefault="008E5A1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051BE6" w:rsidRDefault="008E5A1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051BE6" w:rsidRDefault="008E5A1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32,169.40</w:t>
            </w:r>
          </w:p>
        </w:tc>
      </w:tr>
      <w:tr w:rsidR="00051BE6">
        <w:tc>
          <w:tcPr>
            <w:tcW w:w="1235" w:type="dxa"/>
            <w:vAlign w:val="center"/>
          </w:tcPr>
          <w:p w:rsidR="00051BE6" w:rsidRDefault="008E5A1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051BE6" w:rsidRDefault="008E5A1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051BE6" w:rsidRDefault="008E5A1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51BE6">
        <w:tc>
          <w:tcPr>
            <w:tcW w:w="1235" w:type="dxa"/>
            <w:vAlign w:val="center"/>
          </w:tcPr>
          <w:p w:rsidR="00051BE6" w:rsidRDefault="008E5A1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051BE6" w:rsidRDefault="008E5A1C">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051BE6" w:rsidRDefault="008E5A1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051BE6">
        <w:tc>
          <w:tcPr>
            <w:tcW w:w="1235" w:type="dxa"/>
            <w:vAlign w:val="center"/>
          </w:tcPr>
          <w:p w:rsidR="00051BE6" w:rsidRDefault="008E5A1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051BE6" w:rsidRDefault="008E5A1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051BE6" w:rsidRDefault="008E5A1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51BE6">
        <w:tc>
          <w:tcPr>
            <w:tcW w:w="1235" w:type="dxa"/>
            <w:vAlign w:val="center"/>
          </w:tcPr>
          <w:p w:rsidR="00051BE6" w:rsidRDefault="008E5A1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051BE6" w:rsidRDefault="008E5A1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051BE6" w:rsidRDefault="008E5A1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2,464,190.28</w:t>
            </w:r>
          </w:p>
        </w:tc>
      </w:tr>
    </w:tbl>
    <w:p w:rsidR="00051BE6" w:rsidRDefault="00051BE6">
      <w:pPr>
        <w:autoSpaceDE w:val="0"/>
        <w:autoSpaceDN w:val="0"/>
        <w:adjustRightInd w:val="0"/>
        <w:spacing w:line="360" w:lineRule="auto"/>
        <w:rPr>
          <w:rFonts w:asciiTheme="minorEastAsia" w:eastAsiaTheme="minorEastAsia" w:hAnsiTheme="minorEastAsia"/>
          <w:color w:val="000000" w:themeColor="text1"/>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tbl>
      <w:tblPr>
        <w:tblStyle w:val="af8"/>
        <w:tblW w:w="8513" w:type="dxa"/>
        <w:tblInd w:w="15" w:type="dxa"/>
        <w:tblLayout w:type="fixed"/>
        <w:tblLook w:val="04A0" w:firstRow="1" w:lastRow="0" w:firstColumn="1" w:lastColumn="0" w:noHBand="0" w:noVBand="1"/>
      </w:tblPr>
      <w:tblGrid>
        <w:gridCol w:w="1808"/>
        <w:gridCol w:w="1729"/>
        <w:gridCol w:w="1658"/>
        <w:gridCol w:w="1697"/>
        <w:gridCol w:w="1621"/>
      </w:tblGrid>
      <w:tr w:rsidR="00051BE6">
        <w:tc>
          <w:tcPr>
            <w:tcW w:w="1808"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729"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658"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697"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21" w:type="dxa"/>
            <w:vAlign w:val="center"/>
          </w:tcPr>
          <w:p w:rsidR="00051BE6" w:rsidRDefault="008E5A1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r>
      <w:tr w:rsidR="00051BE6">
        <w:tc>
          <w:tcPr>
            <w:tcW w:w="1808" w:type="dxa"/>
            <w:vAlign w:val="center"/>
          </w:tcPr>
          <w:p w:rsidR="00051BE6" w:rsidRDefault="008E5A1C">
            <w:pPr>
              <w:jc w:val="center"/>
            </w:pPr>
            <w:r>
              <w:rPr>
                <w:rFonts w:asciiTheme="minorEastAsia" w:eastAsiaTheme="minorEastAsia" w:hAnsiTheme="minorEastAsia" w:cs="宋体"/>
                <w:color w:val="000000" w:themeColor="text1"/>
                <w:kern w:val="0"/>
              </w:rPr>
              <w:t>1</w:t>
            </w:r>
          </w:p>
        </w:tc>
        <w:tc>
          <w:tcPr>
            <w:tcW w:w="1729" w:type="dxa"/>
            <w:vAlign w:val="center"/>
          </w:tcPr>
          <w:p w:rsidR="00051BE6" w:rsidRDefault="008E5A1C">
            <w:pPr>
              <w:jc w:val="center"/>
            </w:pPr>
            <w:r>
              <w:rPr>
                <w:rFonts w:asciiTheme="minorEastAsia" w:eastAsiaTheme="minorEastAsia" w:hAnsiTheme="minorEastAsia" w:cs="宋体"/>
                <w:color w:val="000000" w:themeColor="text1"/>
                <w:kern w:val="0"/>
              </w:rPr>
              <w:t>113015</w:t>
            </w:r>
          </w:p>
        </w:tc>
        <w:tc>
          <w:tcPr>
            <w:tcW w:w="1658" w:type="dxa"/>
            <w:vAlign w:val="center"/>
          </w:tcPr>
          <w:p w:rsidR="00051BE6" w:rsidRDefault="008E5A1C">
            <w:pPr>
              <w:jc w:val="center"/>
            </w:pPr>
            <w:r>
              <w:rPr>
                <w:rFonts w:asciiTheme="minorEastAsia" w:eastAsiaTheme="minorEastAsia" w:hAnsiTheme="minorEastAsia" w:cs="宋体"/>
                <w:color w:val="000000" w:themeColor="text1"/>
                <w:kern w:val="0"/>
              </w:rPr>
              <w:t>隆基转债</w:t>
            </w:r>
          </w:p>
        </w:tc>
        <w:tc>
          <w:tcPr>
            <w:tcW w:w="1697" w:type="dxa"/>
            <w:vAlign w:val="center"/>
          </w:tcPr>
          <w:p w:rsidR="00051BE6" w:rsidRDefault="008E5A1C">
            <w:pPr>
              <w:jc w:val="right"/>
            </w:pPr>
            <w:r>
              <w:rPr>
                <w:rFonts w:asciiTheme="minorEastAsia" w:eastAsiaTheme="minorEastAsia" w:hAnsiTheme="minorEastAsia" w:cs="宋体"/>
                <w:color w:val="000000" w:themeColor="text1"/>
                <w:kern w:val="0"/>
              </w:rPr>
              <w:t>148,200.80</w:t>
            </w:r>
          </w:p>
        </w:tc>
        <w:tc>
          <w:tcPr>
            <w:tcW w:w="1621" w:type="dxa"/>
            <w:vAlign w:val="center"/>
          </w:tcPr>
          <w:p w:rsidR="00051BE6" w:rsidRDefault="008E5A1C">
            <w:pPr>
              <w:jc w:val="right"/>
            </w:pPr>
            <w:r>
              <w:rPr>
                <w:rFonts w:asciiTheme="minorEastAsia" w:eastAsiaTheme="minorEastAsia" w:hAnsiTheme="minorEastAsia" w:cs="宋体"/>
                <w:color w:val="000000" w:themeColor="text1"/>
                <w:kern w:val="0"/>
              </w:rPr>
              <w:t>0.07</w:t>
            </w:r>
          </w:p>
        </w:tc>
      </w:tr>
    </w:tbl>
    <w:p w:rsidR="00051BE6" w:rsidRDefault="00051BE6">
      <w:pPr>
        <w:autoSpaceDE w:val="0"/>
        <w:autoSpaceDN w:val="0"/>
        <w:adjustRightInd w:val="0"/>
        <w:spacing w:line="360" w:lineRule="auto"/>
        <w:rPr>
          <w:rFonts w:asciiTheme="minorEastAsia" w:eastAsiaTheme="minorEastAsia" w:hAnsiTheme="minorEastAsia"/>
          <w:color w:val="000000" w:themeColor="text1"/>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051BE6" w:rsidRDefault="008E5A1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051BE6" w:rsidRDefault="00051BE6">
      <w:pPr>
        <w:autoSpaceDE w:val="0"/>
        <w:autoSpaceDN w:val="0"/>
        <w:adjustRightInd w:val="0"/>
        <w:spacing w:line="360" w:lineRule="auto"/>
        <w:rPr>
          <w:rFonts w:asciiTheme="minorEastAsia" w:eastAsiaTheme="minorEastAsia" w:hAnsiTheme="minorEastAsia"/>
          <w:color w:val="000000" w:themeColor="text1"/>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051BE6" w:rsidRDefault="008E5A1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051BE6" w:rsidRDefault="008E5A1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051BE6">
        <w:tc>
          <w:tcPr>
            <w:tcW w:w="4609" w:type="dxa"/>
            <w:tcBorders>
              <w:top w:val="single" w:sz="8" w:space="0" w:color="000000"/>
              <w:left w:val="single" w:sz="8" w:space="0" w:color="000000"/>
              <w:bottom w:val="single" w:sz="8" w:space="0" w:color="000000"/>
              <w:right w:val="single" w:sz="8" w:space="0" w:color="000000"/>
            </w:tcBorders>
            <w:vAlign w:val="center"/>
          </w:tcPr>
          <w:p w:rsidR="00051BE6" w:rsidRDefault="008E5A1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51BE6" w:rsidRDefault="008E5A1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141,015,691.75</w:t>
            </w:r>
          </w:p>
        </w:tc>
      </w:tr>
      <w:tr w:rsidR="00051BE6">
        <w:tc>
          <w:tcPr>
            <w:tcW w:w="4609" w:type="dxa"/>
            <w:tcBorders>
              <w:top w:val="single" w:sz="8" w:space="0" w:color="000000"/>
              <w:left w:val="single" w:sz="8" w:space="0" w:color="000000"/>
              <w:bottom w:val="single" w:sz="8" w:space="0" w:color="000000"/>
              <w:right w:val="single" w:sz="8" w:space="0" w:color="000000"/>
            </w:tcBorders>
            <w:vAlign w:val="center"/>
          </w:tcPr>
          <w:p w:rsidR="00051BE6" w:rsidRDefault="008E5A1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51BE6" w:rsidRDefault="008E5A1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1,708,088.72</w:t>
            </w:r>
          </w:p>
        </w:tc>
      </w:tr>
      <w:tr w:rsidR="00051BE6">
        <w:tc>
          <w:tcPr>
            <w:tcW w:w="4609" w:type="dxa"/>
            <w:tcBorders>
              <w:top w:val="single" w:sz="8" w:space="0" w:color="000000"/>
              <w:left w:val="single" w:sz="8" w:space="0" w:color="000000"/>
              <w:bottom w:val="single" w:sz="8" w:space="0" w:color="000000"/>
              <w:right w:val="single" w:sz="8" w:space="0" w:color="000000"/>
            </w:tcBorders>
            <w:vAlign w:val="center"/>
          </w:tcPr>
          <w:p w:rsidR="00051BE6" w:rsidRDefault="008E5A1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51BE6" w:rsidRDefault="008E5A1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3,654,811.15</w:t>
            </w:r>
          </w:p>
        </w:tc>
      </w:tr>
      <w:tr w:rsidR="00051BE6">
        <w:tc>
          <w:tcPr>
            <w:tcW w:w="4609" w:type="dxa"/>
            <w:tcBorders>
              <w:top w:val="single" w:sz="8" w:space="0" w:color="000000"/>
              <w:left w:val="single" w:sz="8" w:space="0" w:color="000000"/>
              <w:bottom w:val="single" w:sz="8" w:space="0" w:color="000000"/>
              <w:right w:val="single" w:sz="8" w:space="0" w:color="000000"/>
            </w:tcBorders>
            <w:vAlign w:val="center"/>
          </w:tcPr>
          <w:p w:rsidR="00051BE6" w:rsidRDefault="008E5A1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51BE6" w:rsidRDefault="008E5A1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051BE6">
        <w:tc>
          <w:tcPr>
            <w:tcW w:w="4609" w:type="dxa"/>
            <w:tcBorders>
              <w:top w:val="single" w:sz="8" w:space="0" w:color="000000"/>
              <w:left w:val="single" w:sz="8" w:space="0" w:color="000000"/>
              <w:bottom w:val="single" w:sz="8" w:space="0" w:color="000000"/>
              <w:right w:val="single" w:sz="8" w:space="0" w:color="000000"/>
            </w:tcBorders>
            <w:vAlign w:val="center"/>
          </w:tcPr>
          <w:p w:rsidR="00051BE6" w:rsidRDefault="008E5A1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51BE6" w:rsidRDefault="008E5A1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139,068,969.32</w:t>
            </w:r>
          </w:p>
        </w:tc>
      </w:tr>
    </w:tbl>
    <w:p w:rsidR="00051BE6" w:rsidRDefault="008E5A1C">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051BE6" w:rsidRDefault="008E5A1C">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051BE6" w:rsidRDefault="008E5A1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051BE6" w:rsidRDefault="00051BE6">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051BE6" w:rsidRDefault="008E5A1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、中国证监会批准上投摩根双核平衡混合型证券投资基金设立的文件；</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、《上投摩根双核平衡混合型证券投资基金基金合同》；</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、《上投摩根双核平衡混合型证券投资基金托管协议》；</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、《上投摩根开放式基金业务规则》；</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、基金管理人业务资格批件、营业执照；</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、基金托管人业务资格批件和营业执照。</w:t>
      </w:r>
    </w:p>
    <w:p w:rsidR="00051BE6" w:rsidRDefault="00051BE6">
      <w:pPr>
        <w:spacing w:line="360" w:lineRule="auto"/>
        <w:ind w:firstLineChars="200" w:firstLine="480"/>
        <w:rPr>
          <w:rFonts w:asciiTheme="minorEastAsia" w:eastAsiaTheme="minorEastAsia" w:hAnsiTheme="minorEastAsia"/>
          <w:color w:val="000000" w:themeColor="text1"/>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051BE6" w:rsidRDefault="00051BE6">
      <w:pPr>
        <w:spacing w:line="360" w:lineRule="auto"/>
        <w:ind w:firstLineChars="200" w:firstLine="480"/>
        <w:rPr>
          <w:rFonts w:asciiTheme="minorEastAsia" w:eastAsiaTheme="minorEastAsia" w:hAnsiTheme="minorEastAsia"/>
          <w:color w:val="000000" w:themeColor="text1"/>
          <w:sz w:val="24"/>
          <w:szCs w:val="24"/>
        </w:rPr>
      </w:pPr>
    </w:p>
    <w:p w:rsidR="00051BE6" w:rsidRDefault="008E5A1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051BE6" w:rsidRDefault="008E5A1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051BE6" w:rsidRDefault="00051BE6">
      <w:pPr>
        <w:spacing w:line="360" w:lineRule="auto"/>
        <w:ind w:left="840"/>
        <w:jc w:val="right"/>
        <w:rPr>
          <w:rFonts w:asciiTheme="minorEastAsia" w:eastAsiaTheme="minorEastAsia" w:hAnsiTheme="minorEastAsia"/>
          <w:color w:val="000000" w:themeColor="text1"/>
          <w:sz w:val="24"/>
          <w:szCs w:val="24"/>
        </w:rPr>
      </w:pPr>
    </w:p>
    <w:p w:rsidR="00051BE6" w:rsidRDefault="00051BE6">
      <w:pPr>
        <w:spacing w:line="360" w:lineRule="auto"/>
        <w:ind w:left="840"/>
        <w:jc w:val="right"/>
        <w:rPr>
          <w:rFonts w:asciiTheme="minorEastAsia" w:eastAsiaTheme="minorEastAsia" w:hAnsiTheme="minorEastAsia"/>
          <w:color w:val="000000" w:themeColor="text1"/>
          <w:sz w:val="24"/>
          <w:szCs w:val="24"/>
        </w:rPr>
      </w:pPr>
    </w:p>
    <w:p w:rsidR="00051BE6" w:rsidRDefault="00051BE6">
      <w:pPr>
        <w:spacing w:line="360" w:lineRule="auto"/>
        <w:ind w:left="840"/>
        <w:jc w:val="right"/>
        <w:rPr>
          <w:rFonts w:asciiTheme="minorEastAsia" w:eastAsiaTheme="minorEastAsia" w:hAnsiTheme="minorEastAsia"/>
          <w:color w:val="000000" w:themeColor="text1"/>
          <w:sz w:val="24"/>
          <w:szCs w:val="24"/>
        </w:rPr>
      </w:pPr>
    </w:p>
    <w:p w:rsidR="00051BE6" w:rsidRDefault="00051BE6">
      <w:pPr>
        <w:spacing w:line="360" w:lineRule="auto"/>
        <w:ind w:left="840"/>
        <w:jc w:val="right"/>
        <w:rPr>
          <w:rFonts w:asciiTheme="minorEastAsia" w:eastAsiaTheme="minorEastAsia" w:hAnsiTheme="minorEastAsia"/>
          <w:color w:val="000000" w:themeColor="text1"/>
          <w:sz w:val="24"/>
          <w:szCs w:val="24"/>
        </w:rPr>
      </w:pPr>
    </w:p>
    <w:p w:rsidR="00051BE6" w:rsidRDefault="00051BE6">
      <w:pPr>
        <w:spacing w:line="360" w:lineRule="auto"/>
        <w:ind w:left="840"/>
        <w:jc w:val="right"/>
        <w:rPr>
          <w:rFonts w:asciiTheme="minorEastAsia" w:eastAsiaTheme="minorEastAsia" w:hAnsiTheme="minorEastAsia"/>
          <w:color w:val="000000" w:themeColor="text1"/>
          <w:sz w:val="24"/>
          <w:szCs w:val="24"/>
        </w:rPr>
      </w:pPr>
    </w:p>
    <w:p w:rsidR="00051BE6" w:rsidRDefault="00051BE6">
      <w:pPr>
        <w:spacing w:line="360" w:lineRule="auto"/>
        <w:ind w:left="840"/>
        <w:jc w:val="right"/>
        <w:rPr>
          <w:rFonts w:asciiTheme="minorEastAsia" w:eastAsiaTheme="minorEastAsia" w:hAnsiTheme="minorEastAsia"/>
          <w:color w:val="000000" w:themeColor="text1"/>
          <w:sz w:val="24"/>
          <w:szCs w:val="24"/>
        </w:rPr>
      </w:pPr>
    </w:p>
    <w:p w:rsidR="00051BE6" w:rsidRDefault="00051BE6">
      <w:pPr>
        <w:spacing w:line="360" w:lineRule="auto"/>
        <w:ind w:left="840"/>
        <w:jc w:val="right"/>
        <w:rPr>
          <w:rFonts w:asciiTheme="minorEastAsia" w:eastAsiaTheme="minorEastAsia" w:hAnsiTheme="minorEastAsia"/>
          <w:color w:val="000000" w:themeColor="text1"/>
          <w:sz w:val="24"/>
          <w:szCs w:val="24"/>
        </w:rPr>
      </w:pPr>
    </w:p>
    <w:p w:rsidR="00051BE6" w:rsidRDefault="00051BE6">
      <w:pPr>
        <w:spacing w:line="360" w:lineRule="auto"/>
        <w:ind w:left="840"/>
        <w:jc w:val="right"/>
        <w:rPr>
          <w:rFonts w:asciiTheme="minorEastAsia" w:eastAsiaTheme="minorEastAsia" w:hAnsiTheme="minorEastAsia"/>
          <w:color w:val="000000" w:themeColor="text1"/>
          <w:sz w:val="24"/>
          <w:szCs w:val="24"/>
        </w:rPr>
      </w:pPr>
    </w:p>
    <w:p w:rsidR="00051BE6" w:rsidRDefault="008E5A1C">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051BE6" w:rsidRDefault="008E5A1C">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二〇一九年四月十九日</w:t>
      </w:r>
    </w:p>
    <w:p w:rsidR="00051BE6" w:rsidRDefault="00051BE6">
      <w:pPr>
        <w:spacing w:line="360" w:lineRule="auto"/>
        <w:ind w:left="840"/>
        <w:jc w:val="right"/>
        <w:rPr>
          <w:rFonts w:asciiTheme="minorEastAsia" w:eastAsiaTheme="minorEastAsia" w:hAnsiTheme="minorEastAsia"/>
          <w:b/>
          <w:bCs/>
          <w:color w:val="000000" w:themeColor="text1"/>
          <w:sz w:val="24"/>
          <w:szCs w:val="24"/>
        </w:rPr>
      </w:pPr>
    </w:p>
    <w:p w:rsidR="00051BE6" w:rsidRDefault="00051BE6">
      <w:pPr>
        <w:rPr>
          <w:rFonts w:asciiTheme="minorEastAsia" w:eastAsiaTheme="minorEastAsia" w:hAnsiTheme="minorEastAsia"/>
          <w:color w:val="000000" w:themeColor="text1"/>
          <w:sz w:val="24"/>
          <w:szCs w:val="24"/>
        </w:rPr>
      </w:pPr>
    </w:p>
    <w:sectPr w:rsidR="00051BE6">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5A1C">
      <w:r>
        <w:separator/>
      </w:r>
    </w:p>
  </w:endnote>
  <w:endnote w:type="continuationSeparator" w:id="0">
    <w:p w:rsidR="00000000" w:rsidRDefault="008E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E6" w:rsidRDefault="008E5A1C">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8E5A1C">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E6" w:rsidRDefault="008E5A1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051BE6" w:rsidRDefault="00051B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5A1C">
      <w:r>
        <w:separator/>
      </w:r>
    </w:p>
  </w:footnote>
  <w:footnote w:type="continuationSeparator" w:id="0">
    <w:p w:rsidR="00000000" w:rsidRDefault="008E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E6" w:rsidRDefault="008E5A1C">
    <w:pPr>
      <w:pStyle w:val="ad"/>
      <w:pBdr>
        <w:bottom w:val="single" w:sz="6" w:space="0" w:color="auto"/>
      </w:pBdr>
      <w:jc w:val="right"/>
    </w:pPr>
    <w:r>
      <w:rPr>
        <w:rFonts w:hint="eastAsia"/>
      </w:rPr>
      <w:t>上投摩根双核平衡混合型证券投资基金</w:t>
    </w:r>
    <w:r>
      <w:rPr>
        <w:rFonts w:hint="eastAsia"/>
      </w:rPr>
      <w:t>2019</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51BE6"/>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E5A1C"/>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C43A9-47BF-44E6-B7C9-2734B834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0A24EA-66AE-4805-942A-2167FA3D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 Qiu</cp:lastModifiedBy>
  <cp:revision>265</cp:revision>
  <dcterms:created xsi:type="dcterms:W3CDTF">2012-10-16T06:07:00Z</dcterms:created>
  <dcterms:modified xsi:type="dcterms:W3CDTF">2019-04-17T07:00:00Z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