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66CA2" w:rsidRDefault="00566CA2">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66CA2" w:rsidRDefault="00566CA2">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66CA2" w:rsidRDefault="00566CA2">
      <w:pPr>
        <w:spacing w:line="360" w:lineRule="auto"/>
        <w:jc w:val="center"/>
        <w:rPr>
          <w:rFonts w:hint="eastAsia"/>
        </w:rPr>
      </w:pPr>
      <w:r>
        <w:rPr>
          <w:rFonts w:ascii="宋体" w:hAnsi="宋体" w:hint="eastAsia"/>
          <w:b/>
          <w:bCs/>
          <w:color w:val="000000" w:themeColor="text1"/>
          <w:sz w:val="48"/>
          <w:szCs w:val="30"/>
        </w:rPr>
        <w:t>摩根双息平衡混合型证券投资基金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66CA2" w:rsidRDefault="00566CA2">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66CA2" w:rsidRDefault="00566CA2">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66CA2" w:rsidRDefault="00566CA2">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66CA2" w:rsidRDefault="00566CA2">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566CA2" w:rsidRDefault="00566CA2">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66CA2" w:rsidRDefault="00566CA2">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66CA2" w:rsidRDefault="00566CA2">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基金乃依据中港基金互认安排已获香港证券及期货事务监察委员会（下称“香港证监会”）之认可在香港公开发售的内地基金。香港证监会认可不等于对该产品作出推介或认许，亦不是对该产品的商业利弊或表现作出保证，更不代表该产品适合所有投资者，或认许该产品适合任何个别投资者或任何类别的投资者。</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66CA2" w:rsidRDefault="00566CA2">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719"/>
        <w:gridCol w:w="1719"/>
        <w:gridCol w:w="1719"/>
      </w:tblGrid>
      <w:tr w:rsidR="00000000">
        <w:trPr>
          <w:divId w:val="205234113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66CA2" w:rsidRDefault="00566CA2">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szCs w:val="24"/>
                <w:lang w:eastAsia="zh-Hans"/>
              </w:rPr>
              <w:t>摩根双息平衡混</w:t>
            </w:r>
            <w:r>
              <w:rPr>
                <w:rFonts w:ascii="宋体" w:hAnsi="宋体" w:hint="eastAsia"/>
                <w:szCs w:val="24"/>
                <w:lang w:eastAsia="zh-Hans"/>
              </w:rPr>
              <w:t>合</w:t>
            </w:r>
            <w:r>
              <w:rPr>
                <w:rFonts w:ascii="宋体" w:hAnsi="宋体" w:hint="eastAsia"/>
                <w:lang w:eastAsia="zh-Hans"/>
              </w:rPr>
              <w:t xml:space="preserve"> </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37301</w:t>
            </w:r>
            <w:r>
              <w:rPr>
                <w:rFonts w:ascii="宋体" w:hAnsi="宋体" w:hint="eastAsia"/>
                <w:lang w:eastAsia="zh-Hans"/>
              </w:rPr>
              <w:t>0</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契约型开放</w:t>
            </w:r>
            <w:r>
              <w:rPr>
                <w:rFonts w:ascii="宋体" w:hAnsi="宋体" w:hint="eastAsia"/>
                <w:lang w:eastAsia="zh-Hans"/>
              </w:rPr>
              <w:t>式</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2006</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716,730,678.5</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本基金重点投资高股息、高债息品种，获得稳定的股息与债息收入，同时把握资本利得机会以争取完全收益，力求为投资者创造绝对回报</w:t>
            </w:r>
            <w:r>
              <w:rPr>
                <w:rFonts w:ascii="宋体" w:hAnsi="宋体" w:hint="eastAsia"/>
                <w:lang w:eastAsia="zh-Hans"/>
              </w:rPr>
              <w:t>。</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本基金兼具红利与平衡基金特色，在借鉴</w:t>
            </w:r>
            <w:r>
              <w:rPr>
                <w:rFonts w:ascii="宋体" w:hAnsi="宋体" w:hint="eastAsia"/>
                <w:lang w:eastAsia="zh-Hans"/>
              </w:rPr>
              <w:t>JP</w:t>
            </w:r>
            <w:r>
              <w:rPr>
                <w:rFonts w:ascii="宋体" w:hAnsi="宋体" w:hint="eastAsia"/>
                <w:lang w:eastAsia="zh-Hans"/>
              </w:rPr>
              <w:t>摩根资产管理集团全球行之有效的投资理念基础上，充分结合国内资本市场的实际特征，通过严格的证券选择，深入挖掘股息与债息的获利机会，并积极运用战略资产配置（</w:t>
            </w:r>
            <w:r>
              <w:rPr>
                <w:rFonts w:ascii="宋体" w:hAnsi="宋体" w:hint="eastAsia"/>
                <w:lang w:eastAsia="zh-Hans"/>
              </w:rPr>
              <w:t>SAA</w:t>
            </w:r>
            <w:r>
              <w:rPr>
                <w:rFonts w:ascii="宋体" w:hAnsi="宋体" w:hint="eastAsia"/>
                <w:lang w:eastAsia="zh-Hans"/>
              </w:rPr>
              <w:t>）和战术资产配置（</w:t>
            </w:r>
            <w:r>
              <w:rPr>
                <w:rFonts w:ascii="宋体" w:hAnsi="宋体" w:hint="eastAsia"/>
                <w:lang w:eastAsia="zh-Hans"/>
              </w:rPr>
              <w:t>TAA</w:t>
            </w:r>
            <w:r>
              <w:rPr>
                <w:rFonts w:ascii="宋体" w:hAnsi="宋体" w:hint="eastAsia"/>
                <w:lang w:eastAsia="zh-Hans"/>
              </w:rPr>
              <w:t>）策略，动态优化投资组合，以实现进可攻、退可守的投资布局。在达到预期投资回报后，本基金会适度锁定投资收益，及时调整资产配置比例以保证基金表现持续平稳。</w:t>
            </w:r>
            <w:r>
              <w:rPr>
                <w:rFonts w:ascii="宋体" w:hAnsi="宋体" w:hint="eastAsia"/>
                <w:lang w:eastAsia="zh-Hans"/>
              </w:rPr>
              <w:br/>
              <w:t>1</w:t>
            </w:r>
            <w:r>
              <w:rPr>
                <w:rFonts w:ascii="宋体" w:hAnsi="宋体" w:hint="eastAsia"/>
                <w:lang w:eastAsia="zh-Hans"/>
              </w:rPr>
              <w:t>、股票选择策略</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）红利股预筛选。注意考察公司持续盈利能力和分红能力，特别剔除“超能力现金分红”的公司。</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）红利股甄别。筛选出现金股息率高、分红稳定、行业布局合理的高品质上市公司，最终形成本基金的备选股票池。</w:t>
            </w:r>
            <w:r>
              <w:rPr>
                <w:rFonts w:ascii="宋体" w:hAnsi="宋体" w:hint="eastAsia"/>
                <w:lang w:eastAsia="zh-Hans"/>
              </w:rPr>
              <w:br/>
            </w:r>
            <w:r>
              <w:rPr>
                <w:rFonts w:ascii="宋体" w:hAnsi="宋体" w:hint="eastAsia"/>
                <w:lang w:eastAsia="zh-Hans"/>
              </w:rPr>
              <w:t>（</w:t>
            </w:r>
            <w:r>
              <w:rPr>
                <w:rFonts w:ascii="宋体" w:hAnsi="宋体" w:hint="eastAsia"/>
                <w:lang w:eastAsia="zh-Hans"/>
              </w:rPr>
              <w:t>3</w:t>
            </w:r>
            <w:r>
              <w:rPr>
                <w:rFonts w:ascii="宋体" w:hAnsi="宋体" w:hint="eastAsia"/>
                <w:lang w:eastAsia="zh-Hans"/>
              </w:rPr>
              <w:t>）红利股再调整。为构建核心股票池，以增加投资品种的长期稳定效益。</w:t>
            </w:r>
            <w:r>
              <w:rPr>
                <w:rFonts w:ascii="宋体" w:hAnsi="宋体" w:hint="eastAsia"/>
                <w:lang w:eastAsia="zh-Hans"/>
              </w:rPr>
              <w:br/>
              <w:t>2</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为有效控制股票投资风险，优化组合流动性管理，并显著提高投资组合债息收益，本基金将考虑稳健性资产配置，进行债券、货币市场工具等品种的投资，并主要通过类属配置与券种选择两个层次进行投资管理。</w:t>
            </w:r>
            <w:r>
              <w:rPr>
                <w:rFonts w:ascii="宋体" w:hAnsi="宋体" w:hint="eastAsia"/>
                <w:lang w:eastAsia="zh-Hans"/>
              </w:rPr>
              <w:br/>
              <w:t>3</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本基金将以</w:t>
            </w:r>
            <w:r>
              <w:rPr>
                <w:rFonts w:ascii="宋体" w:hAnsi="宋体" w:hint="eastAsia"/>
                <w:lang w:eastAsia="zh-Hans"/>
              </w:rPr>
              <w:t>SAA</w:t>
            </w:r>
            <w:r>
              <w:rPr>
                <w:rFonts w:ascii="宋体" w:hAnsi="宋体" w:hint="eastAsia"/>
                <w:lang w:eastAsia="zh-Hans"/>
              </w:rPr>
              <w:t>资产配置策略为基准，更侧重运用</w:t>
            </w:r>
            <w:r>
              <w:rPr>
                <w:rFonts w:ascii="宋体" w:hAnsi="宋体" w:hint="eastAsia"/>
                <w:lang w:eastAsia="zh-Hans"/>
              </w:rPr>
              <w:t>TAA</w:t>
            </w:r>
            <w:r>
              <w:rPr>
                <w:rFonts w:ascii="宋体" w:hAnsi="宋体" w:hint="eastAsia"/>
                <w:lang w:eastAsia="zh-Hans"/>
              </w:rPr>
              <w:t>资产配置策略，积极构建稳健型投资组合。</w:t>
            </w:r>
            <w:r>
              <w:rPr>
                <w:rFonts w:ascii="宋体" w:hAnsi="宋体" w:hint="eastAsia"/>
                <w:lang w:eastAsia="zh-Hans"/>
              </w:rPr>
              <w:br/>
              <w:t>4</w:t>
            </w:r>
            <w:r>
              <w:rPr>
                <w:rFonts w:ascii="宋体" w:hAnsi="宋体" w:hint="eastAsia"/>
                <w:lang w:eastAsia="zh-Hans"/>
              </w:rPr>
              <w:t>、其他投资策略：包括存托凭证投资策略</w:t>
            </w:r>
            <w:r>
              <w:rPr>
                <w:rFonts w:ascii="宋体" w:hAnsi="宋体" w:hint="eastAsia"/>
                <w:lang w:eastAsia="zh-Hans"/>
              </w:rPr>
              <w:t>。</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中证红利指数收益率×</w:t>
            </w:r>
            <w:r>
              <w:rPr>
                <w:rFonts w:ascii="宋体" w:hAnsi="宋体" w:hint="eastAsia"/>
                <w:lang w:eastAsia="zh-Hans"/>
              </w:rPr>
              <w:t>45%+</w:t>
            </w:r>
            <w:r>
              <w:rPr>
                <w:rFonts w:ascii="宋体" w:hAnsi="宋体" w:hint="eastAsia"/>
                <w:lang w:eastAsia="zh-Hans"/>
              </w:rPr>
              <w:t>中债总指数收益率×</w:t>
            </w:r>
            <w:r>
              <w:rPr>
                <w:rFonts w:ascii="宋体" w:hAnsi="宋体" w:hint="eastAsia"/>
                <w:lang w:eastAsia="zh-Hans"/>
              </w:rPr>
              <w:t>55</w:t>
            </w:r>
            <w:r>
              <w:rPr>
                <w:rFonts w:ascii="宋体" w:hAnsi="宋体" w:hint="eastAsia"/>
                <w:lang w:eastAsia="zh-Hans"/>
              </w:rPr>
              <w:t>%</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本基金是混合型证券投资基金，主要投资于红利股及相似条件下到期收益率较高的优良债券品种，风险高于债券基金和货币市场基金，低于股票基金，属于中低风险的证券投资基金产品。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05234113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205234113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bookmarkStart w:id="33"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lang w:eastAsia="zh-Hans"/>
              </w:rPr>
              <w:t>摩根双息平衡混合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lang w:eastAsia="zh-Hans"/>
              </w:rPr>
              <w:t>摩根双息平衡混合</w:t>
            </w:r>
            <w:r>
              <w:rPr>
                <w:rFonts w:ascii="宋体" w:hAnsi="宋体" w:hint="eastAsia"/>
                <w:lang w:eastAsia="zh-Hans"/>
              </w:rPr>
              <w:t>C</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lang w:eastAsia="zh-Hans"/>
              </w:rPr>
              <w:t>摩根双息平衡混合</w:t>
            </w:r>
            <w:r>
              <w:rPr>
                <w:rFonts w:ascii="宋体" w:hAnsi="宋体" w:hint="eastAsia"/>
                <w:lang w:eastAsia="zh-Hans"/>
              </w:rPr>
              <w:t>H</w:t>
            </w:r>
            <w:r>
              <w:rPr>
                <w:rFonts w:ascii="宋体" w:hAnsi="宋体" w:hint="eastAsia"/>
                <w:kern w:val="0"/>
                <w:sz w:val="20"/>
                <w:lang w:eastAsia="zh-Hans"/>
              </w:rPr>
              <w:t xml:space="preserve"> </w:t>
            </w:r>
          </w:p>
        </w:tc>
      </w:tr>
      <w:tr w:rsidR="00000000">
        <w:trPr>
          <w:divId w:val="205234113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lang w:eastAsia="zh-Hans"/>
              </w:rPr>
              <w:t>37301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lang w:eastAsia="zh-Hans"/>
              </w:rPr>
              <w:t>01680</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lang w:eastAsia="zh-Hans"/>
              </w:rPr>
              <w:t>96000</w:t>
            </w:r>
            <w:r>
              <w:rPr>
                <w:rFonts w:ascii="宋体" w:hAnsi="宋体" w:hint="eastAsia"/>
                <w:lang w:eastAsia="zh-Hans"/>
              </w:rPr>
              <w:t>5</w:t>
            </w:r>
            <w:r>
              <w:rPr>
                <w:rFonts w:ascii="宋体" w:hAnsi="宋体" w:hint="eastAsia"/>
                <w:kern w:val="0"/>
                <w:sz w:val="20"/>
                <w:lang w:eastAsia="zh-Hans"/>
              </w:rPr>
              <w:t xml:space="preserve"> </w:t>
            </w:r>
          </w:p>
        </w:tc>
      </w:tr>
      <w:bookmarkEnd w:id="32"/>
      <w:bookmarkEnd w:id="33"/>
      <w:tr w:rsidR="00000000">
        <w:trPr>
          <w:divId w:val="205234113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66CA2" w:rsidRDefault="00566CA2">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lang w:eastAsia="zh-Hans"/>
              </w:rPr>
              <w:t>715,215,165.7</w:t>
            </w:r>
            <w:r>
              <w:rPr>
                <w:rFonts w:ascii="宋体" w:hAnsi="宋体" w:hint="eastAsia"/>
                <w:lang w:eastAsia="zh-Hans"/>
              </w:rPr>
              <w:t>6</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lang w:eastAsia="zh-Hans"/>
              </w:rPr>
              <w:t>449,374.2</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lang w:eastAsia="zh-Hans"/>
              </w:rPr>
              <w:t>1,066,138.6</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566CA2" w:rsidRDefault="00566CA2">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66CA2" w:rsidRDefault="00566CA2">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66CA2" w:rsidRDefault="00566CA2">
      <w:pPr>
        <w:jc w:val="right"/>
        <w:divId w:val="1287279143"/>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2"/>
        <w:gridCol w:w="1971"/>
        <w:gridCol w:w="1971"/>
        <w:gridCol w:w="1971"/>
      </w:tblGrid>
      <w:tr w:rsidR="00000000">
        <w:trPr>
          <w:divId w:val="128727914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66CA2" w:rsidRDefault="00566CA2">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66CA2" w:rsidRDefault="00566CA2">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28727914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6CA2" w:rsidRDefault="00566CA2">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66CA2" w:rsidRDefault="00566CA2">
            <w:pPr>
              <w:jc w:val="center"/>
              <w:rPr>
                <w:rFonts w:hint="eastAsia"/>
              </w:rPr>
            </w:pPr>
            <w:r>
              <w:rPr>
                <w:rFonts w:ascii="宋体" w:hAnsi="宋体" w:hint="eastAsia"/>
                <w:szCs w:val="24"/>
                <w:lang w:eastAsia="zh-Hans"/>
              </w:rPr>
              <w:t>摩根双息平衡混合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66CA2" w:rsidRDefault="00566CA2">
            <w:pPr>
              <w:jc w:val="center"/>
            </w:pPr>
            <w:r>
              <w:rPr>
                <w:rFonts w:ascii="宋体" w:hAnsi="宋体" w:hint="eastAsia"/>
                <w:szCs w:val="24"/>
                <w:lang w:eastAsia="zh-Hans"/>
              </w:rPr>
              <w:t>摩根双息平衡混合</w:t>
            </w:r>
            <w:r>
              <w:rPr>
                <w:rFonts w:ascii="宋体" w:hAnsi="宋体" w:hint="eastAsia"/>
                <w:szCs w:val="24"/>
                <w:lang w:eastAsia="zh-Hans"/>
              </w:rPr>
              <w:t>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66CA2" w:rsidRDefault="00566CA2">
            <w:pPr>
              <w:jc w:val="center"/>
            </w:pPr>
            <w:r>
              <w:rPr>
                <w:rFonts w:ascii="宋体" w:hAnsi="宋体" w:hint="eastAsia"/>
                <w:szCs w:val="24"/>
                <w:lang w:eastAsia="zh-Hans"/>
              </w:rPr>
              <w:t>摩根双息平衡混合</w:t>
            </w:r>
            <w:r>
              <w:rPr>
                <w:rFonts w:ascii="宋体" w:hAnsi="宋体" w:hint="eastAsia"/>
                <w:szCs w:val="24"/>
                <w:lang w:eastAsia="zh-Hans"/>
              </w:rPr>
              <w:t>H</w:t>
            </w:r>
          </w:p>
        </w:tc>
      </w:tr>
      <w:tr w:rsidR="00000000">
        <w:trPr>
          <w:divId w:val="12872791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rPr>
                <w:rFonts w:hint="eastAsia"/>
              </w:rPr>
            </w:pPr>
            <w:r>
              <w:rPr>
                <w:rFonts w:ascii="宋体" w:hAnsi="宋体" w:hint="eastAsia"/>
                <w:szCs w:val="24"/>
                <w:lang w:eastAsia="zh-Hans"/>
              </w:rPr>
              <w:t>-6,439,807.2</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-4,261.0</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-9,710.4</w:t>
            </w:r>
            <w:r>
              <w:rPr>
                <w:rFonts w:ascii="宋体" w:hAnsi="宋体" w:hint="eastAsia"/>
                <w:szCs w:val="24"/>
                <w:lang w:eastAsia="zh-Hans"/>
              </w:rPr>
              <w:t>6</w:t>
            </w:r>
          </w:p>
        </w:tc>
      </w:tr>
      <w:tr w:rsidR="00000000">
        <w:trPr>
          <w:divId w:val="12872791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rPr>
                <w:rFonts w:hint="eastAsia"/>
              </w:rPr>
            </w:pPr>
            <w:r>
              <w:rPr>
                <w:rFonts w:ascii="宋体" w:hAnsi="宋体" w:hint="eastAsia"/>
                <w:szCs w:val="24"/>
                <w:lang w:eastAsia="zh-Hans"/>
              </w:rPr>
              <w:t>-64,510,606.2</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-38,994.5</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-96,491.7</w:t>
            </w:r>
            <w:r>
              <w:rPr>
                <w:rFonts w:ascii="宋体" w:hAnsi="宋体" w:hint="eastAsia"/>
                <w:szCs w:val="24"/>
                <w:lang w:eastAsia="zh-Hans"/>
              </w:rPr>
              <w:t>8</w:t>
            </w:r>
          </w:p>
        </w:tc>
      </w:tr>
      <w:tr w:rsidR="00000000">
        <w:trPr>
          <w:divId w:val="12872791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rPr>
                <w:rFonts w:hint="eastAsia"/>
              </w:rPr>
            </w:pPr>
            <w:r>
              <w:rPr>
                <w:rFonts w:ascii="宋体" w:hAnsi="宋体" w:hint="eastAsia"/>
                <w:szCs w:val="24"/>
                <w:lang w:eastAsia="zh-Hans"/>
              </w:rPr>
              <w:t>-0.087</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-0.057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-0.091</w:t>
            </w:r>
            <w:r>
              <w:rPr>
                <w:rFonts w:ascii="宋体" w:hAnsi="宋体" w:hint="eastAsia"/>
                <w:szCs w:val="24"/>
                <w:lang w:eastAsia="zh-Hans"/>
              </w:rPr>
              <w:t>2</w:t>
            </w:r>
          </w:p>
        </w:tc>
      </w:tr>
      <w:tr w:rsidR="00000000">
        <w:trPr>
          <w:divId w:val="12872791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rPr>
                <w:rFonts w:hint="eastAsia"/>
              </w:rPr>
            </w:pPr>
            <w:r>
              <w:rPr>
                <w:rFonts w:ascii="宋体" w:hAnsi="宋体" w:hint="eastAsia"/>
                <w:szCs w:val="24"/>
                <w:lang w:eastAsia="zh-Hans"/>
              </w:rPr>
              <w:t>588,710,846.4</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363,757.8</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875,187.2</w:t>
            </w:r>
            <w:r>
              <w:rPr>
                <w:rFonts w:ascii="宋体" w:hAnsi="宋体" w:hint="eastAsia"/>
                <w:szCs w:val="24"/>
                <w:lang w:eastAsia="zh-Hans"/>
              </w:rPr>
              <w:t>3</w:t>
            </w:r>
          </w:p>
        </w:tc>
      </w:tr>
      <w:tr w:rsidR="00000000">
        <w:trPr>
          <w:divId w:val="128727914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rPr>
                <w:rFonts w:hint="eastAsia"/>
              </w:rPr>
            </w:pPr>
            <w:r>
              <w:rPr>
                <w:rFonts w:ascii="宋体" w:hAnsi="宋体" w:hint="eastAsia"/>
                <w:szCs w:val="24"/>
                <w:lang w:eastAsia="zh-Hans"/>
              </w:rPr>
              <w:t>0.823</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0.809</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66CA2" w:rsidRDefault="00566CA2">
            <w:pPr>
              <w:jc w:val="right"/>
            </w:pPr>
            <w:r>
              <w:rPr>
                <w:rFonts w:ascii="宋体" w:hAnsi="宋体" w:hint="eastAsia"/>
                <w:szCs w:val="24"/>
                <w:lang w:eastAsia="zh-Hans"/>
              </w:rPr>
              <w:t>0.820</w:t>
            </w:r>
            <w:r>
              <w:rPr>
                <w:rFonts w:ascii="宋体" w:hAnsi="宋体" w:hint="eastAsia"/>
                <w:szCs w:val="24"/>
                <w:lang w:eastAsia="zh-Hans"/>
              </w:rPr>
              <w:t>9</w:t>
            </w:r>
          </w:p>
        </w:tc>
      </w:tr>
    </w:tbl>
    <w:p w:rsidR="00566CA2" w:rsidRDefault="00566CA2">
      <w:pPr>
        <w:wordWrap w:val="0"/>
        <w:spacing w:line="360" w:lineRule="auto"/>
        <w:jc w:val="left"/>
        <w:divId w:val="138185557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66CA2" w:rsidRDefault="00566CA2">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66CA2" w:rsidRDefault="00566CA2">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66CA2" w:rsidRDefault="00566CA2">
      <w:pPr>
        <w:spacing w:line="360" w:lineRule="auto"/>
        <w:jc w:val="center"/>
        <w:divId w:val="1120341724"/>
        <w:rPr>
          <w:rFonts w:hint="eastAsia"/>
        </w:rPr>
      </w:pPr>
      <w:r>
        <w:rPr>
          <w:rFonts w:ascii="宋体" w:hAnsi="宋体" w:hint="eastAsia"/>
        </w:rPr>
        <w:t>摩根双息平衡混合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2034172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②－④</w:t>
            </w:r>
            <w:r>
              <w:rPr>
                <w:rFonts w:ascii="宋体" w:hAnsi="宋体" w:hint="eastAsia"/>
              </w:rPr>
              <w:t xml:space="preserve"> </w:t>
            </w:r>
          </w:p>
        </w:tc>
      </w:tr>
      <w:tr w:rsidR="00000000">
        <w:trPr>
          <w:divId w:val="11203417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-9.7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-5.2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-4.4</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2</w:t>
            </w:r>
            <w:r>
              <w:rPr>
                <w:rFonts w:ascii="宋体" w:hAnsi="宋体" w:hint="eastAsia"/>
              </w:rPr>
              <w:t xml:space="preserve">% </w:t>
            </w:r>
          </w:p>
        </w:tc>
      </w:tr>
      <w:tr w:rsidR="00000000">
        <w:trPr>
          <w:divId w:val="11203417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-10.8</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-3.5</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1</w:t>
            </w:r>
            <w:r>
              <w:rPr>
                <w:rFonts w:ascii="宋体" w:hAnsi="宋体" w:hint="eastAsia"/>
              </w:rPr>
              <w:t xml:space="preserve">% </w:t>
            </w:r>
          </w:p>
        </w:tc>
      </w:tr>
      <w:tr w:rsidR="00000000">
        <w:trPr>
          <w:divId w:val="11203417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-2.8</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r>
      <w:tr w:rsidR="00000000">
        <w:trPr>
          <w:divId w:val="11203417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1.2</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-0.7</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0.2</w:t>
            </w:r>
            <w:r>
              <w:rPr>
                <w:rFonts w:ascii="宋体" w:hAnsi="宋体" w:hint="eastAsia"/>
              </w:rPr>
              <w:t>6</w:t>
            </w:r>
            <w:r>
              <w:rPr>
                <w:rFonts w:ascii="宋体" w:hAnsi="宋体" w:hint="eastAsia"/>
              </w:rPr>
              <w:t xml:space="preserve">% </w:t>
            </w:r>
          </w:p>
        </w:tc>
      </w:tr>
      <w:tr w:rsidR="00000000">
        <w:trPr>
          <w:divId w:val="11203417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-11.6</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-14.7</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3</w:t>
            </w:r>
            <w:r>
              <w:rPr>
                <w:rFonts w:ascii="宋体" w:hAnsi="宋体" w:hint="eastAsia"/>
              </w:rPr>
              <w:t xml:space="preserve">% </w:t>
            </w:r>
          </w:p>
        </w:tc>
      </w:tr>
      <w:tr w:rsidR="00000000">
        <w:trPr>
          <w:divId w:val="11203417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18.3</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11.4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6.8</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6</w:t>
            </w:r>
            <w:r>
              <w:rPr>
                <w:rFonts w:ascii="宋体" w:hAnsi="宋体" w:hint="eastAsia"/>
              </w:rPr>
              <w:t xml:space="preserve">% </w:t>
            </w:r>
          </w:p>
        </w:tc>
      </w:tr>
      <w:tr w:rsidR="00000000">
        <w:trPr>
          <w:divId w:val="11203417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0.8</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21.1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-24.7</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r>
      <w:tr w:rsidR="00000000">
        <w:trPr>
          <w:divId w:val="112034172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275.2</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199.3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75.8</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6</w:t>
            </w:r>
            <w:r>
              <w:rPr>
                <w:rFonts w:ascii="宋体" w:hAnsi="宋体" w:hint="eastAsia"/>
              </w:rPr>
              <w:t xml:space="preserve">% </w:t>
            </w:r>
          </w:p>
        </w:tc>
      </w:tr>
    </w:tbl>
    <w:p w:rsidR="00566CA2" w:rsidRDefault="00566CA2">
      <w:pPr>
        <w:spacing w:line="360" w:lineRule="auto"/>
        <w:jc w:val="center"/>
        <w:divId w:val="154221408"/>
      </w:pPr>
      <w:r>
        <w:rPr>
          <w:rFonts w:ascii="宋体" w:hAnsi="宋体" w:hint="eastAsia"/>
        </w:rPr>
        <w:t>摩根双息平衡混合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422140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42214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-9.9</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-5.2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-4.6</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542214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-11.1</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-7.5</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542214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-2.2</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1.5</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542214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0.5</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-1.4</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0.2</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5422140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2.2</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0.6</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4.7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-2.5</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r>
    </w:tbl>
    <w:p w:rsidR="00566CA2" w:rsidRDefault="00566CA2">
      <w:pPr>
        <w:spacing w:line="360" w:lineRule="auto"/>
        <w:jc w:val="center"/>
        <w:divId w:val="1554535641"/>
      </w:pPr>
      <w:r>
        <w:rPr>
          <w:rFonts w:ascii="宋体" w:hAnsi="宋体" w:hint="eastAsia"/>
        </w:rPr>
        <w:t>摩根双息平衡混合</w:t>
      </w:r>
      <w:r>
        <w:rPr>
          <w:rFonts w:ascii="宋体" w:hAnsi="宋体" w:hint="eastAsia"/>
        </w:rPr>
        <w:t>H</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5453564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545356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-9.8</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-5.2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-4.5</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5545356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-10.9</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-3.5</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-7.3</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5545356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-3.0</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0.8</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5545356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-1.2</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0.2</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5545356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-12.3</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-15.4</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5545356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17.2</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0.8</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11.4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5.8</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5545356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-3.9</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0.8</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21.1</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-25.0</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55453564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8.0</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0.8</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21.9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66CA2" w:rsidRDefault="00566CA2">
            <w:pPr>
              <w:spacing w:line="360" w:lineRule="auto"/>
              <w:jc w:val="right"/>
            </w:pPr>
            <w:r>
              <w:rPr>
                <w:rFonts w:ascii="宋体" w:hAnsi="宋体" w:hint="eastAsia"/>
              </w:rPr>
              <w:t>-13.8</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spacing w:line="360" w:lineRule="auto"/>
              <w:jc w:val="right"/>
            </w:pPr>
            <w:r>
              <w:rPr>
                <w:rFonts w:ascii="宋体" w:hAnsi="宋体" w:hint="eastAsia"/>
              </w:rPr>
              <w:t>0.4</w:t>
            </w:r>
            <w:r>
              <w:rPr>
                <w:rFonts w:ascii="宋体" w:hAnsi="宋体" w:hint="eastAsia"/>
              </w:rPr>
              <w:t>1</w:t>
            </w:r>
            <w:r>
              <w:rPr>
                <w:rFonts w:ascii="宋体" w:hAnsi="宋体" w:hint="eastAsia"/>
              </w:rPr>
              <w:t>%</w:t>
            </w:r>
            <w:r>
              <w:rPr>
                <w:rFonts w:ascii="宋体" w:hAnsi="宋体" w:hint="eastAsia"/>
              </w:rPr>
              <w:t xml:space="preserve"> </w:t>
            </w:r>
          </w:p>
        </w:tc>
      </w:tr>
    </w:tbl>
    <w:p w:rsidR="00566CA2" w:rsidRDefault="00566CA2">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66CA2" w:rsidRDefault="00566CA2">
      <w:pPr>
        <w:spacing w:line="360" w:lineRule="auto"/>
        <w:jc w:val="left"/>
        <w:divId w:val="40746593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66CA2" w:rsidRDefault="00566CA2">
      <w:pPr>
        <w:spacing w:line="360" w:lineRule="auto"/>
        <w:jc w:val="left"/>
        <w:divId w:val="1666014274"/>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66CA2" w:rsidRDefault="00566CA2">
      <w:pPr>
        <w:spacing w:line="360" w:lineRule="auto"/>
        <w:jc w:val="left"/>
        <w:divId w:val="1906797078"/>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66CA2" w:rsidRDefault="00566CA2">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2006</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w:t>
      </w:r>
      <w:r>
        <w:rPr>
          <w:rFonts w:ascii="宋体" w:hAnsi="宋体" w:hint="eastAsia"/>
          <w:lang w:eastAsia="zh-Hans"/>
        </w:rPr>
        <w:t>H</w:t>
      </w:r>
      <w:r>
        <w:rPr>
          <w:rFonts w:ascii="宋体" w:hAnsi="宋体" w:hint="eastAsia"/>
          <w:lang w:eastAsia="zh-Hans"/>
        </w:rPr>
        <w:t>类份额生效日为</w:t>
      </w:r>
      <w:r>
        <w:rPr>
          <w:rFonts w:ascii="宋体" w:hAnsi="宋体" w:hint="eastAsia"/>
          <w:lang w:eastAsia="zh-Hans"/>
        </w:rPr>
        <w:t>2016</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17</w:t>
      </w:r>
      <w:r>
        <w:rPr>
          <w:rFonts w:ascii="宋体" w:hAnsi="宋体" w:hint="eastAsia"/>
          <w:lang w:eastAsia="zh-Hans"/>
        </w:rPr>
        <w:t>日，图示的时间段为本类份额生效日至本报告期末。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66CA2" w:rsidRDefault="00566CA2">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66CA2" w:rsidRDefault="00566CA2">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74044364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74044364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6CA2" w:rsidRDefault="00566CA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CA2" w:rsidRDefault="00566CA2">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CA2" w:rsidRDefault="00566CA2">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6CA2" w:rsidRDefault="00566CA2">
            <w:pPr>
              <w:widowControl/>
              <w:jc w:val="left"/>
            </w:pPr>
          </w:p>
        </w:tc>
      </w:tr>
      <w:tr w:rsidR="00000000">
        <w:trPr>
          <w:divId w:val="74044364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梁</w:t>
            </w:r>
            <w:r>
              <w:rPr>
                <w:rFonts w:ascii="宋体" w:hAnsi="宋体" w:hint="eastAsia"/>
                <w:szCs w:val="24"/>
                <w:lang w:eastAsia="zh-Hans"/>
              </w:rPr>
              <w:t>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2</w:t>
            </w:r>
            <w:r>
              <w:rPr>
                <w:rFonts w:ascii="宋体" w:hAnsi="宋体" w:hint="eastAsia"/>
                <w:szCs w:val="24"/>
                <w:lang w:eastAsia="zh-Hans"/>
              </w:rPr>
              <w:t>月</w:t>
            </w:r>
            <w:r>
              <w:rPr>
                <w:rFonts w:ascii="宋体" w:hAnsi="宋体" w:hint="eastAsia"/>
                <w:szCs w:val="24"/>
                <w:lang w:eastAsia="zh-Hans"/>
              </w:rPr>
              <w:t>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szCs w:val="24"/>
                <w:lang w:eastAsia="zh-Hans"/>
              </w:rPr>
              <w:t>梁鹏先生曾任上海申银万国证券研究所行业分析师，新活力资本投资公司投资副总监，太平基金管理有限公司基金经理；自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，现任国内权益投资部高级基金经理</w:t>
            </w:r>
            <w:r>
              <w:rPr>
                <w:rFonts w:ascii="宋体" w:hAnsi="宋体" w:hint="eastAsia"/>
                <w:szCs w:val="24"/>
                <w:lang w:eastAsia="zh-Hans"/>
              </w:rPr>
              <w:t>。</w:t>
            </w:r>
          </w:p>
        </w:tc>
      </w:tr>
    </w:tbl>
    <w:p w:rsidR="00566CA2" w:rsidRDefault="00566CA2">
      <w:pPr>
        <w:wordWrap w:val="0"/>
        <w:spacing w:line="360" w:lineRule="auto"/>
        <w:jc w:val="left"/>
        <w:divId w:val="93914761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66CA2" w:rsidRDefault="00566CA2">
      <w:pPr>
        <w:pStyle w:val="XBRLTitle3"/>
        <w:spacing w:before="156"/>
        <w:ind w:left="0"/>
        <w:divId w:val="530414854"/>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857037217"/>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66CA2" w:rsidRDefault="00566CA2">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66CA2" w:rsidRDefault="00566CA2">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66CA2" w:rsidRDefault="00566CA2">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66CA2" w:rsidRDefault="00566CA2">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66CA2" w:rsidRDefault="00566CA2">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857037217"/>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center"/>
            </w:pPr>
            <w:r>
              <w:rPr>
                <w:rFonts w:ascii="宋体" w:hAnsi="宋体" w:hint="eastAsia"/>
                <w:szCs w:val="24"/>
              </w:rPr>
              <w:t>梁</w:t>
            </w:r>
            <w:r>
              <w:rPr>
                <w:rFonts w:ascii="宋体" w:hAnsi="宋体" w:hint="eastAsia"/>
                <w:szCs w:val="24"/>
              </w:rPr>
              <w:t>鹏</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right"/>
            </w:pPr>
            <w:r>
              <w:rPr>
                <w:rFonts w:ascii="宋体" w:hAnsi="宋体" w:hint="eastAsia"/>
                <w:szCs w:val="24"/>
              </w:rPr>
              <w:t>3</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right"/>
            </w:pPr>
            <w:r>
              <w:rPr>
                <w:rFonts w:ascii="宋体" w:hAnsi="宋体" w:hint="eastAsia"/>
                <w:szCs w:val="24"/>
              </w:rPr>
              <w:t>1,058,654,170.5</w:t>
            </w:r>
            <w:r>
              <w:rPr>
                <w:rFonts w:ascii="宋体" w:hAnsi="宋体" w:hint="eastAsia"/>
                <w:szCs w:val="24"/>
              </w:rPr>
              <w:t>7</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center"/>
            </w:pPr>
            <w:r>
              <w:rPr>
                <w:rFonts w:ascii="宋体" w:hAnsi="宋体" w:hint="eastAsia"/>
                <w:szCs w:val="24"/>
              </w:rPr>
              <w:t>2017-12-0</w:t>
            </w:r>
            <w:r>
              <w:rPr>
                <w:rFonts w:ascii="宋体" w:hAnsi="宋体" w:hint="eastAsia"/>
                <w:szCs w:val="24"/>
              </w:rPr>
              <w:t>1</w:t>
            </w:r>
          </w:p>
        </w:tc>
      </w:tr>
      <w:tr w:rsidR="00000000">
        <w:trPr>
          <w:divId w:val="185703721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66CA2" w:rsidRDefault="00566CA2">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right"/>
            </w:pPr>
            <w:r>
              <w:rPr>
                <w:rFonts w:ascii="宋体" w:hAnsi="宋体" w:hint="eastAsia"/>
                <w:szCs w:val="24"/>
              </w:rPr>
              <w:t>4</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right"/>
            </w:pPr>
            <w:r>
              <w:rPr>
                <w:rFonts w:ascii="宋体" w:hAnsi="宋体" w:hint="eastAsia"/>
                <w:szCs w:val="24"/>
              </w:rPr>
              <w:t>418,540,366.0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center"/>
            </w:pPr>
            <w:r>
              <w:rPr>
                <w:rFonts w:ascii="宋体" w:hAnsi="宋体" w:hint="eastAsia"/>
                <w:szCs w:val="24"/>
              </w:rPr>
              <w:t>2024-07-0</w:t>
            </w:r>
            <w:r>
              <w:rPr>
                <w:rFonts w:ascii="宋体" w:hAnsi="宋体" w:hint="eastAsia"/>
                <w:szCs w:val="24"/>
              </w:rPr>
              <w:t>4</w:t>
            </w:r>
          </w:p>
        </w:tc>
      </w:tr>
      <w:tr w:rsidR="00000000">
        <w:trPr>
          <w:divId w:val="185703721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66CA2" w:rsidRDefault="00566CA2">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center"/>
            </w:pPr>
            <w:r>
              <w:rPr>
                <w:rFonts w:ascii="宋体" w:hAnsi="宋体" w:hint="eastAsia"/>
                <w:szCs w:val="24"/>
              </w:rPr>
              <w:t>-</w:t>
            </w:r>
          </w:p>
        </w:tc>
      </w:tr>
      <w:tr w:rsidR="00000000">
        <w:trPr>
          <w:divId w:val="185703721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66CA2" w:rsidRDefault="00566CA2">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right"/>
            </w:pPr>
            <w:r>
              <w:rPr>
                <w:rFonts w:ascii="宋体" w:hAnsi="宋体" w:hint="eastAsia"/>
                <w:szCs w:val="24"/>
              </w:rPr>
              <w:t>1,477,194,536.5</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66CA2" w:rsidRDefault="00566CA2">
            <w:pPr>
              <w:jc w:val="center"/>
            </w:pPr>
            <w:r>
              <w:rPr>
                <w:rFonts w:ascii="宋体" w:hAnsi="宋体" w:hint="eastAsia"/>
                <w:szCs w:val="24"/>
              </w:rPr>
              <w:t xml:space="preserve">- </w:t>
            </w:r>
          </w:p>
        </w:tc>
      </w:tr>
    </w:tbl>
    <w:p w:rsidR="00566CA2" w:rsidRDefault="00566CA2">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566CA2" w:rsidRDefault="00566CA2">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66CA2" w:rsidRDefault="00566CA2">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566CA2" w:rsidRDefault="00566CA2">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566CA2" w:rsidRDefault="00566CA2">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66CA2" w:rsidRDefault="00566CA2">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566CA2" w:rsidRDefault="00566CA2">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66CA2" w:rsidRDefault="00566CA2">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566CA2" w:rsidRDefault="00566CA2">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年二季度，随着</w:t>
      </w:r>
      <w:r>
        <w:rPr>
          <w:rFonts w:ascii="宋体" w:hAnsi="宋体" w:cs="宋体" w:hint="eastAsia"/>
          <w:color w:val="000000"/>
          <w:kern w:val="0"/>
        </w:rPr>
        <w:t>AI</w:t>
      </w:r>
      <w:r>
        <w:rPr>
          <w:rFonts w:ascii="宋体" w:hAnsi="宋体" w:cs="宋体" w:hint="eastAsia"/>
          <w:color w:val="000000"/>
          <w:kern w:val="0"/>
        </w:rPr>
        <w:t>相关板块迭创新高，“抽水效应”逐月加强，逐步蔓延至红利资产板块。受此影响，二季度中证红利指数大幅下跌</w:t>
      </w:r>
      <w:r>
        <w:rPr>
          <w:rFonts w:ascii="宋体" w:hAnsi="宋体" w:cs="宋体" w:hint="eastAsia"/>
          <w:color w:val="000000"/>
          <w:kern w:val="0"/>
        </w:rPr>
        <w:t>12.3%</w:t>
      </w:r>
      <w:r>
        <w:rPr>
          <w:rFonts w:ascii="宋体" w:hAnsi="宋体" w:cs="宋体" w:hint="eastAsia"/>
          <w:color w:val="000000"/>
          <w:kern w:val="0"/>
        </w:rPr>
        <w:t>（一季度上涨</w:t>
      </w:r>
      <w:r>
        <w:rPr>
          <w:rFonts w:ascii="宋体" w:hAnsi="宋体" w:cs="宋体" w:hint="eastAsia"/>
          <w:color w:val="000000"/>
          <w:kern w:val="0"/>
        </w:rPr>
        <w:t>4.1%</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本基金维持高股息、高债息的主体配置策略，本报告期基金组合仍以金融、建筑建材、能源等行业为主，这些领域的行业龙头公司基于自身的成本、现金以及经营等优势，具备较稳定的盈利和分红的能力。</w:t>
      </w:r>
      <w:r>
        <w:rPr>
          <w:rFonts w:ascii="宋体" w:hAnsi="宋体" w:cs="宋体" w:hint="eastAsia"/>
          <w:color w:val="000000"/>
          <w:kern w:val="0"/>
        </w:rPr>
        <w:br/>
      </w:r>
      <w:r>
        <w:rPr>
          <w:rFonts w:ascii="宋体" w:hAnsi="宋体" w:cs="宋体" w:hint="eastAsia"/>
          <w:color w:val="000000"/>
          <w:kern w:val="0"/>
        </w:rPr>
        <w:t xml:space="preserve">　　基于对股票市场中期维度的景气判断，本基金将保持权益类资产的高比例配置，仅在高息资产类别内进行了适当的切换，寄希望于获得高股息的同时，同时获得一定额外的价值回归型收益。</w:t>
      </w:r>
      <w:r>
        <w:rPr>
          <w:rFonts w:ascii="宋体" w:hAnsi="宋体" w:cs="宋体" w:hint="eastAsia"/>
          <w:color w:val="000000"/>
          <w:kern w:val="0"/>
        </w:rPr>
        <w:br/>
      </w:r>
      <w:r>
        <w:rPr>
          <w:rFonts w:ascii="宋体" w:hAnsi="宋体" w:cs="宋体" w:hint="eastAsia"/>
          <w:color w:val="000000"/>
          <w:kern w:val="0"/>
        </w:rPr>
        <w:t xml:space="preserve">　　本基金将坚守高股息、高债息品种的配置，期望获得稳定的股息与债息收益，同时把握资本利得机会，力求为投资者创造超额的绝对回报。持续关注金融、工业、能源、消费等高股息领域的投资机会</w:t>
      </w:r>
      <w:r>
        <w:rPr>
          <w:rFonts w:ascii="宋体" w:hAnsi="宋体" w:cs="宋体" w:hint="eastAsia"/>
          <w:color w:val="000000"/>
          <w:kern w:val="0"/>
        </w:rPr>
        <w:t>。</w:t>
      </w:r>
    </w:p>
    <w:p w:rsidR="00566CA2" w:rsidRDefault="00566CA2">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566CA2" w:rsidRDefault="00566CA2">
      <w:pPr>
        <w:spacing w:line="360" w:lineRule="auto"/>
        <w:ind w:firstLineChars="200" w:firstLine="420"/>
        <w:rPr>
          <w:rFonts w:hint="eastAsia"/>
        </w:rPr>
      </w:pPr>
      <w:r>
        <w:rPr>
          <w:rFonts w:ascii="宋体" w:hAnsi="宋体" w:hint="eastAsia"/>
        </w:rPr>
        <w:t>本报告期摩根双息平衡混合</w:t>
      </w:r>
      <w:r>
        <w:rPr>
          <w:rFonts w:ascii="宋体" w:hAnsi="宋体" w:hint="eastAsia"/>
        </w:rPr>
        <w:t>A</w:t>
      </w:r>
      <w:r>
        <w:rPr>
          <w:rFonts w:ascii="宋体" w:hAnsi="宋体" w:hint="eastAsia"/>
        </w:rPr>
        <w:t>份额净值增长率为：</w:t>
      </w:r>
      <w:r>
        <w:rPr>
          <w:rFonts w:ascii="宋体" w:hAnsi="宋体" w:hint="eastAsia"/>
        </w:rPr>
        <w:t>-9.76%</w:t>
      </w:r>
      <w:r>
        <w:rPr>
          <w:rFonts w:ascii="宋体" w:hAnsi="宋体" w:hint="eastAsia"/>
        </w:rPr>
        <w:t>，同期业绩比较基准收益率为：</w:t>
      </w:r>
      <w:r>
        <w:rPr>
          <w:rFonts w:ascii="宋体" w:hAnsi="宋体" w:hint="eastAsia"/>
        </w:rPr>
        <w:t>-5.27%</w:t>
      </w:r>
      <w:r>
        <w:rPr>
          <w:rFonts w:ascii="宋体" w:hAnsi="宋体" w:hint="eastAsia"/>
        </w:rPr>
        <w:t>；</w:t>
      </w:r>
      <w:r>
        <w:rPr>
          <w:rFonts w:ascii="宋体" w:hAnsi="宋体" w:hint="eastAsia"/>
        </w:rPr>
        <w:br/>
      </w:r>
      <w:r>
        <w:rPr>
          <w:rFonts w:ascii="宋体" w:hAnsi="宋体" w:hint="eastAsia"/>
        </w:rPr>
        <w:t xml:space="preserve">　　摩根双息平衡混合</w:t>
      </w:r>
      <w:r>
        <w:rPr>
          <w:rFonts w:ascii="宋体" w:hAnsi="宋体" w:hint="eastAsia"/>
        </w:rPr>
        <w:t>C</w:t>
      </w:r>
      <w:r>
        <w:rPr>
          <w:rFonts w:ascii="宋体" w:hAnsi="宋体" w:hint="eastAsia"/>
        </w:rPr>
        <w:t>份额净值增长率为：</w:t>
      </w:r>
      <w:r>
        <w:rPr>
          <w:rFonts w:ascii="宋体" w:hAnsi="宋体" w:hint="eastAsia"/>
        </w:rPr>
        <w:t>-9.90%</w:t>
      </w:r>
      <w:r>
        <w:rPr>
          <w:rFonts w:ascii="宋体" w:hAnsi="宋体" w:hint="eastAsia"/>
        </w:rPr>
        <w:t>，同期业绩比较基准收益率为：</w:t>
      </w:r>
      <w:r>
        <w:rPr>
          <w:rFonts w:ascii="宋体" w:hAnsi="宋体" w:hint="eastAsia"/>
        </w:rPr>
        <w:t>-5.27%</w:t>
      </w:r>
      <w:r>
        <w:rPr>
          <w:rFonts w:ascii="宋体" w:hAnsi="宋体" w:hint="eastAsia"/>
        </w:rPr>
        <w:t>；</w:t>
      </w:r>
      <w:r>
        <w:rPr>
          <w:rFonts w:ascii="宋体" w:hAnsi="宋体" w:hint="eastAsia"/>
        </w:rPr>
        <w:br/>
      </w:r>
      <w:r>
        <w:rPr>
          <w:rFonts w:ascii="宋体" w:hAnsi="宋体" w:hint="eastAsia"/>
        </w:rPr>
        <w:t xml:space="preserve">　　摩根双息平衡混合</w:t>
      </w:r>
      <w:r>
        <w:rPr>
          <w:rFonts w:ascii="宋体" w:hAnsi="宋体" w:hint="eastAsia"/>
        </w:rPr>
        <w:t>H</w:t>
      </w:r>
      <w:r>
        <w:rPr>
          <w:rFonts w:ascii="宋体" w:hAnsi="宋体" w:hint="eastAsia"/>
        </w:rPr>
        <w:t>份额净值增长率为：</w:t>
      </w:r>
      <w:r>
        <w:rPr>
          <w:rFonts w:ascii="宋体" w:hAnsi="宋体" w:hint="eastAsia"/>
        </w:rPr>
        <w:t>-9.83%</w:t>
      </w:r>
      <w:r>
        <w:rPr>
          <w:rFonts w:ascii="宋体" w:hAnsi="宋体" w:hint="eastAsia"/>
        </w:rPr>
        <w:t>，同期业绩比较基准收益率为：</w:t>
      </w:r>
      <w:r>
        <w:rPr>
          <w:rFonts w:ascii="宋体" w:hAnsi="宋体" w:hint="eastAsia"/>
        </w:rPr>
        <w:t>-5.27%</w:t>
      </w:r>
      <w:r>
        <w:rPr>
          <w:rFonts w:ascii="宋体" w:hAnsi="宋体" w:hint="eastAsia"/>
        </w:rPr>
        <w:t>。</w:t>
      </w:r>
    </w:p>
    <w:p w:rsidR="00566CA2" w:rsidRDefault="00566CA2">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566CA2" w:rsidRDefault="00566CA2">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66CA2" w:rsidRDefault="00566CA2">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566CA2" w:rsidRDefault="00566CA2">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384,978,051.4</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64.4</w:t>
            </w:r>
            <w:r>
              <w:rPr>
                <w:rFonts w:ascii="宋体" w:hAnsi="宋体" w:hint="eastAsia"/>
                <w:szCs w:val="24"/>
                <w:lang w:eastAsia="zh-Hans"/>
              </w:rPr>
              <w:t>5</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384,978,051.4</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64.4</w:t>
            </w:r>
            <w:r>
              <w:rPr>
                <w:rFonts w:ascii="宋体" w:hAnsi="宋体" w:hint="eastAsia"/>
                <w:szCs w:val="24"/>
                <w:lang w:eastAsia="zh-Hans"/>
              </w:rPr>
              <w:t>5</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163,042,675.0</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27.2</w:t>
            </w:r>
            <w:r>
              <w:rPr>
                <w:rFonts w:ascii="宋体" w:hAnsi="宋体" w:hint="eastAsia"/>
                <w:szCs w:val="24"/>
                <w:lang w:eastAsia="zh-Hans"/>
              </w:rPr>
              <w:t>9</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163,042,675.0</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27.2</w:t>
            </w:r>
            <w:r>
              <w:rPr>
                <w:rFonts w:ascii="宋体" w:hAnsi="宋体" w:hint="eastAsia"/>
                <w:szCs w:val="24"/>
                <w:lang w:eastAsia="zh-Hans"/>
              </w:rPr>
              <w:t>9</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16,877,985.8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2.8</w:t>
            </w:r>
            <w:r>
              <w:rPr>
                <w:rFonts w:ascii="宋体" w:hAnsi="宋体" w:hint="eastAsia"/>
                <w:szCs w:val="24"/>
                <w:lang w:eastAsia="zh-Hans"/>
              </w:rPr>
              <w:t>3</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32,457,610.8</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5.4</w:t>
            </w:r>
            <w:r>
              <w:rPr>
                <w:rFonts w:ascii="宋体" w:hAnsi="宋体" w:hint="eastAsia"/>
                <w:szCs w:val="24"/>
                <w:lang w:eastAsia="zh-Hans"/>
              </w:rPr>
              <w:t>3</w:t>
            </w:r>
          </w:p>
        </w:tc>
      </w:tr>
      <w:tr w:rsidR="00000000">
        <w:trPr>
          <w:divId w:val="171457738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66CA2" w:rsidRDefault="00566CA2">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597,356,323.2</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100.0</w:t>
            </w:r>
            <w:r>
              <w:rPr>
                <w:rFonts w:ascii="宋体" w:hAnsi="宋体" w:hint="eastAsia"/>
                <w:szCs w:val="24"/>
                <w:lang w:eastAsia="zh-Hans"/>
              </w:rPr>
              <w:t>0</w:t>
            </w:r>
          </w:p>
        </w:tc>
      </w:tr>
    </w:tbl>
    <w:p w:rsidR="00566CA2" w:rsidRDefault="00566CA2">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566CA2" w:rsidRDefault="00566CA2">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213262988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66CA2" w:rsidRDefault="00566CA2">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66CA2" w:rsidRDefault="00566CA2">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66CA2" w:rsidRDefault="00566CA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10,497,000.0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1.7</w:t>
            </w:r>
            <w:r>
              <w:rPr>
                <w:rFonts w:ascii="宋体" w:hAnsi="宋体" w:hint="eastAsia"/>
                <w:szCs w:val="24"/>
                <w:lang w:eastAsia="zh-Hans"/>
              </w:rPr>
              <w:t>8</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59,546,835.4</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10.0</w:t>
            </w:r>
            <w:r>
              <w:rPr>
                <w:rFonts w:ascii="宋体" w:hAnsi="宋体" w:hint="eastAsia"/>
                <w:szCs w:val="24"/>
                <w:lang w:eastAsia="zh-Hans"/>
              </w:rPr>
              <w:t>9</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176,745,933.0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29.9</w:t>
            </w:r>
            <w:r>
              <w:rPr>
                <w:rFonts w:ascii="宋体" w:hAnsi="宋体" w:hint="eastAsia"/>
                <w:szCs w:val="24"/>
                <w:lang w:eastAsia="zh-Hans"/>
              </w:rPr>
              <w:t>6</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10,424,060.0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1.7</w:t>
            </w:r>
            <w:r>
              <w:rPr>
                <w:rFonts w:ascii="宋体" w:hAnsi="宋体" w:hint="eastAsia"/>
                <w:szCs w:val="24"/>
                <w:lang w:eastAsia="zh-Hans"/>
              </w:rPr>
              <w:t>7</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31,105,243.0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5.2</w:t>
            </w:r>
            <w:r>
              <w:rPr>
                <w:rFonts w:ascii="宋体" w:hAnsi="宋体" w:hint="eastAsia"/>
                <w:szCs w:val="24"/>
                <w:lang w:eastAsia="zh-Hans"/>
              </w:rPr>
              <w:t>7</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85,818,980.0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14.5</w:t>
            </w:r>
            <w:r>
              <w:rPr>
                <w:rFonts w:ascii="宋体" w:hAnsi="宋体" w:hint="eastAsia"/>
                <w:szCs w:val="24"/>
                <w:lang w:eastAsia="zh-Hans"/>
              </w:rPr>
              <w:t>5</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10,840,000.0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1.8</w:t>
            </w:r>
            <w:r>
              <w:rPr>
                <w:rFonts w:ascii="宋体" w:hAnsi="宋体" w:hint="eastAsia"/>
                <w:szCs w:val="24"/>
                <w:lang w:eastAsia="zh-Hans"/>
              </w:rPr>
              <w:t>4</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w:t>
            </w:r>
          </w:p>
        </w:tc>
      </w:tr>
      <w:tr w:rsidR="00000000">
        <w:trPr>
          <w:divId w:val="213262988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66CA2" w:rsidRDefault="00566CA2">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66CA2" w:rsidRDefault="00566CA2">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66CA2" w:rsidRDefault="00566CA2">
            <w:pPr>
              <w:jc w:val="right"/>
            </w:pPr>
            <w:r>
              <w:rPr>
                <w:rFonts w:ascii="宋体" w:hAnsi="宋体" w:hint="eastAsia"/>
                <w:szCs w:val="24"/>
                <w:lang w:eastAsia="zh-Hans"/>
              </w:rPr>
              <w:t>384,978,051.4</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66CA2" w:rsidRDefault="00566CA2">
            <w:pPr>
              <w:jc w:val="right"/>
            </w:pPr>
            <w:r>
              <w:rPr>
                <w:rFonts w:ascii="宋体" w:hAnsi="宋体" w:hint="eastAsia"/>
                <w:szCs w:val="24"/>
                <w:lang w:eastAsia="zh-Hans"/>
              </w:rPr>
              <w:t>65.2</w:t>
            </w:r>
            <w:r>
              <w:rPr>
                <w:rFonts w:ascii="宋体" w:hAnsi="宋体" w:hint="eastAsia"/>
                <w:szCs w:val="24"/>
                <w:lang w:eastAsia="zh-Hans"/>
              </w:rPr>
              <w:t>6</w:t>
            </w:r>
          </w:p>
        </w:tc>
      </w:tr>
    </w:tbl>
    <w:p w:rsidR="00566CA2" w:rsidRDefault="00566CA2">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566CA2" w:rsidRDefault="00566CA2">
      <w:pPr>
        <w:spacing w:line="360" w:lineRule="auto"/>
        <w:ind w:firstLineChars="200" w:firstLine="420"/>
        <w:divId w:val="859662072"/>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566CA2" w:rsidRDefault="00566CA2">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566CA2" w:rsidRDefault="00566CA2">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9605011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60123</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桐昆股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982,20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21,264,630.0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3.6</w:t>
            </w:r>
            <w:r>
              <w:rPr>
                <w:rFonts w:ascii="宋体" w:hAnsi="宋体" w:hint="eastAsia"/>
                <w:szCs w:val="24"/>
                <w:lang w:eastAsia="zh-Hans"/>
              </w:rPr>
              <w:t>0</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60108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中国神</w:t>
            </w:r>
            <w:r>
              <w:rPr>
                <w:rFonts w:ascii="宋体" w:hAnsi="宋体" w:hint="eastAsia"/>
                <w:szCs w:val="24"/>
                <w:lang w:eastAsia="zh-Hans"/>
              </w:rPr>
              <w:t>华</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19,520,000.0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3.3</w:t>
            </w:r>
            <w:r>
              <w:rPr>
                <w:rFonts w:ascii="宋体" w:hAnsi="宋体" w:hint="eastAsia"/>
                <w:szCs w:val="24"/>
                <w:lang w:eastAsia="zh-Hans"/>
              </w:rPr>
              <w:t>1</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60091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江苏银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1,799,50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19,398,610.0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3.2</w:t>
            </w:r>
            <w:r>
              <w:rPr>
                <w:rFonts w:ascii="宋体" w:hAnsi="宋体" w:hint="eastAsia"/>
                <w:szCs w:val="24"/>
                <w:lang w:eastAsia="zh-Hans"/>
              </w:rPr>
              <w:t>9</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60132</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交通银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19,290,000.0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3.2</w:t>
            </w:r>
            <w:r>
              <w:rPr>
                <w:rFonts w:ascii="宋体" w:hAnsi="宋体" w:hint="eastAsia"/>
                <w:szCs w:val="24"/>
                <w:lang w:eastAsia="zh-Hans"/>
              </w:rPr>
              <w:t>7</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60028</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羚锐制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940,20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18,221,076.0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w:t>
            </w:r>
            <w:r>
              <w:rPr>
                <w:rFonts w:ascii="宋体" w:hAnsi="宋体" w:hint="eastAsia"/>
                <w:szCs w:val="24"/>
                <w:lang w:eastAsia="zh-Hans"/>
              </w:rPr>
              <w:t>9</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60322</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新凤</w:t>
            </w:r>
            <w:r>
              <w:rPr>
                <w:rFonts w:ascii="宋体" w:hAnsi="宋体" w:hint="eastAsia"/>
                <w:szCs w:val="24"/>
                <w:lang w:eastAsia="zh-Hans"/>
              </w:rPr>
              <w:t>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880,80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17,307,720.0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2.9</w:t>
            </w:r>
            <w:r>
              <w:rPr>
                <w:rFonts w:ascii="宋体" w:hAnsi="宋体" w:hint="eastAsia"/>
                <w:szCs w:val="24"/>
                <w:lang w:eastAsia="zh-Hans"/>
              </w:rPr>
              <w:t>3</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60030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万华化</w:t>
            </w:r>
            <w:r>
              <w:rPr>
                <w:rFonts w:ascii="宋体" w:hAnsi="宋体" w:hint="eastAsia"/>
                <w:szCs w:val="24"/>
                <w:lang w:eastAsia="zh-Hans"/>
              </w:rPr>
              <w:t>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248,80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17,020,408.0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2.8</w:t>
            </w:r>
            <w:r>
              <w:rPr>
                <w:rFonts w:ascii="宋体" w:hAnsi="宋体" w:hint="eastAsia"/>
                <w:szCs w:val="24"/>
                <w:lang w:eastAsia="zh-Hans"/>
              </w:rPr>
              <w:t>9</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60128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农业银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2,800,00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16,996,000.0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2.8</w:t>
            </w:r>
            <w:r>
              <w:rPr>
                <w:rFonts w:ascii="宋体" w:hAnsi="宋体" w:hint="eastAsia"/>
                <w:szCs w:val="24"/>
                <w:lang w:eastAsia="zh-Hans"/>
              </w:rPr>
              <w:t>8</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60100</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大秦铁</w:t>
            </w:r>
            <w:r>
              <w:rPr>
                <w:rFonts w:ascii="宋体" w:hAnsi="宋体" w:hint="eastAsia"/>
                <w:szCs w:val="24"/>
                <w:lang w:eastAsia="zh-Hans"/>
              </w:rPr>
              <w:t>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3,536,30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16,302,343.0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2.7</w:t>
            </w:r>
            <w:r>
              <w:rPr>
                <w:rFonts w:ascii="宋体" w:hAnsi="宋体" w:hint="eastAsia"/>
                <w:szCs w:val="24"/>
                <w:lang w:eastAsia="zh-Hans"/>
              </w:rPr>
              <w:t>6</w:t>
            </w:r>
          </w:p>
        </w:tc>
      </w:tr>
      <w:tr w:rsidR="00000000">
        <w:trPr>
          <w:divId w:val="139605011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60001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宝钢股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16,290,000.0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2.7</w:t>
            </w:r>
            <w:r>
              <w:rPr>
                <w:rFonts w:ascii="宋体" w:hAnsi="宋体" w:hint="eastAsia"/>
                <w:szCs w:val="24"/>
                <w:lang w:eastAsia="zh-Hans"/>
              </w:rPr>
              <w:t>6</w:t>
            </w:r>
          </w:p>
        </w:tc>
      </w:tr>
    </w:tbl>
    <w:p w:rsidR="00566CA2" w:rsidRDefault="00566CA2">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163,042,675.0</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27.6</w:t>
            </w:r>
            <w:r>
              <w:rPr>
                <w:rFonts w:ascii="宋体" w:hAnsi="宋体" w:hint="eastAsia"/>
                <w:szCs w:val="24"/>
                <w:lang w:eastAsia="zh-Hans"/>
              </w:rPr>
              <w:t>4</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101,827,989.0</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17.2</w:t>
            </w:r>
            <w:r>
              <w:rPr>
                <w:rFonts w:ascii="宋体" w:hAnsi="宋体" w:hint="eastAsia"/>
                <w:szCs w:val="24"/>
                <w:lang w:eastAsia="zh-Hans"/>
              </w:rPr>
              <w:t>6</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w:t>
            </w:r>
          </w:p>
        </w:tc>
      </w:tr>
      <w:tr w:rsidR="00000000">
        <w:trPr>
          <w:divId w:val="160199360"/>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566CA2" w:rsidRDefault="00566CA2">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163,042,675.0</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566CA2" w:rsidRDefault="00566CA2">
            <w:pPr>
              <w:jc w:val="right"/>
            </w:pPr>
            <w:r>
              <w:rPr>
                <w:rFonts w:ascii="宋体" w:hAnsi="宋体" w:hint="eastAsia"/>
                <w:szCs w:val="24"/>
                <w:lang w:eastAsia="zh-Hans"/>
              </w:rPr>
              <w:t>27.6</w:t>
            </w:r>
            <w:r>
              <w:rPr>
                <w:rFonts w:ascii="宋体" w:hAnsi="宋体" w:hint="eastAsia"/>
                <w:szCs w:val="24"/>
                <w:lang w:eastAsia="zh-Hans"/>
              </w:rPr>
              <w:t>4</w:t>
            </w:r>
          </w:p>
        </w:tc>
      </w:tr>
    </w:tbl>
    <w:p w:rsidR="00566CA2" w:rsidRDefault="00566CA2">
      <w:pPr>
        <w:pStyle w:val="XBRLTitle2"/>
        <w:spacing w:before="156" w:line="360" w:lineRule="auto"/>
        <w:ind w:left="454"/>
      </w:pPr>
      <w:bookmarkStart w:id="207" w:name="_Toc17898202"/>
      <w:bookmarkStart w:id="208" w:name="_Toc17897954"/>
      <w:bookmarkStart w:id="209" w:name="_Toc481075071"/>
      <w:bookmarkStart w:id="210" w:name="_Toc438646472"/>
      <w:bookmarkStart w:id="211" w:name="_Toc490050024"/>
      <w:bookmarkStart w:id="212" w:name="_Toc512519503"/>
      <w:bookmarkStart w:id="213" w:name="_Toc513295863"/>
      <w:bookmarkStart w:id="214" w:name="_Toc513295915"/>
      <w:bookmarkStart w:id="215"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7"/>
      <w:bookmarkEnd w:id="208"/>
      <w:bookmarkEnd w:id="209"/>
      <w:bookmarkEnd w:id="210"/>
      <w:bookmarkEnd w:id="211"/>
      <w:bookmarkEnd w:id="212"/>
      <w:bookmarkEnd w:id="213"/>
      <w:bookmarkEnd w:id="214"/>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04722503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4722503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23020</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23</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7</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30,671,753.4</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5.2</w:t>
            </w:r>
            <w:r>
              <w:rPr>
                <w:rFonts w:ascii="宋体" w:hAnsi="宋体" w:hint="eastAsia"/>
                <w:szCs w:val="24"/>
                <w:lang w:eastAsia="zh-Hans"/>
              </w:rPr>
              <w:t>0</w:t>
            </w:r>
          </w:p>
        </w:tc>
      </w:tr>
      <w:tr w:rsidR="00000000">
        <w:trPr>
          <w:divId w:val="104722503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23240002</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24</w:t>
            </w:r>
            <w:r>
              <w:rPr>
                <w:rFonts w:ascii="宋体" w:hAnsi="宋体" w:hint="eastAsia"/>
                <w:szCs w:val="24"/>
                <w:lang w:eastAsia="zh-Hans"/>
              </w:rPr>
              <w:t>成都银行二级资本债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30,625,001.1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5.1</w:t>
            </w:r>
            <w:r>
              <w:rPr>
                <w:rFonts w:ascii="宋体" w:hAnsi="宋体" w:hint="eastAsia"/>
                <w:szCs w:val="24"/>
                <w:lang w:eastAsia="zh-Hans"/>
              </w:rPr>
              <w:t>9</w:t>
            </w:r>
          </w:p>
        </w:tc>
      </w:tr>
      <w:tr w:rsidR="00000000">
        <w:trPr>
          <w:divId w:val="104722503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222804</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22</w:t>
            </w:r>
            <w:r>
              <w:rPr>
                <w:rFonts w:ascii="宋体" w:hAnsi="宋体" w:hint="eastAsia"/>
                <w:szCs w:val="24"/>
                <w:lang w:eastAsia="zh-Hans"/>
              </w:rPr>
              <w:t>农业银行二级</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30,589,684.9</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5.1</w:t>
            </w:r>
            <w:r>
              <w:rPr>
                <w:rFonts w:ascii="宋体" w:hAnsi="宋体" w:hint="eastAsia"/>
                <w:szCs w:val="24"/>
                <w:lang w:eastAsia="zh-Hans"/>
              </w:rPr>
              <w:t>9</w:t>
            </w:r>
          </w:p>
        </w:tc>
      </w:tr>
      <w:tr w:rsidR="00000000">
        <w:trPr>
          <w:divId w:val="104722503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22020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22</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30,426,164.3</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5.1</w:t>
            </w:r>
            <w:r>
              <w:rPr>
                <w:rFonts w:ascii="宋体" w:hAnsi="宋体" w:hint="eastAsia"/>
                <w:szCs w:val="24"/>
                <w:lang w:eastAsia="zh-Hans"/>
              </w:rPr>
              <w:t>6</w:t>
            </w:r>
          </w:p>
        </w:tc>
      </w:tr>
      <w:tr w:rsidR="00000000">
        <w:trPr>
          <w:divId w:val="104722503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23041</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szCs w:val="24"/>
                <w:lang w:eastAsia="zh-Hans"/>
              </w:rPr>
              <w:t>23</w:t>
            </w:r>
            <w:r>
              <w:rPr>
                <w:rFonts w:ascii="宋体" w:hAnsi="宋体" w:hint="eastAsia"/>
                <w:szCs w:val="24"/>
                <w:lang w:eastAsia="zh-Hans"/>
              </w:rPr>
              <w:t>农发</w:t>
            </w:r>
            <w:r>
              <w:rPr>
                <w:rFonts w:ascii="宋体" w:hAnsi="宋体" w:hint="eastAsia"/>
                <w:szCs w:val="24"/>
                <w:lang w:eastAsia="zh-Hans"/>
              </w:rPr>
              <w:t>1</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20,422,438.3</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3.4</w:t>
            </w:r>
            <w:r>
              <w:rPr>
                <w:rFonts w:ascii="宋体" w:hAnsi="宋体" w:hint="eastAsia"/>
                <w:szCs w:val="24"/>
                <w:lang w:eastAsia="zh-Hans"/>
              </w:rPr>
              <w:t>6</w:t>
            </w:r>
          </w:p>
        </w:tc>
      </w:tr>
    </w:tbl>
    <w:p w:rsidR="00566CA2" w:rsidRDefault="00566CA2">
      <w:pPr>
        <w:pStyle w:val="XBRLTitle2"/>
        <w:spacing w:before="156" w:line="360" w:lineRule="auto"/>
        <w:ind w:left="454"/>
      </w:pPr>
      <w:bookmarkStart w:id="216" w:name="_Toc17898203"/>
      <w:bookmarkStart w:id="217" w:name="_Toc17897955"/>
      <w:bookmarkStart w:id="218" w:name="_Toc481075072"/>
      <w:bookmarkStart w:id="219" w:name="_Toc438646473"/>
      <w:bookmarkStart w:id="220" w:name="_Toc490050025"/>
      <w:bookmarkStart w:id="221" w:name="_Toc512519504"/>
      <w:bookmarkStart w:id="222" w:name="_Toc513295864"/>
      <w:bookmarkStart w:id="223" w:name="_Toc513295916"/>
      <w:bookmarkStart w:id="224" w:name="m507"/>
      <w:bookmarkEnd w:id="215"/>
      <w:r>
        <w:rPr>
          <w:rFonts w:hAnsi="宋体" w:hint="eastAsia"/>
        </w:rPr>
        <w:t>报告期末按公允价值占基金资产净值比例大小排序的前十名资产支持证券投资明</w:t>
      </w:r>
      <w:r>
        <w:rPr>
          <w:rFonts w:hAnsi="宋体" w:hint="eastAsia"/>
        </w:rPr>
        <w:t>细</w:t>
      </w:r>
      <w:bookmarkEnd w:id="216"/>
      <w:bookmarkEnd w:id="217"/>
      <w:bookmarkEnd w:id="218"/>
      <w:bookmarkEnd w:id="219"/>
      <w:bookmarkEnd w:id="220"/>
      <w:bookmarkEnd w:id="221"/>
      <w:bookmarkEnd w:id="222"/>
      <w:bookmarkEnd w:id="223"/>
      <w:r>
        <w:rPr>
          <w:rFonts w:hAnsi="宋体" w:hint="eastAsia"/>
        </w:rPr>
        <w:t xml:space="preserve"> </w:t>
      </w:r>
    </w:p>
    <w:p w:rsidR="00566CA2" w:rsidRDefault="00566CA2">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66CA2" w:rsidRDefault="00566CA2">
      <w:pPr>
        <w:pStyle w:val="XBRLTitle2"/>
        <w:spacing w:before="156" w:line="360" w:lineRule="auto"/>
        <w:ind w:left="454"/>
      </w:pPr>
      <w:bookmarkStart w:id="225" w:name="_Toc17898204"/>
      <w:bookmarkStart w:id="226" w:name="_Toc17897956"/>
      <w:bookmarkStart w:id="227" w:name="_Toc481075073"/>
      <w:bookmarkStart w:id="228" w:name="_Toc438646474"/>
      <w:bookmarkStart w:id="229" w:name="_Toc490050026"/>
      <w:bookmarkStart w:id="230" w:name="_Toc512519505"/>
      <w:bookmarkStart w:id="231" w:name="_Toc513295865"/>
      <w:bookmarkStart w:id="232" w:name="_Toc513295917"/>
      <w:bookmarkStart w:id="233" w:name="m508"/>
      <w:bookmarkEnd w:id="22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5"/>
      <w:bookmarkEnd w:id="226"/>
      <w:bookmarkEnd w:id="227"/>
      <w:bookmarkEnd w:id="228"/>
      <w:bookmarkEnd w:id="229"/>
      <w:bookmarkEnd w:id="230"/>
      <w:bookmarkEnd w:id="231"/>
      <w:bookmarkEnd w:id="232"/>
      <w:r>
        <w:rPr>
          <w:rFonts w:hAnsi="宋体" w:hint="eastAsia"/>
        </w:rPr>
        <w:t xml:space="preserve"> </w:t>
      </w:r>
    </w:p>
    <w:p w:rsidR="00566CA2" w:rsidRDefault="00566CA2">
      <w:pPr>
        <w:spacing w:line="360" w:lineRule="auto"/>
        <w:ind w:firstLineChars="200" w:firstLine="420"/>
        <w:divId w:val="961956521"/>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66CA2" w:rsidRDefault="00566CA2">
      <w:pPr>
        <w:pStyle w:val="XBRLTitle2"/>
        <w:spacing w:before="156" w:line="360" w:lineRule="auto"/>
        <w:ind w:left="454"/>
      </w:pPr>
      <w:bookmarkStart w:id="234" w:name="_Toc17898205"/>
      <w:bookmarkStart w:id="235" w:name="_Toc17897957"/>
      <w:bookmarkStart w:id="236" w:name="_Toc481075074"/>
      <w:bookmarkStart w:id="237" w:name="_Toc438646475"/>
      <w:bookmarkStart w:id="238" w:name="_Toc490050027"/>
      <w:bookmarkStart w:id="239" w:name="_Toc512519506"/>
      <w:bookmarkStart w:id="240" w:name="_Toc513295866"/>
      <w:bookmarkStart w:id="241" w:name="_Toc513295918"/>
      <w:bookmarkStart w:id="242" w:name="m509"/>
      <w:bookmarkEnd w:id="233"/>
      <w:r>
        <w:rPr>
          <w:rFonts w:hAnsi="宋体" w:hint="eastAsia"/>
        </w:rPr>
        <w:t>报告期末按公允价值占基金资产净值比例大小排序的前五名权证投资明</w:t>
      </w:r>
      <w:r>
        <w:rPr>
          <w:rFonts w:hAnsi="宋体" w:hint="eastAsia"/>
        </w:rPr>
        <w:t>细</w:t>
      </w:r>
      <w:bookmarkEnd w:id="234"/>
      <w:bookmarkEnd w:id="235"/>
      <w:bookmarkEnd w:id="236"/>
      <w:bookmarkEnd w:id="237"/>
      <w:bookmarkEnd w:id="238"/>
      <w:bookmarkEnd w:id="239"/>
      <w:bookmarkEnd w:id="240"/>
      <w:bookmarkEnd w:id="241"/>
      <w:r>
        <w:rPr>
          <w:rFonts w:hAnsi="宋体" w:hint="eastAsia"/>
        </w:rPr>
        <w:t xml:space="preserve"> </w:t>
      </w:r>
      <w:bookmarkEnd w:id="242"/>
    </w:p>
    <w:p w:rsidR="00566CA2" w:rsidRDefault="00566CA2">
      <w:pPr>
        <w:spacing w:line="360" w:lineRule="auto"/>
        <w:ind w:firstLineChars="200" w:firstLine="420"/>
        <w:divId w:val="1474785453"/>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66CA2" w:rsidRDefault="00566CA2">
      <w:pPr>
        <w:pStyle w:val="XBRLTitle2"/>
        <w:spacing w:before="156"/>
        <w:ind w:left="454"/>
      </w:pPr>
      <w:bookmarkStart w:id="243"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3"/>
    </w:p>
    <w:p w:rsidR="00566CA2" w:rsidRDefault="00566CA2">
      <w:pPr>
        <w:spacing w:line="360" w:lineRule="auto"/>
        <w:ind w:firstLineChars="200" w:firstLine="420"/>
        <w:divId w:val="871067537"/>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66CA2" w:rsidRDefault="00566CA2">
      <w:pPr>
        <w:pStyle w:val="XBRLTitle2"/>
        <w:spacing w:before="156" w:line="360" w:lineRule="auto"/>
        <w:ind w:left="454"/>
      </w:pPr>
      <w:bookmarkStart w:id="244" w:name="_Toc17898209"/>
      <w:bookmarkStart w:id="245" w:name="_Toc17897959"/>
      <w:bookmarkStart w:id="246" w:name="_Toc512519510"/>
      <w:bookmarkStart w:id="247" w:name="_Toc481075078"/>
      <w:bookmarkStart w:id="248" w:name="_Toc490050031"/>
      <w:bookmarkStart w:id="249" w:name="_Toc513295868"/>
      <w:bookmarkStart w:id="250" w:name="_Toc513295922"/>
      <w:bookmarkStart w:id="251" w:name="_Toc438646476"/>
      <w:r>
        <w:rPr>
          <w:rFonts w:hAnsi="宋体" w:hint="eastAsia"/>
        </w:rPr>
        <w:t>报告期末本基金投资的国债期货交易情况说</w:t>
      </w:r>
      <w:r>
        <w:rPr>
          <w:rFonts w:hAnsi="宋体" w:hint="eastAsia"/>
        </w:rPr>
        <w:t>明</w:t>
      </w:r>
      <w:bookmarkEnd w:id="244"/>
      <w:bookmarkEnd w:id="245"/>
      <w:bookmarkEnd w:id="246"/>
      <w:bookmarkEnd w:id="247"/>
      <w:bookmarkEnd w:id="248"/>
      <w:bookmarkEnd w:id="249"/>
      <w:bookmarkEnd w:id="250"/>
      <w:r>
        <w:rPr>
          <w:rFonts w:hAnsi="宋体" w:hint="eastAsia"/>
        </w:rPr>
        <w:t xml:space="preserve"> </w:t>
      </w:r>
      <w:bookmarkEnd w:id="251"/>
    </w:p>
    <w:p w:rsidR="00566CA2" w:rsidRDefault="00566CA2">
      <w:pPr>
        <w:spacing w:line="360" w:lineRule="auto"/>
        <w:ind w:firstLineChars="200" w:firstLine="420"/>
        <w:divId w:val="1105492092"/>
        <w:rPr>
          <w:rFonts w:hint="eastAsia"/>
        </w:rPr>
      </w:pPr>
      <w:bookmarkStart w:id="252" w:name="m510_01_1597"/>
      <w:bookmarkStart w:id="253" w:name="m510_01_1598"/>
      <w:bookmarkEnd w:id="252"/>
      <w:r>
        <w:rPr>
          <w:rFonts w:ascii="宋体" w:hAnsi="宋体" w:hint="eastAsia"/>
          <w:szCs w:val="21"/>
          <w:lang w:eastAsia="zh-Hans"/>
        </w:rPr>
        <w:t>本基金本报告期末未持有国债期货</w:t>
      </w:r>
      <w:r>
        <w:rPr>
          <w:rFonts w:ascii="宋体" w:hAnsi="宋体" w:hint="eastAsia"/>
          <w:szCs w:val="21"/>
          <w:lang w:eastAsia="zh-Hans"/>
        </w:rPr>
        <w:t>。</w:t>
      </w:r>
    </w:p>
    <w:p w:rsidR="00566CA2" w:rsidRDefault="00566CA2">
      <w:pPr>
        <w:pStyle w:val="XBRLTitle2"/>
        <w:spacing w:before="156" w:line="360" w:lineRule="auto"/>
        <w:ind w:left="454"/>
      </w:pPr>
      <w:bookmarkStart w:id="254" w:name="_Toc17898213"/>
      <w:bookmarkStart w:id="255" w:name="_Toc17897960"/>
      <w:bookmarkStart w:id="256" w:name="_Toc512519514"/>
      <w:bookmarkStart w:id="257" w:name="_Toc481075082"/>
      <w:bookmarkStart w:id="258" w:name="_Toc490050035"/>
      <w:bookmarkStart w:id="259" w:name="_Toc513295869"/>
      <w:bookmarkStart w:id="260" w:name="_Toc513295926"/>
      <w:r>
        <w:rPr>
          <w:rFonts w:hAnsi="宋体" w:hint="eastAsia"/>
        </w:rPr>
        <w:t>投资组合报告附</w:t>
      </w:r>
      <w:r>
        <w:rPr>
          <w:rFonts w:hAnsi="宋体" w:hint="eastAsia"/>
        </w:rPr>
        <w:t>注</w:t>
      </w:r>
      <w:bookmarkEnd w:id="254"/>
      <w:bookmarkEnd w:id="255"/>
      <w:bookmarkEnd w:id="256"/>
      <w:bookmarkEnd w:id="257"/>
      <w:bookmarkEnd w:id="258"/>
      <w:bookmarkEnd w:id="259"/>
      <w:bookmarkEnd w:id="260"/>
      <w:r>
        <w:rPr>
          <w:rFonts w:hAnsi="宋体" w:hint="eastAsia"/>
        </w:rPr>
        <w:t xml:space="preserve"> </w:t>
      </w:r>
    </w:p>
    <w:p w:rsidR="00566CA2" w:rsidRDefault="00566CA2">
      <w:pPr>
        <w:pStyle w:val="XBRLTitle3"/>
        <w:spacing w:before="156"/>
        <w:ind w:left="0"/>
        <w:rPr>
          <w:rFonts w:hint="eastAsia"/>
        </w:rPr>
      </w:pPr>
      <w:bookmarkStart w:id="261" w:name="_Toc513295927"/>
      <w:bookmarkStart w:id="262" w:name="_Toc490050036"/>
      <w:bookmarkStart w:id="263" w:name="_Toc481075083"/>
      <w:bookmarkStart w:id="264" w:name="_Toc512519515"/>
      <w:bookmarkStart w:id="265" w:name="_Toc17898214"/>
      <w:bookmarkEnd w:id="261"/>
      <w:bookmarkEnd w:id="262"/>
      <w:bookmarkEnd w:id="263"/>
      <w:bookmarkEnd w:id="264"/>
      <w:r>
        <w:rPr>
          <w:rFonts w:hint="eastAsia"/>
        </w:rPr>
        <w:t> </w:t>
      </w:r>
      <w:bookmarkEnd w:id="265"/>
    </w:p>
    <w:p w:rsidR="00566CA2" w:rsidRDefault="00566CA2">
      <w:pPr>
        <w:spacing w:line="360" w:lineRule="auto"/>
        <w:ind w:firstLineChars="200" w:firstLine="420"/>
        <w:rPr>
          <w:rFonts w:hint="eastAsia"/>
        </w:rPr>
      </w:pPr>
      <w:r>
        <w:rPr>
          <w:rFonts w:ascii="宋体" w:hAnsi="宋体" w:hint="eastAsia"/>
        </w:rPr>
        <w:t>本基金投资的前十名证券的发行主体中，中国进出口银行报告编制日前一年内曾受到国家外汇管理局北京市分局、国家金融监督管理总局的处罚，成都银行股份有限公司报告编制日前一年内曾受到国家金融监督管理总局四川监管局的处罚，交通银行股份有限公司报告编制日前一年内曾受到国家金融监督管理总局、央行的处罚，中国农业银行股份有限公司报告编制日前一年内曾受到国家金融监督管理总局的处罚，中国农业发展银行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566CA2" w:rsidRDefault="00566CA2">
      <w:pPr>
        <w:pStyle w:val="XBRLTitle3"/>
        <w:spacing w:before="156"/>
        <w:ind w:left="0"/>
      </w:pPr>
      <w:bookmarkStart w:id="266" w:name="_Toc490050037"/>
      <w:bookmarkStart w:id="267" w:name="_Toc481075084"/>
      <w:bookmarkStart w:id="268" w:name="_Toc512519516"/>
      <w:bookmarkStart w:id="269" w:name="_Toc513295928"/>
      <w:bookmarkStart w:id="270" w:name="_Toc17898215"/>
      <w:bookmarkEnd w:id="266"/>
      <w:bookmarkEnd w:id="267"/>
      <w:bookmarkEnd w:id="268"/>
      <w:r>
        <w:rPr>
          <w:rFonts w:hint="eastAsia"/>
        </w:rPr>
        <w:t> </w:t>
      </w:r>
      <w:bookmarkEnd w:id="269"/>
      <w:bookmarkEnd w:id="270"/>
    </w:p>
    <w:p w:rsidR="00566CA2" w:rsidRDefault="00566CA2">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66CA2" w:rsidRDefault="00566CA2">
      <w:pPr>
        <w:pStyle w:val="XBRLTitle3"/>
        <w:spacing w:before="156"/>
        <w:ind w:left="0"/>
      </w:pPr>
      <w:bookmarkStart w:id="271" w:name="_Toc17898216"/>
      <w:bookmarkStart w:id="272" w:name="_Toc481075085"/>
      <w:bookmarkStart w:id="273" w:name="_Toc490050038"/>
      <w:bookmarkStart w:id="274" w:name="_Toc512519517"/>
      <w:bookmarkStart w:id="275" w:name="_Toc513295929"/>
      <w:bookmarkStart w:id="276" w:name="m510_02"/>
      <w:bookmarkEnd w:id="253"/>
      <w:r>
        <w:rPr>
          <w:rFonts w:hint="eastAsia"/>
        </w:rPr>
        <w:t>其他资产构</w:t>
      </w:r>
      <w:r>
        <w:rPr>
          <w:rFonts w:hint="eastAsia"/>
        </w:rPr>
        <w:t>成</w:t>
      </w:r>
      <w:bookmarkEnd w:id="271"/>
      <w:bookmarkEnd w:id="272"/>
      <w:bookmarkEnd w:id="273"/>
      <w:bookmarkEnd w:id="274"/>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20405088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66CA2" w:rsidRDefault="00566CA2">
            <w:pPr>
              <w:jc w:val="center"/>
            </w:pPr>
            <w:r>
              <w:rPr>
                <w:rFonts w:ascii="宋体" w:hAnsi="宋体" w:hint="eastAsia"/>
              </w:rPr>
              <w:t>金额（元</w:t>
            </w:r>
            <w:r>
              <w:rPr>
                <w:rFonts w:ascii="宋体" w:hAnsi="宋体" w:hint="eastAsia"/>
              </w:rPr>
              <w:t>）</w:t>
            </w:r>
            <w:r>
              <w:t xml:space="preserve"> </w:t>
            </w:r>
          </w:p>
        </w:tc>
      </w:tr>
      <w:tr w:rsidR="00000000">
        <w:trPr>
          <w:divId w:val="12040508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rPr>
              <w:t>69,361.4</w:t>
            </w:r>
            <w:r>
              <w:rPr>
                <w:rFonts w:ascii="宋体" w:hAnsi="宋体" w:hint="eastAsia"/>
              </w:rPr>
              <w:t>8</w:t>
            </w:r>
          </w:p>
        </w:tc>
      </w:tr>
      <w:tr w:rsidR="00000000">
        <w:trPr>
          <w:divId w:val="12040508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rPr>
              <w:t>32,365,692.9</w:t>
            </w:r>
            <w:r>
              <w:rPr>
                <w:rFonts w:ascii="宋体" w:hAnsi="宋体" w:hint="eastAsia"/>
              </w:rPr>
              <w:t>8</w:t>
            </w:r>
          </w:p>
        </w:tc>
      </w:tr>
      <w:tr w:rsidR="00000000">
        <w:trPr>
          <w:divId w:val="12040508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rPr>
              <w:t>-</w:t>
            </w:r>
          </w:p>
        </w:tc>
      </w:tr>
      <w:tr w:rsidR="00000000">
        <w:trPr>
          <w:divId w:val="12040508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rPr>
              <w:t>-</w:t>
            </w:r>
          </w:p>
        </w:tc>
      </w:tr>
      <w:tr w:rsidR="00000000">
        <w:trPr>
          <w:divId w:val="12040508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rPr>
              <w:t>22,556.3</w:t>
            </w:r>
            <w:r>
              <w:rPr>
                <w:rFonts w:ascii="宋体" w:hAnsi="宋体" w:hint="eastAsia"/>
              </w:rPr>
              <w:t>5</w:t>
            </w:r>
          </w:p>
        </w:tc>
      </w:tr>
      <w:tr w:rsidR="00000000">
        <w:trPr>
          <w:divId w:val="12040508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rPr>
              <w:t>-</w:t>
            </w:r>
          </w:p>
        </w:tc>
      </w:tr>
      <w:tr w:rsidR="00000000">
        <w:trPr>
          <w:divId w:val="12040508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rPr>
              <w:t>-</w:t>
            </w:r>
          </w:p>
        </w:tc>
      </w:tr>
      <w:tr w:rsidR="00000000">
        <w:trPr>
          <w:divId w:val="12040508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rPr>
              <w:t>32,457,610.8</w:t>
            </w:r>
            <w:r>
              <w:rPr>
                <w:rFonts w:ascii="宋体" w:hAnsi="宋体" w:hint="eastAsia"/>
              </w:rPr>
              <w:t>1</w:t>
            </w:r>
          </w:p>
        </w:tc>
      </w:tr>
    </w:tbl>
    <w:p w:rsidR="00566CA2" w:rsidRDefault="00566CA2">
      <w:pPr>
        <w:pStyle w:val="XBRLTitle3"/>
        <w:spacing w:before="156"/>
        <w:ind w:left="0"/>
      </w:pPr>
      <w:bookmarkStart w:id="277" w:name="_Toc17898217"/>
      <w:bookmarkStart w:id="278" w:name="_Toc481075086"/>
      <w:bookmarkStart w:id="279" w:name="_Toc490050039"/>
      <w:bookmarkStart w:id="280" w:name="_Toc512519518"/>
      <w:bookmarkStart w:id="281" w:name="_Toc513295930"/>
      <w:bookmarkStart w:id="282" w:name="m510_03"/>
      <w:bookmarkEnd w:id="276"/>
      <w:r>
        <w:rPr>
          <w:rFonts w:hint="eastAsia"/>
        </w:rPr>
        <w:t>报告期末持有的处于转股期的可转换债券明</w:t>
      </w:r>
      <w:r>
        <w:rPr>
          <w:rFonts w:hint="eastAsia"/>
        </w:rPr>
        <w:t>细</w:t>
      </w:r>
      <w:bookmarkEnd w:id="277"/>
      <w:bookmarkEnd w:id="278"/>
      <w:bookmarkEnd w:id="279"/>
      <w:bookmarkEnd w:id="280"/>
      <w:bookmarkEnd w:id="281"/>
    </w:p>
    <w:p w:rsidR="00566CA2" w:rsidRDefault="00566CA2">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66CA2" w:rsidRDefault="00566CA2">
      <w:pPr>
        <w:pStyle w:val="XBRLTitle3"/>
        <w:spacing w:before="156"/>
        <w:ind w:left="0"/>
      </w:pPr>
      <w:bookmarkStart w:id="283" w:name="_Toc17898218"/>
      <w:bookmarkStart w:id="284" w:name="_Toc481075087"/>
      <w:bookmarkStart w:id="285" w:name="_Toc490050040"/>
      <w:bookmarkStart w:id="286" w:name="_Toc512519519"/>
      <w:bookmarkStart w:id="287" w:name="_Toc513295931"/>
      <w:bookmarkStart w:id="288" w:name="m510_04"/>
      <w:bookmarkEnd w:id="282"/>
      <w:r>
        <w:rPr>
          <w:rFonts w:hint="eastAsia"/>
        </w:rPr>
        <w:t>报告期末前十名股票中存在流通受限情况的说</w:t>
      </w:r>
      <w:r>
        <w:rPr>
          <w:rFonts w:hint="eastAsia"/>
        </w:rPr>
        <w:t>明</w:t>
      </w:r>
      <w:bookmarkEnd w:id="283"/>
      <w:bookmarkEnd w:id="284"/>
      <w:bookmarkEnd w:id="285"/>
      <w:bookmarkEnd w:id="286"/>
      <w:bookmarkEnd w:id="287"/>
    </w:p>
    <w:p w:rsidR="00566CA2" w:rsidRDefault="00566CA2">
      <w:pPr>
        <w:spacing w:line="360" w:lineRule="auto"/>
        <w:ind w:firstLineChars="200" w:firstLine="420"/>
        <w:jc w:val="left"/>
        <w:divId w:val="211619540"/>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66CA2" w:rsidRDefault="00566CA2">
      <w:pPr>
        <w:pStyle w:val="XBRLTitle3"/>
        <w:spacing w:before="156"/>
        <w:ind w:left="0"/>
      </w:pPr>
      <w:bookmarkStart w:id="289" w:name="_Toc17898219"/>
      <w:bookmarkStart w:id="290" w:name="_Toc512519520"/>
      <w:bookmarkStart w:id="291" w:name="_Toc481075088"/>
      <w:bookmarkStart w:id="292" w:name="_Toc490050041"/>
      <w:bookmarkStart w:id="293" w:name="_Toc513295932"/>
      <w:bookmarkStart w:id="294" w:name="m510_05_1678"/>
      <w:bookmarkEnd w:id="288"/>
      <w:r>
        <w:rPr>
          <w:rFonts w:hint="eastAsia"/>
        </w:rPr>
        <w:t>投资组合报告附注的其他文字描述部</w:t>
      </w:r>
      <w:r>
        <w:rPr>
          <w:rFonts w:hint="eastAsia"/>
        </w:rPr>
        <w:t>分</w:t>
      </w:r>
      <w:bookmarkEnd w:id="289"/>
      <w:bookmarkEnd w:id="290"/>
      <w:bookmarkEnd w:id="291"/>
      <w:bookmarkEnd w:id="292"/>
      <w:bookmarkEnd w:id="293"/>
      <w:r>
        <w:rPr>
          <w:rFonts w:hint="eastAsia"/>
          <w:sz w:val="21"/>
        </w:rPr>
        <w:t xml:space="preserve"> </w:t>
      </w:r>
    </w:p>
    <w:p w:rsidR="00566CA2" w:rsidRDefault="00566CA2">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4"/>
      <w:r>
        <w:rPr>
          <w:rFonts w:ascii="宋体" w:hAnsi="宋体" w:hint="eastAsia"/>
        </w:rPr>
        <w:t xml:space="preserve"> </w:t>
      </w:r>
    </w:p>
    <w:p w:rsidR="00566CA2" w:rsidRDefault="00566CA2">
      <w:pPr>
        <w:pStyle w:val="XBRLTitle1"/>
        <w:spacing w:before="156" w:line="360" w:lineRule="auto"/>
        <w:ind w:left="425"/>
      </w:pPr>
      <w:bookmarkStart w:id="295" w:name="_Toc17898220"/>
      <w:bookmarkStart w:id="296" w:name="_Toc17897961"/>
      <w:bookmarkStart w:id="297" w:name="_Toc512519521"/>
      <w:bookmarkStart w:id="298" w:name="_Toc481075089"/>
      <w:bookmarkStart w:id="299" w:name="_Toc438646477"/>
      <w:bookmarkStart w:id="300" w:name="_Toc490050042"/>
      <w:bookmarkStart w:id="301" w:name="_Toc513295870"/>
      <w:bookmarkStart w:id="302" w:name="_Toc513295933"/>
      <w:bookmarkStart w:id="303" w:name="m601"/>
      <w:bookmarkEnd w:id="183"/>
      <w:r>
        <w:rPr>
          <w:rFonts w:hAnsi="宋体" w:hint="eastAsia"/>
        </w:rPr>
        <w:t>开放式基金份额变</w:t>
      </w:r>
      <w:r>
        <w:rPr>
          <w:rFonts w:hAnsi="宋体" w:hint="eastAsia"/>
        </w:rPr>
        <w:t>动</w:t>
      </w:r>
      <w:bookmarkStart w:id="304" w:name="m601_tab"/>
      <w:bookmarkEnd w:id="295"/>
      <w:bookmarkEnd w:id="296"/>
      <w:bookmarkEnd w:id="297"/>
      <w:bookmarkEnd w:id="298"/>
      <w:bookmarkEnd w:id="299"/>
      <w:bookmarkEnd w:id="300"/>
      <w:bookmarkEnd w:id="301"/>
      <w:bookmarkEnd w:id="302"/>
      <w:r>
        <w:rPr>
          <w:rFonts w:hAnsi="宋体" w:hint="eastAsia"/>
        </w:rPr>
        <w:t xml:space="preserve"> </w:t>
      </w:r>
    </w:p>
    <w:p w:rsidR="00566CA2" w:rsidRDefault="00566CA2">
      <w:pPr>
        <w:wordWrap w:val="0"/>
        <w:spacing w:line="360" w:lineRule="auto"/>
        <w:jc w:val="right"/>
        <w:divId w:val="266160755"/>
        <w:rPr>
          <w:rFonts w:hint="eastAsia"/>
        </w:rPr>
      </w:pPr>
      <w:bookmarkStart w:id="30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3"/>
        <w:gridCol w:w="1868"/>
        <w:gridCol w:w="1677"/>
        <w:gridCol w:w="1677"/>
      </w:tblGrid>
      <w:tr w:rsidR="00000000">
        <w:trPr>
          <w:divId w:val="26616075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66CA2" w:rsidRDefault="00566CA2">
            <w:pPr>
              <w:pStyle w:val="xl33"/>
              <w:widowControl w:val="0"/>
              <w:pBdr>
                <w:left w:val="none" w:sz="0" w:space="0" w:color="auto"/>
                <w:bottom w:val="none" w:sz="0" w:space="0" w:color="auto"/>
                <w:right w:val="none" w:sz="0" w:space="0" w:color="auto"/>
              </w:pBdr>
              <w:spacing w:before="0" w:beforeAutospacing="0" w:after="0" w:afterAutospacing="0"/>
              <w:jc w:val="both"/>
            </w:pPr>
            <w:bookmarkStart w:id="306" w:name="m10_01" w:colFirst="1" w:colLast="3"/>
            <w:bookmarkEnd w:id="305"/>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ind w:right="3"/>
              <w:jc w:val="center"/>
            </w:pPr>
            <w:r>
              <w:rPr>
                <w:rFonts w:ascii="宋体" w:hAnsi="宋体" w:hint="eastAsia"/>
                <w:lang w:eastAsia="zh-Hans"/>
              </w:rPr>
              <w:t>摩根双息平衡混合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ind w:right="3"/>
              <w:jc w:val="center"/>
            </w:pPr>
            <w:r>
              <w:rPr>
                <w:rFonts w:ascii="宋体" w:hAnsi="宋体" w:hint="eastAsia"/>
                <w:lang w:eastAsia="zh-Hans"/>
              </w:rPr>
              <w:t>摩根双息平衡混合</w:t>
            </w:r>
            <w:r>
              <w:rPr>
                <w:rFonts w:ascii="宋体" w:hAnsi="宋体" w:hint="eastAsia"/>
                <w:lang w:eastAsia="zh-Hans"/>
              </w:rPr>
              <w:t>C</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66CA2" w:rsidRDefault="00566CA2">
            <w:pPr>
              <w:ind w:right="3"/>
              <w:jc w:val="center"/>
            </w:pPr>
            <w:r>
              <w:rPr>
                <w:rFonts w:ascii="宋体" w:hAnsi="宋体" w:hint="eastAsia"/>
                <w:lang w:eastAsia="zh-Hans"/>
              </w:rPr>
              <w:t>摩根双息平衡混合</w:t>
            </w:r>
            <w:r>
              <w:rPr>
                <w:rFonts w:ascii="宋体" w:hAnsi="宋体" w:hint="eastAsia"/>
                <w:lang w:eastAsia="zh-Hans"/>
              </w:rPr>
              <w:t>H</w:t>
            </w:r>
            <w:r>
              <w:rPr>
                <w:rFonts w:ascii="宋体" w:hAnsi="宋体" w:hint="eastAsia"/>
                <w:kern w:val="0"/>
                <w:szCs w:val="24"/>
                <w:lang w:eastAsia="zh-Hans"/>
              </w:rPr>
              <w:t xml:space="preserve"> </w:t>
            </w:r>
          </w:p>
        </w:tc>
      </w:tr>
      <w:tr w:rsidR="00000000">
        <w:trPr>
          <w:divId w:val="2661607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749,012,016.7</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1,434,380.2</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1,041,724.6</w:t>
            </w:r>
            <w:r>
              <w:rPr>
                <w:rFonts w:ascii="宋体" w:hAnsi="宋体" w:hint="eastAsia"/>
              </w:rPr>
              <w:t>7</w:t>
            </w:r>
          </w:p>
        </w:tc>
      </w:tr>
      <w:tr w:rsidR="00000000">
        <w:trPr>
          <w:divId w:val="2661607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4,277,405.3</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99,241.6</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301,253.0</w:t>
            </w:r>
            <w:r>
              <w:rPr>
                <w:rFonts w:ascii="宋体" w:hAnsi="宋体" w:hint="eastAsia"/>
              </w:rPr>
              <w:t>9</w:t>
            </w:r>
          </w:p>
        </w:tc>
      </w:tr>
      <w:tr w:rsidR="00000000">
        <w:trPr>
          <w:divId w:val="2661607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38,074,256.2</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1,084,247.7</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276,839.1</w:t>
            </w:r>
            <w:r>
              <w:rPr>
                <w:rFonts w:ascii="宋体" w:hAnsi="宋体" w:hint="eastAsia"/>
              </w:rPr>
              <w:t>5</w:t>
            </w:r>
          </w:p>
        </w:tc>
      </w:tr>
      <w:tr w:rsidR="00000000">
        <w:trPr>
          <w:divId w:val="2661607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w:t>
            </w:r>
          </w:p>
        </w:tc>
      </w:tr>
      <w:tr w:rsidR="00000000">
        <w:trPr>
          <w:divId w:val="26616075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715,215,165.7</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449,374.2</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66CA2" w:rsidRDefault="00566CA2">
            <w:pPr>
              <w:jc w:val="right"/>
            </w:pPr>
            <w:r>
              <w:rPr>
                <w:rFonts w:ascii="宋体" w:hAnsi="宋体" w:hint="eastAsia"/>
              </w:rPr>
              <w:t>1,066,138.6</w:t>
            </w:r>
            <w:r>
              <w:rPr>
                <w:rFonts w:ascii="宋体" w:hAnsi="宋体" w:hint="eastAsia"/>
              </w:rPr>
              <w:t>1</w:t>
            </w:r>
          </w:p>
        </w:tc>
      </w:tr>
    </w:tbl>
    <w:p w:rsidR="00566CA2" w:rsidRDefault="00566CA2">
      <w:pPr>
        <w:spacing w:line="360" w:lineRule="auto"/>
        <w:jc w:val="left"/>
        <w:divId w:val="26616075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6"/>
      <w:r>
        <w:rPr>
          <w:rFonts w:ascii="宋体" w:hAnsi="宋体" w:hint="eastAsia"/>
        </w:rPr>
        <w:t xml:space="preserve"> </w:t>
      </w:r>
    </w:p>
    <w:p w:rsidR="00566CA2" w:rsidRDefault="00566CA2">
      <w:pPr>
        <w:pStyle w:val="XBRLTitle1"/>
        <w:spacing w:before="156" w:line="360" w:lineRule="auto"/>
        <w:ind w:left="425"/>
      </w:pPr>
      <w:bookmarkStart w:id="307" w:name="_Toc17898221"/>
      <w:bookmarkStart w:id="308" w:name="_Toc17897962"/>
      <w:bookmarkStart w:id="309" w:name="m7manage01"/>
      <w:bookmarkStart w:id="310" w:name="_Toc512519522"/>
      <w:bookmarkStart w:id="311" w:name="_Toc481075090"/>
      <w:bookmarkStart w:id="312" w:name="_Toc438646478"/>
      <w:bookmarkStart w:id="313" w:name="_Toc490050043"/>
      <w:bookmarkStart w:id="314" w:name="_Toc513295871"/>
      <w:bookmarkStart w:id="315" w:name="_Toc513295934"/>
      <w:bookmarkEnd w:id="303"/>
      <w:bookmarkEnd w:id="304"/>
      <w:r>
        <w:rPr>
          <w:rFonts w:hAnsi="宋体" w:hint="eastAsia"/>
        </w:rPr>
        <w:t>基金管理人运用固有资金投资本基金情</w:t>
      </w:r>
      <w:r>
        <w:rPr>
          <w:rFonts w:hAnsi="宋体" w:hint="eastAsia"/>
        </w:rPr>
        <w:t>况</w:t>
      </w:r>
      <w:bookmarkEnd w:id="307"/>
      <w:bookmarkEnd w:id="308"/>
      <w:bookmarkEnd w:id="309"/>
      <w:bookmarkEnd w:id="310"/>
      <w:bookmarkEnd w:id="311"/>
      <w:bookmarkEnd w:id="312"/>
      <w:bookmarkEnd w:id="313"/>
      <w:bookmarkEnd w:id="314"/>
      <w:bookmarkEnd w:id="315"/>
      <w:r>
        <w:rPr>
          <w:rFonts w:hAnsi="宋体" w:hint="eastAsia"/>
        </w:rPr>
        <w:t xml:space="preserve"> </w:t>
      </w:r>
    </w:p>
    <w:p w:rsidR="00566CA2" w:rsidRDefault="00566CA2">
      <w:pPr>
        <w:pStyle w:val="XBRLTitle2"/>
        <w:spacing w:before="156" w:line="360" w:lineRule="auto"/>
        <w:ind w:left="454"/>
        <w:rPr>
          <w:rFonts w:hint="eastAsia"/>
        </w:rPr>
      </w:pPr>
      <w:bookmarkStart w:id="316" w:name="_Toc17898222"/>
      <w:bookmarkStart w:id="317" w:name="_Toc17897963"/>
      <w:bookmarkStart w:id="318" w:name="_Toc512519523"/>
      <w:bookmarkStart w:id="319" w:name="_Toc481075091"/>
      <w:bookmarkStart w:id="320" w:name="_Toc458599606"/>
      <w:bookmarkStart w:id="321" w:name="_Toc490050044"/>
      <w:bookmarkStart w:id="322" w:name="_Toc513295872"/>
      <w:bookmarkStart w:id="323" w:name="_Toc513295935"/>
      <w:r>
        <w:rPr>
          <w:rFonts w:hAnsi="宋体" w:hint="eastAsia"/>
        </w:rPr>
        <w:t>基金管理人持有本基金份额变动情</w:t>
      </w:r>
      <w:r>
        <w:rPr>
          <w:rFonts w:hAnsi="宋体" w:hint="eastAsia"/>
        </w:rPr>
        <w:t>况</w:t>
      </w:r>
      <w:bookmarkEnd w:id="316"/>
      <w:bookmarkEnd w:id="317"/>
      <w:bookmarkEnd w:id="318"/>
      <w:bookmarkEnd w:id="319"/>
      <w:bookmarkEnd w:id="320"/>
      <w:bookmarkEnd w:id="321"/>
      <w:bookmarkEnd w:id="322"/>
      <w:bookmarkEnd w:id="323"/>
      <w:r>
        <w:rPr>
          <w:rFonts w:hAnsi="宋体" w:hint="eastAsia"/>
          <w:lang w:eastAsia="zh-CN"/>
        </w:rPr>
        <w:t xml:space="preserve"> </w:t>
      </w:r>
    </w:p>
    <w:p w:rsidR="00566CA2" w:rsidRDefault="00566CA2">
      <w:pPr>
        <w:wordWrap w:val="0"/>
        <w:spacing w:line="360" w:lineRule="auto"/>
        <w:jc w:val="right"/>
        <w:divId w:val="1705134617"/>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6"/>
        <w:gridCol w:w="1963"/>
        <w:gridCol w:w="1963"/>
        <w:gridCol w:w="1963"/>
      </w:tblGrid>
      <w:tr w:rsidR="00000000">
        <w:trPr>
          <w:divId w:val="1705134617"/>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jc w:val="center"/>
            </w:pPr>
            <w:r>
              <w:rPr>
                <w:rFonts w:ascii="宋体" w:hAnsi="宋体" w:hint="eastAsia"/>
                <w:lang w:eastAsia="zh-Hans"/>
              </w:rPr>
              <w:t>摩根双息平衡混合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jc w:val="center"/>
            </w:pPr>
            <w:r>
              <w:rPr>
                <w:rFonts w:ascii="宋体" w:hAnsi="宋体" w:hint="eastAsia"/>
                <w:lang w:eastAsia="zh-Hans"/>
              </w:rPr>
              <w:t>摩根双息平衡混合</w:t>
            </w:r>
            <w:r>
              <w:rPr>
                <w:rFonts w:ascii="宋体" w:hAnsi="宋体" w:hint="eastAsia"/>
                <w:lang w:eastAsia="zh-Hans"/>
              </w:rPr>
              <w:t>C</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66CA2" w:rsidRDefault="00566CA2">
            <w:pPr>
              <w:jc w:val="center"/>
            </w:pPr>
            <w:r>
              <w:rPr>
                <w:rFonts w:ascii="宋体" w:hAnsi="宋体" w:hint="eastAsia"/>
                <w:lang w:eastAsia="zh-Hans"/>
              </w:rPr>
              <w:t>摩根双息平衡混合</w:t>
            </w:r>
            <w:r>
              <w:rPr>
                <w:rFonts w:ascii="宋体" w:hAnsi="宋体" w:hint="eastAsia"/>
                <w:lang w:eastAsia="zh-Hans"/>
              </w:rPr>
              <w:t>H</w:t>
            </w:r>
            <w:r>
              <w:rPr>
                <w:rFonts w:ascii="宋体" w:hAnsi="宋体" w:hint="eastAsia"/>
                <w:color w:val="000000"/>
              </w:rPr>
              <w:t xml:space="preserve"> </w:t>
            </w:r>
          </w:p>
        </w:tc>
      </w:tr>
      <w:tr w:rsidR="00000000">
        <w:trPr>
          <w:divId w:val="170513461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rPr>
                <w:rFonts w:hint="eastAsia"/>
              </w:rPr>
            </w:pPr>
            <w:r>
              <w:rPr>
                <w:rFonts w:ascii="宋体" w:hAnsi="宋体" w:hint="eastAsia"/>
                <w:kern w:val="0"/>
                <w:szCs w:val="24"/>
                <w:lang w:eastAsia="zh-Hans"/>
              </w:rPr>
              <w:t>4,072,554.1</w:t>
            </w:r>
            <w:r>
              <w:rPr>
                <w:rFonts w:ascii="宋体" w:hAnsi="宋体" w:hint="eastAsia"/>
                <w:kern w:val="0"/>
                <w:szCs w:val="24"/>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kern w:val="0"/>
                <w:szCs w:val="24"/>
                <w:lang w:eastAsia="zh-Hans"/>
              </w:rPr>
              <w:t>-</w:t>
            </w:r>
          </w:p>
        </w:tc>
      </w:tr>
      <w:tr w:rsidR="00000000">
        <w:trPr>
          <w:divId w:val="170513461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szCs w:val="24"/>
                <w:lang w:eastAsia="zh-Hans"/>
              </w:rPr>
              <w:t>-</w:t>
            </w:r>
          </w:p>
        </w:tc>
      </w:tr>
      <w:tr w:rsidR="00000000">
        <w:trPr>
          <w:divId w:val="170513461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lang w:eastAsia="zh-Hans"/>
              </w:rPr>
              <w:t>-</w:t>
            </w:r>
          </w:p>
        </w:tc>
      </w:tr>
      <w:tr w:rsidR="00000000">
        <w:trPr>
          <w:divId w:val="170513461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rPr>
                <w:rFonts w:hint="eastAsia"/>
              </w:rPr>
            </w:pPr>
            <w:r>
              <w:rPr>
                <w:rFonts w:ascii="宋体" w:hAnsi="宋体" w:hint="eastAsia"/>
                <w:lang w:eastAsia="zh-Hans"/>
              </w:rPr>
              <w:t>4,072,554.1</w:t>
            </w:r>
            <w:r>
              <w:rPr>
                <w:rFonts w:ascii="宋体" w:hAnsi="宋体" w:hint="eastAsia"/>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lang w:eastAsia="zh-Hans"/>
              </w:rPr>
              <w:t>-</w:t>
            </w:r>
          </w:p>
        </w:tc>
      </w:tr>
      <w:tr w:rsidR="00000000">
        <w:trPr>
          <w:divId w:val="170513461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rPr>
                <w:rFonts w:hint="eastAsia"/>
              </w:rPr>
            </w:pPr>
            <w:r>
              <w:rPr>
                <w:rFonts w:ascii="宋体" w:hAnsi="宋体" w:hint="eastAsia"/>
                <w:lang w:eastAsia="zh-Hans"/>
              </w:rPr>
              <w:t>0.5</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66CA2" w:rsidRDefault="00566CA2">
            <w:pPr>
              <w:jc w:val="right"/>
            </w:pPr>
            <w:r>
              <w:rPr>
                <w:rFonts w:ascii="宋体" w:hAnsi="宋体" w:hint="eastAsia"/>
                <w:lang w:eastAsia="zh-Hans"/>
              </w:rPr>
              <w:t>-</w:t>
            </w:r>
          </w:p>
        </w:tc>
      </w:tr>
    </w:tbl>
    <w:p w:rsidR="00566CA2" w:rsidRDefault="00566CA2">
      <w:pPr>
        <w:pStyle w:val="XBRLTitle2"/>
        <w:spacing w:before="156" w:line="360" w:lineRule="auto"/>
        <w:ind w:left="454"/>
      </w:pPr>
      <w:bookmarkStart w:id="324" w:name="_Toc17898223"/>
      <w:bookmarkStart w:id="325" w:name="_Toc17897964"/>
      <w:bookmarkStart w:id="326" w:name="_Toc512519524"/>
      <w:bookmarkStart w:id="327" w:name="_Toc481075092"/>
      <w:bookmarkStart w:id="328" w:name="_Toc458599607"/>
      <w:bookmarkStart w:id="329" w:name="_Toc490050045"/>
      <w:bookmarkStart w:id="330" w:name="_Toc513295873"/>
      <w:bookmarkStart w:id="331" w:name="_Toc513295936"/>
      <w:r>
        <w:rPr>
          <w:rFonts w:hAnsi="宋体" w:hint="eastAsia"/>
        </w:rPr>
        <w:t>基金管理人运用固有资金投资本基金交易明</w:t>
      </w:r>
      <w:r>
        <w:rPr>
          <w:rFonts w:hAnsi="宋体" w:hint="eastAsia"/>
        </w:rPr>
        <w:t>细</w:t>
      </w:r>
      <w:bookmarkEnd w:id="324"/>
      <w:bookmarkEnd w:id="325"/>
      <w:bookmarkEnd w:id="326"/>
      <w:bookmarkEnd w:id="327"/>
      <w:bookmarkEnd w:id="328"/>
      <w:bookmarkEnd w:id="329"/>
      <w:bookmarkEnd w:id="330"/>
      <w:bookmarkEnd w:id="331"/>
      <w:r>
        <w:rPr>
          <w:rFonts w:hAnsi="宋体" w:hint="eastAsia"/>
          <w:lang w:eastAsia="zh-CN"/>
        </w:rPr>
        <w:t xml:space="preserve"> </w:t>
      </w:r>
    </w:p>
    <w:p w:rsidR="00566CA2" w:rsidRDefault="00566CA2">
      <w:pPr>
        <w:spacing w:line="360" w:lineRule="auto"/>
        <w:ind w:firstLineChars="200" w:firstLine="420"/>
        <w:jc w:val="left"/>
        <w:divId w:val="410549029"/>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566CA2" w:rsidRDefault="00566CA2">
      <w:pPr>
        <w:pStyle w:val="XBRLTitle1"/>
        <w:spacing w:before="156" w:line="360" w:lineRule="auto"/>
        <w:ind w:left="425"/>
      </w:pPr>
      <w:bookmarkStart w:id="332" w:name="_Toc17898225"/>
      <w:bookmarkStart w:id="333" w:name="_Toc17897966"/>
      <w:bookmarkStart w:id="334" w:name="_Toc512519526"/>
      <w:bookmarkStart w:id="335" w:name="_Toc490050046"/>
      <w:bookmarkStart w:id="336" w:name="_Toc481075094"/>
      <w:bookmarkStart w:id="337" w:name="_Toc479856294"/>
      <w:bookmarkStart w:id="338" w:name="_Toc513295875"/>
      <w:bookmarkStart w:id="339" w:name="_Toc513295938"/>
      <w:bookmarkStart w:id="340" w:name="m701"/>
      <w:r>
        <w:rPr>
          <w:rFonts w:hAnsi="宋体" w:hint="eastAsia"/>
        </w:rPr>
        <w:t>影响投资者决策的其他重要信</w:t>
      </w:r>
      <w:r>
        <w:rPr>
          <w:rFonts w:hAnsi="宋体" w:hint="eastAsia"/>
        </w:rPr>
        <w:t>息</w:t>
      </w:r>
      <w:bookmarkEnd w:id="332"/>
      <w:bookmarkEnd w:id="333"/>
      <w:bookmarkEnd w:id="334"/>
      <w:bookmarkEnd w:id="335"/>
      <w:bookmarkEnd w:id="336"/>
      <w:bookmarkEnd w:id="337"/>
      <w:bookmarkEnd w:id="338"/>
      <w:bookmarkEnd w:id="339"/>
      <w:r>
        <w:rPr>
          <w:rFonts w:hAnsi="宋体" w:hint="eastAsia"/>
          <w:lang w:eastAsia="zh-CN"/>
        </w:rPr>
        <w:t xml:space="preserve"> </w:t>
      </w:r>
    </w:p>
    <w:p w:rsidR="00566CA2" w:rsidRDefault="00566CA2">
      <w:pPr>
        <w:pStyle w:val="XBRLTitle2"/>
        <w:spacing w:before="156" w:line="360" w:lineRule="auto"/>
        <w:ind w:left="454"/>
        <w:rPr>
          <w:rFonts w:hint="eastAsia"/>
        </w:rPr>
      </w:pPr>
      <w:bookmarkStart w:id="341" w:name="_Toc17898226"/>
      <w:bookmarkStart w:id="342" w:name="_Toc17897967"/>
      <w:bookmarkStart w:id="343" w:name="_Toc512519527"/>
      <w:bookmarkStart w:id="344" w:name="_Toc481075095"/>
      <w:bookmarkStart w:id="345" w:name="_Toc490050047"/>
      <w:bookmarkStart w:id="346" w:name="_Toc513295876"/>
      <w:bookmarkStart w:id="347"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1"/>
      <w:bookmarkEnd w:id="342"/>
      <w:bookmarkEnd w:id="343"/>
      <w:bookmarkEnd w:id="344"/>
      <w:bookmarkEnd w:id="345"/>
      <w:bookmarkEnd w:id="346"/>
      <w:bookmarkEnd w:id="347"/>
      <w:r>
        <w:rPr>
          <w:rFonts w:hAnsi="宋体" w:hint="eastAsia"/>
          <w:kern w:val="0"/>
          <w:lang w:eastAsia="zh-CN"/>
        </w:rPr>
        <w:t xml:space="preserve"> </w:t>
      </w:r>
    </w:p>
    <w:bookmarkEnd w:id="22"/>
    <w:bookmarkEnd w:id="42"/>
    <w:bookmarkEnd w:id="43"/>
    <w:p w:rsidR="00566CA2" w:rsidRDefault="00566CA2">
      <w:pPr>
        <w:spacing w:line="360" w:lineRule="auto"/>
        <w:ind w:firstLineChars="200" w:firstLine="420"/>
        <w:divId w:val="1657028231"/>
        <w:rPr>
          <w:rFonts w:ascii="宋体" w:hAnsi="宋体" w:hint="eastAsia"/>
          <w:szCs w:val="21"/>
          <w:lang w:eastAsia="zh-Hans"/>
        </w:rPr>
      </w:pPr>
      <w:r>
        <w:rPr>
          <w:rFonts w:ascii="宋体" w:hAnsi="宋体" w:hint="eastAsia"/>
          <w:szCs w:val="21"/>
          <w:lang w:eastAsia="zh-Hans"/>
        </w:rPr>
        <w:t>无。</w:t>
      </w:r>
    </w:p>
    <w:p w:rsidR="00566CA2" w:rsidRDefault="00566CA2">
      <w:pPr>
        <w:pStyle w:val="XBRLTitle1"/>
        <w:spacing w:before="156" w:line="360" w:lineRule="auto"/>
        <w:ind w:left="425"/>
        <w:rPr>
          <w:rFonts w:hint="eastAsia"/>
        </w:rPr>
      </w:pPr>
      <w:bookmarkStart w:id="348" w:name="_Toc17898228"/>
      <w:bookmarkStart w:id="349" w:name="_Toc17897969"/>
      <w:bookmarkStart w:id="350" w:name="_Toc512519529"/>
      <w:bookmarkStart w:id="351" w:name="_Toc490050049"/>
      <w:bookmarkStart w:id="352" w:name="_Toc481075097"/>
      <w:bookmarkStart w:id="353" w:name="_Toc438646481"/>
      <w:bookmarkStart w:id="354" w:name="_Toc513295878"/>
      <w:bookmarkStart w:id="355" w:name="_Toc513295941"/>
      <w:bookmarkEnd w:id="340"/>
      <w:r>
        <w:rPr>
          <w:rFonts w:hAnsi="宋体" w:hint="eastAsia"/>
        </w:rPr>
        <w:t>备查文件目</w:t>
      </w:r>
      <w:r>
        <w:rPr>
          <w:rFonts w:hAnsi="宋体" w:hint="eastAsia"/>
        </w:rPr>
        <w:t>录</w:t>
      </w:r>
      <w:bookmarkEnd w:id="348"/>
      <w:bookmarkEnd w:id="349"/>
      <w:bookmarkEnd w:id="350"/>
      <w:bookmarkEnd w:id="351"/>
      <w:bookmarkEnd w:id="352"/>
      <w:bookmarkEnd w:id="353"/>
      <w:bookmarkEnd w:id="354"/>
      <w:bookmarkEnd w:id="355"/>
      <w:r>
        <w:rPr>
          <w:rFonts w:hAnsi="宋体" w:hint="eastAsia"/>
        </w:rPr>
        <w:t xml:space="preserve"> </w:t>
      </w:r>
    </w:p>
    <w:p w:rsidR="00566CA2" w:rsidRDefault="00566CA2">
      <w:pPr>
        <w:pStyle w:val="XBRLTitle2"/>
        <w:spacing w:before="156" w:line="360" w:lineRule="auto"/>
        <w:ind w:left="454"/>
        <w:rPr>
          <w:rFonts w:hint="eastAsia"/>
        </w:rPr>
      </w:pPr>
      <w:bookmarkStart w:id="356" w:name="_Toc438646482"/>
      <w:bookmarkStart w:id="357" w:name="_Toc17898229"/>
      <w:bookmarkStart w:id="358" w:name="_Toc17897970"/>
      <w:bookmarkStart w:id="359" w:name="_Toc512519530"/>
      <w:bookmarkStart w:id="360" w:name="_Toc481075098"/>
      <w:bookmarkStart w:id="361" w:name="_Toc490050050"/>
      <w:bookmarkStart w:id="362" w:name="_Toc513295879"/>
      <w:bookmarkStart w:id="363" w:name="_Toc513295942"/>
      <w:bookmarkStart w:id="364" w:name="m801_01_1733"/>
      <w:r>
        <w:rPr>
          <w:rFonts w:hAnsi="宋体" w:hint="eastAsia"/>
        </w:rPr>
        <w:t>备查文件目</w:t>
      </w:r>
      <w:r>
        <w:rPr>
          <w:rFonts w:hAnsi="宋体" w:hint="eastAsia"/>
        </w:rPr>
        <w:t>录</w:t>
      </w:r>
      <w:bookmarkEnd w:id="356"/>
      <w:bookmarkEnd w:id="357"/>
      <w:bookmarkEnd w:id="358"/>
      <w:bookmarkEnd w:id="359"/>
      <w:bookmarkEnd w:id="360"/>
      <w:bookmarkEnd w:id="361"/>
      <w:bookmarkEnd w:id="362"/>
      <w:bookmarkEnd w:id="363"/>
      <w:r>
        <w:rPr>
          <w:rFonts w:hAnsi="宋体" w:hint="eastAsia"/>
        </w:rPr>
        <w:t xml:space="preserve"> </w:t>
      </w:r>
    </w:p>
    <w:p w:rsidR="00566CA2" w:rsidRDefault="00566CA2">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 xml:space="preserve">　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 xml:space="preserve">　摩根双息平衡混合型证券投资基金基金合同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 xml:space="preserve">　摩根双息平衡混合型证券投资基金托管协议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 xml:space="preserve">　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 xml:space="preserve">　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rsidR="00566CA2" w:rsidRDefault="00566CA2">
      <w:pPr>
        <w:pStyle w:val="XBRLTitle2"/>
        <w:spacing w:before="156" w:line="360" w:lineRule="auto"/>
        <w:ind w:left="454"/>
      </w:pPr>
      <w:bookmarkStart w:id="365" w:name="_Toc438646483"/>
      <w:bookmarkStart w:id="366" w:name="_Toc17898230"/>
      <w:bookmarkStart w:id="367" w:name="_Toc17897971"/>
      <w:bookmarkStart w:id="368" w:name="_Toc512519531"/>
      <w:bookmarkStart w:id="369" w:name="_Toc481075099"/>
      <w:bookmarkStart w:id="370" w:name="_Toc490050051"/>
      <w:bookmarkStart w:id="371" w:name="_Toc513295880"/>
      <w:bookmarkStart w:id="372" w:name="_Toc513295943"/>
      <w:bookmarkStart w:id="373" w:name="m801_01_1734"/>
      <w:bookmarkEnd w:id="364"/>
      <w:r>
        <w:rPr>
          <w:rFonts w:hAnsi="宋体" w:hint="eastAsia"/>
        </w:rPr>
        <w:t>存放地</w:t>
      </w:r>
      <w:r>
        <w:rPr>
          <w:rFonts w:hAnsi="宋体" w:hint="eastAsia"/>
        </w:rPr>
        <w:t>点</w:t>
      </w:r>
      <w:bookmarkEnd w:id="365"/>
      <w:bookmarkEnd w:id="366"/>
      <w:bookmarkEnd w:id="367"/>
      <w:bookmarkEnd w:id="368"/>
      <w:bookmarkEnd w:id="369"/>
      <w:bookmarkEnd w:id="370"/>
      <w:bookmarkEnd w:id="371"/>
      <w:bookmarkEnd w:id="372"/>
      <w:r>
        <w:rPr>
          <w:rFonts w:hAnsi="宋体" w:hint="eastAsia"/>
        </w:rPr>
        <w:t xml:space="preserve"> </w:t>
      </w:r>
    </w:p>
    <w:p w:rsidR="00566CA2" w:rsidRDefault="00566CA2">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66CA2" w:rsidRDefault="00566CA2">
      <w:pPr>
        <w:pStyle w:val="XBRLTitle2"/>
        <w:spacing w:before="156" w:line="360" w:lineRule="auto"/>
        <w:ind w:left="454"/>
      </w:pPr>
      <w:bookmarkStart w:id="374" w:name="_Toc438646484"/>
      <w:bookmarkStart w:id="375" w:name="_Toc17898231"/>
      <w:bookmarkStart w:id="376" w:name="_Toc17897972"/>
      <w:bookmarkStart w:id="377" w:name="_Toc512519532"/>
      <w:bookmarkStart w:id="378" w:name="_Toc481075100"/>
      <w:bookmarkStart w:id="379" w:name="_Toc490050052"/>
      <w:bookmarkStart w:id="380" w:name="_Toc513295881"/>
      <w:bookmarkStart w:id="381" w:name="_Toc513295944"/>
      <w:bookmarkStart w:id="382" w:name="m801_01_1735"/>
      <w:bookmarkEnd w:id="373"/>
      <w:r>
        <w:rPr>
          <w:rFonts w:hAnsi="宋体" w:hint="eastAsia"/>
        </w:rPr>
        <w:t>查阅方</w:t>
      </w:r>
      <w:r>
        <w:rPr>
          <w:rFonts w:hAnsi="宋体" w:hint="eastAsia"/>
        </w:rPr>
        <w:t>式</w:t>
      </w:r>
      <w:bookmarkEnd w:id="374"/>
      <w:bookmarkEnd w:id="375"/>
      <w:bookmarkEnd w:id="376"/>
      <w:bookmarkEnd w:id="377"/>
      <w:bookmarkEnd w:id="378"/>
      <w:bookmarkEnd w:id="379"/>
      <w:bookmarkEnd w:id="380"/>
      <w:bookmarkEnd w:id="381"/>
      <w:r>
        <w:rPr>
          <w:rFonts w:hAnsi="宋体" w:hint="eastAsia"/>
        </w:rPr>
        <w:t xml:space="preserve"> </w:t>
      </w:r>
    </w:p>
    <w:p w:rsidR="00566CA2" w:rsidRDefault="00566CA2">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2"/>
    <w:p w:rsidR="00566CA2" w:rsidRDefault="00566CA2">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66CA2" w:rsidRDefault="00566CA2">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66CA2" w:rsidRDefault="00566CA2">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66CA2" w:rsidRDefault="00566CA2">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66CA2">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CA2" w:rsidRDefault="00566CA2">
      <w:pPr>
        <w:rPr>
          <w:szCs w:val="21"/>
        </w:rPr>
      </w:pPr>
      <w:r>
        <w:rPr>
          <w:szCs w:val="21"/>
        </w:rPr>
        <w:separator/>
      </w:r>
      <w:r>
        <w:rPr>
          <w:szCs w:val="21"/>
        </w:rPr>
        <w:t xml:space="preserve"> </w:t>
      </w:r>
    </w:p>
  </w:endnote>
  <w:endnote w:type="continuationSeparator" w:id="0">
    <w:p w:rsidR="00566CA2" w:rsidRDefault="00566CA2">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A2" w:rsidRDefault="00566CA2">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CA2" w:rsidRDefault="00566CA2">
      <w:pPr>
        <w:rPr>
          <w:szCs w:val="21"/>
        </w:rPr>
      </w:pPr>
      <w:r>
        <w:rPr>
          <w:szCs w:val="21"/>
        </w:rPr>
        <w:separator/>
      </w:r>
      <w:r>
        <w:rPr>
          <w:szCs w:val="21"/>
        </w:rPr>
        <w:t xml:space="preserve"> </w:t>
      </w:r>
    </w:p>
  </w:footnote>
  <w:footnote w:type="continuationSeparator" w:id="0">
    <w:p w:rsidR="00566CA2" w:rsidRDefault="00566CA2">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A2" w:rsidRDefault="00566CA2">
    <w:pPr>
      <w:pStyle w:val="a8"/>
      <w:jc w:val="right"/>
    </w:pPr>
    <w:r>
      <w:rPr>
        <w:rFonts w:ascii="宋体" w:hAnsi="宋体" w:hint="eastAsia"/>
      </w:rPr>
      <w:t>摩根双息平衡混合型证券投资基金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47954430">
    <w:abstractNumId w:val="0"/>
  </w:num>
  <w:num w:numId="2" w16cid:durableId="948388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B477F"/>
    <w:rsid w:val="00566CA2"/>
    <w:rsid w:val="008338CE"/>
    <w:rsid w:val="00DB4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9360">
      <w:marLeft w:val="0"/>
      <w:marRight w:val="0"/>
      <w:marTop w:val="0"/>
      <w:marBottom w:val="0"/>
      <w:divBdr>
        <w:top w:val="none" w:sz="0" w:space="0" w:color="auto"/>
        <w:left w:val="none" w:sz="0" w:space="0" w:color="auto"/>
        <w:bottom w:val="none" w:sz="0" w:space="0" w:color="auto"/>
        <w:right w:val="none" w:sz="0" w:space="0" w:color="auto"/>
      </w:divBdr>
    </w:div>
    <w:div w:id="211619540">
      <w:marLeft w:val="0"/>
      <w:marRight w:val="0"/>
      <w:marTop w:val="0"/>
      <w:marBottom w:val="0"/>
      <w:divBdr>
        <w:top w:val="none" w:sz="0" w:space="0" w:color="auto"/>
        <w:left w:val="none" w:sz="0" w:space="0" w:color="auto"/>
        <w:bottom w:val="none" w:sz="0" w:space="0" w:color="auto"/>
        <w:right w:val="none" w:sz="0" w:space="0" w:color="auto"/>
      </w:divBdr>
    </w:div>
    <w:div w:id="266160755">
      <w:marLeft w:val="0"/>
      <w:marRight w:val="0"/>
      <w:marTop w:val="0"/>
      <w:marBottom w:val="0"/>
      <w:divBdr>
        <w:top w:val="none" w:sz="0" w:space="0" w:color="auto"/>
        <w:left w:val="none" w:sz="0" w:space="0" w:color="auto"/>
        <w:bottom w:val="none" w:sz="0" w:space="0" w:color="auto"/>
        <w:right w:val="none" w:sz="0" w:space="0" w:color="auto"/>
      </w:divBdr>
    </w:div>
    <w:div w:id="407465938">
      <w:marLeft w:val="0"/>
      <w:marRight w:val="0"/>
      <w:marTop w:val="0"/>
      <w:marBottom w:val="0"/>
      <w:divBdr>
        <w:top w:val="none" w:sz="0" w:space="0" w:color="auto"/>
        <w:left w:val="none" w:sz="0" w:space="0" w:color="auto"/>
        <w:bottom w:val="none" w:sz="0" w:space="0" w:color="auto"/>
        <w:right w:val="none" w:sz="0" w:space="0" w:color="auto"/>
      </w:divBdr>
    </w:div>
    <w:div w:id="410549029">
      <w:marLeft w:val="0"/>
      <w:marRight w:val="0"/>
      <w:marTop w:val="0"/>
      <w:marBottom w:val="0"/>
      <w:divBdr>
        <w:top w:val="none" w:sz="0" w:space="0" w:color="auto"/>
        <w:left w:val="none" w:sz="0" w:space="0" w:color="auto"/>
        <w:bottom w:val="none" w:sz="0" w:space="0" w:color="auto"/>
        <w:right w:val="none" w:sz="0" w:space="0" w:color="auto"/>
      </w:divBdr>
    </w:div>
    <w:div w:id="519467858">
      <w:marLeft w:val="0"/>
      <w:marRight w:val="0"/>
      <w:marTop w:val="0"/>
      <w:marBottom w:val="0"/>
      <w:divBdr>
        <w:top w:val="none" w:sz="0" w:space="0" w:color="auto"/>
        <w:left w:val="none" w:sz="0" w:space="0" w:color="auto"/>
        <w:bottom w:val="none" w:sz="0" w:space="0" w:color="auto"/>
        <w:right w:val="none" w:sz="0" w:space="0" w:color="auto"/>
      </w:divBdr>
      <w:divsChild>
        <w:div w:id="2132629888">
          <w:marLeft w:val="0"/>
          <w:marRight w:val="0"/>
          <w:marTop w:val="0"/>
          <w:marBottom w:val="0"/>
          <w:divBdr>
            <w:top w:val="none" w:sz="0" w:space="0" w:color="auto"/>
            <w:left w:val="none" w:sz="0" w:space="0" w:color="auto"/>
            <w:bottom w:val="none" w:sz="0" w:space="0" w:color="auto"/>
            <w:right w:val="none" w:sz="0" w:space="0" w:color="auto"/>
          </w:divBdr>
        </w:div>
      </w:divsChild>
    </w:div>
    <w:div w:id="530414854">
      <w:marLeft w:val="0"/>
      <w:marRight w:val="0"/>
      <w:marTop w:val="0"/>
      <w:marBottom w:val="0"/>
      <w:divBdr>
        <w:top w:val="none" w:sz="0" w:space="0" w:color="auto"/>
        <w:left w:val="none" w:sz="0" w:space="0" w:color="auto"/>
        <w:bottom w:val="none" w:sz="0" w:space="0" w:color="auto"/>
        <w:right w:val="none" w:sz="0" w:space="0" w:color="auto"/>
      </w:divBdr>
      <w:divsChild>
        <w:div w:id="2059013505">
          <w:marLeft w:val="0"/>
          <w:marRight w:val="0"/>
          <w:marTop w:val="0"/>
          <w:marBottom w:val="0"/>
          <w:divBdr>
            <w:top w:val="none" w:sz="0" w:space="0" w:color="auto"/>
            <w:left w:val="none" w:sz="0" w:space="0" w:color="auto"/>
            <w:bottom w:val="none" w:sz="0" w:space="0" w:color="auto"/>
            <w:right w:val="none" w:sz="0" w:space="0" w:color="auto"/>
          </w:divBdr>
          <w:divsChild>
            <w:div w:id="18570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662072">
      <w:marLeft w:val="0"/>
      <w:marRight w:val="0"/>
      <w:marTop w:val="0"/>
      <w:marBottom w:val="0"/>
      <w:divBdr>
        <w:top w:val="none" w:sz="0" w:space="0" w:color="auto"/>
        <w:left w:val="none" w:sz="0" w:space="0" w:color="auto"/>
        <w:bottom w:val="none" w:sz="0" w:space="0" w:color="auto"/>
        <w:right w:val="none" w:sz="0" w:space="0" w:color="auto"/>
      </w:divBdr>
    </w:div>
    <w:div w:id="871067537">
      <w:marLeft w:val="0"/>
      <w:marRight w:val="0"/>
      <w:marTop w:val="0"/>
      <w:marBottom w:val="0"/>
      <w:divBdr>
        <w:top w:val="none" w:sz="0" w:space="0" w:color="auto"/>
        <w:left w:val="none" w:sz="0" w:space="0" w:color="auto"/>
        <w:bottom w:val="none" w:sz="0" w:space="0" w:color="auto"/>
        <w:right w:val="none" w:sz="0" w:space="0" w:color="auto"/>
      </w:divBdr>
    </w:div>
    <w:div w:id="874001052">
      <w:marLeft w:val="0"/>
      <w:marRight w:val="0"/>
      <w:marTop w:val="0"/>
      <w:marBottom w:val="0"/>
      <w:divBdr>
        <w:top w:val="none" w:sz="0" w:space="0" w:color="auto"/>
        <w:left w:val="none" w:sz="0" w:space="0" w:color="auto"/>
        <w:bottom w:val="none" w:sz="0" w:space="0" w:color="auto"/>
        <w:right w:val="none" w:sz="0" w:space="0" w:color="auto"/>
      </w:divBdr>
      <w:divsChild>
        <w:div w:id="1120341724">
          <w:marLeft w:val="0"/>
          <w:marRight w:val="0"/>
          <w:marTop w:val="0"/>
          <w:marBottom w:val="0"/>
          <w:divBdr>
            <w:top w:val="none" w:sz="0" w:space="0" w:color="auto"/>
            <w:left w:val="none" w:sz="0" w:space="0" w:color="auto"/>
            <w:bottom w:val="none" w:sz="0" w:space="0" w:color="auto"/>
            <w:right w:val="none" w:sz="0" w:space="0" w:color="auto"/>
          </w:divBdr>
        </w:div>
        <w:div w:id="154221408">
          <w:marLeft w:val="0"/>
          <w:marRight w:val="0"/>
          <w:marTop w:val="0"/>
          <w:marBottom w:val="0"/>
          <w:divBdr>
            <w:top w:val="none" w:sz="0" w:space="0" w:color="auto"/>
            <w:left w:val="none" w:sz="0" w:space="0" w:color="auto"/>
            <w:bottom w:val="none" w:sz="0" w:space="0" w:color="auto"/>
            <w:right w:val="none" w:sz="0" w:space="0" w:color="auto"/>
          </w:divBdr>
        </w:div>
        <w:div w:id="1554535641">
          <w:marLeft w:val="0"/>
          <w:marRight w:val="0"/>
          <w:marTop w:val="0"/>
          <w:marBottom w:val="0"/>
          <w:divBdr>
            <w:top w:val="none" w:sz="0" w:space="0" w:color="auto"/>
            <w:left w:val="none" w:sz="0" w:space="0" w:color="auto"/>
            <w:bottom w:val="none" w:sz="0" w:space="0" w:color="auto"/>
            <w:right w:val="none" w:sz="0" w:space="0" w:color="auto"/>
          </w:divBdr>
        </w:div>
      </w:divsChild>
    </w:div>
    <w:div w:id="939147615">
      <w:marLeft w:val="0"/>
      <w:marRight w:val="0"/>
      <w:marTop w:val="0"/>
      <w:marBottom w:val="0"/>
      <w:divBdr>
        <w:top w:val="none" w:sz="0" w:space="0" w:color="auto"/>
        <w:left w:val="none" w:sz="0" w:space="0" w:color="auto"/>
        <w:bottom w:val="none" w:sz="0" w:space="0" w:color="auto"/>
        <w:right w:val="none" w:sz="0" w:space="0" w:color="auto"/>
      </w:divBdr>
      <w:divsChild>
        <w:div w:id="740443649">
          <w:marLeft w:val="0"/>
          <w:marRight w:val="0"/>
          <w:marTop w:val="0"/>
          <w:marBottom w:val="0"/>
          <w:divBdr>
            <w:top w:val="none" w:sz="0" w:space="0" w:color="auto"/>
            <w:left w:val="none" w:sz="0" w:space="0" w:color="auto"/>
            <w:bottom w:val="none" w:sz="0" w:space="0" w:color="auto"/>
            <w:right w:val="none" w:sz="0" w:space="0" w:color="auto"/>
          </w:divBdr>
        </w:div>
      </w:divsChild>
    </w:div>
    <w:div w:id="961956521">
      <w:marLeft w:val="0"/>
      <w:marRight w:val="0"/>
      <w:marTop w:val="0"/>
      <w:marBottom w:val="0"/>
      <w:divBdr>
        <w:top w:val="none" w:sz="0" w:space="0" w:color="auto"/>
        <w:left w:val="none" w:sz="0" w:space="0" w:color="auto"/>
        <w:bottom w:val="none" w:sz="0" w:space="0" w:color="auto"/>
        <w:right w:val="none" w:sz="0" w:space="0" w:color="auto"/>
      </w:divBdr>
    </w:div>
    <w:div w:id="1047225039">
      <w:marLeft w:val="0"/>
      <w:marRight w:val="0"/>
      <w:marTop w:val="0"/>
      <w:marBottom w:val="0"/>
      <w:divBdr>
        <w:top w:val="none" w:sz="0" w:space="0" w:color="auto"/>
        <w:left w:val="none" w:sz="0" w:space="0" w:color="auto"/>
        <w:bottom w:val="none" w:sz="0" w:space="0" w:color="auto"/>
        <w:right w:val="none" w:sz="0" w:space="0" w:color="auto"/>
      </w:divBdr>
    </w:div>
    <w:div w:id="1105492092">
      <w:marLeft w:val="0"/>
      <w:marRight w:val="0"/>
      <w:marTop w:val="0"/>
      <w:marBottom w:val="0"/>
      <w:divBdr>
        <w:top w:val="none" w:sz="0" w:space="0" w:color="auto"/>
        <w:left w:val="none" w:sz="0" w:space="0" w:color="auto"/>
        <w:bottom w:val="none" w:sz="0" w:space="0" w:color="auto"/>
        <w:right w:val="none" w:sz="0" w:space="0" w:color="auto"/>
      </w:divBdr>
    </w:div>
    <w:div w:id="1141385626">
      <w:marLeft w:val="0"/>
      <w:marRight w:val="0"/>
      <w:marTop w:val="0"/>
      <w:marBottom w:val="0"/>
      <w:divBdr>
        <w:top w:val="none" w:sz="0" w:space="0" w:color="auto"/>
        <w:left w:val="none" w:sz="0" w:space="0" w:color="auto"/>
        <w:bottom w:val="none" w:sz="0" w:space="0" w:color="auto"/>
        <w:right w:val="none" w:sz="0" w:space="0" w:color="auto"/>
      </w:divBdr>
      <w:divsChild>
        <w:div w:id="1705134617">
          <w:marLeft w:val="0"/>
          <w:marRight w:val="0"/>
          <w:marTop w:val="0"/>
          <w:marBottom w:val="0"/>
          <w:divBdr>
            <w:top w:val="none" w:sz="0" w:space="0" w:color="auto"/>
            <w:left w:val="none" w:sz="0" w:space="0" w:color="auto"/>
            <w:bottom w:val="none" w:sz="0" w:space="0" w:color="auto"/>
            <w:right w:val="none" w:sz="0" w:space="0" w:color="auto"/>
          </w:divBdr>
        </w:div>
      </w:divsChild>
    </w:div>
    <w:div w:id="1381855573">
      <w:marLeft w:val="0"/>
      <w:marRight w:val="0"/>
      <w:marTop w:val="0"/>
      <w:marBottom w:val="0"/>
      <w:divBdr>
        <w:top w:val="none" w:sz="0" w:space="0" w:color="auto"/>
        <w:left w:val="none" w:sz="0" w:space="0" w:color="auto"/>
        <w:bottom w:val="none" w:sz="0" w:space="0" w:color="auto"/>
        <w:right w:val="none" w:sz="0" w:space="0" w:color="auto"/>
      </w:divBdr>
      <w:divsChild>
        <w:div w:id="1287279143">
          <w:marLeft w:val="0"/>
          <w:marRight w:val="0"/>
          <w:marTop w:val="0"/>
          <w:marBottom w:val="0"/>
          <w:divBdr>
            <w:top w:val="none" w:sz="0" w:space="0" w:color="auto"/>
            <w:left w:val="none" w:sz="0" w:space="0" w:color="auto"/>
            <w:bottom w:val="none" w:sz="0" w:space="0" w:color="auto"/>
            <w:right w:val="none" w:sz="0" w:space="0" w:color="auto"/>
          </w:divBdr>
        </w:div>
      </w:divsChild>
    </w:div>
    <w:div w:id="1396050111">
      <w:marLeft w:val="0"/>
      <w:marRight w:val="0"/>
      <w:marTop w:val="0"/>
      <w:marBottom w:val="0"/>
      <w:divBdr>
        <w:top w:val="none" w:sz="0" w:space="0" w:color="auto"/>
        <w:left w:val="none" w:sz="0" w:space="0" w:color="auto"/>
        <w:bottom w:val="none" w:sz="0" w:space="0" w:color="auto"/>
        <w:right w:val="none" w:sz="0" w:space="0" w:color="auto"/>
      </w:divBdr>
    </w:div>
    <w:div w:id="1474785453">
      <w:marLeft w:val="0"/>
      <w:marRight w:val="0"/>
      <w:marTop w:val="0"/>
      <w:marBottom w:val="0"/>
      <w:divBdr>
        <w:top w:val="none" w:sz="0" w:space="0" w:color="auto"/>
        <w:left w:val="none" w:sz="0" w:space="0" w:color="auto"/>
        <w:bottom w:val="none" w:sz="0" w:space="0" w:color="auto"/>
        <w:right w:val="none" w:sz="0" w:space="0" w:color="auto"/>
      </w:divBdr>
    </w:div>
    <w:div w:id="1657028231">
      <w:marLeft w:val="0"/>
      <w:marRight w:val="0"/>
      <w:marTop w:val="0"/>
      <w:marBottom w:val="0"/>
      <w:divBdr>
        <w:top w:val="none" w:sz="0" w:space="0" w:color="auto"/>
        <w:left w:val="none" w:sz="0" w:space="0" w:color="auto"/>
        <w:bottom w:val="none" w:sz="0" w:space="0" w:color="auto"/>
        <w:right w:val="none" w:sz="0" w:space="0" w:color="auto"/>
      </w:divBdr>
    </w:div>
    <w:div w:id="1666014274">
      <w:marLeft w:val="0"/>
      <w:marRight w:val="0"/>
      <w:marTop w:val="0"/>
      <w:marBottom w:val="0"/>
      <w:divBdr>
        <w:top w:val="none" w:sz="0" w:space="0" w:color="auto"/>
        <w:left w:val="none" w:sz="0" w:space="0" w:color="auto"/>
        <w:bottom w:val="none" w:sz="0" w:space="0" w:color="auto"/>
        <w:right w:val="none" w:sz="0" w:space="0" w:color="auto"/>
      </w:divBdr>
    </w:div>
    <w:div w:id="1866207023">
      <w:marLeft w:val="0"/>
      <w:marRight w:val="0"/>
      <w:marTop w:val="0"/>
      <w:marBottom w:val="0"/>
      <w:divBdr>
        <w:top w:val="none" w:sz="0" w:space="0" w:color="auto"/>
        <w:left w:val="none" w:sz="0" w:space="0" w:color="auto"/>
        <w:bottom w:val="none" w:sz="0" w:space="0" w:color="auto"/>
        <w:right w:val="none" w:sz="0" w:space="0" w:color="auto"/>
      </w:divBdr>
      <w:divsChild>
        <w:div w:id="1714577381">
          <w:marLeft w:val="0"/>
          <w:marRight w:val="0"/>
          <w:marTop w:val="0"/>
          <w:marBottom w:val="0"/>
          <w:divBdr>
            <w:top w:val="none" w:sz="0" w:space="0" w:color="auto"/>
            <w:left w:val="none" w:sz="0" w:space="0" w:color="auto"/>
            <w:bottom w:val="none" w:sz="0" w:space="0" w:color="auto"/>
            <w:right w:val="none" w:sz="0" w:space="0" w:color="auto"/>
          </w:divBdr>
        </w:div>
      </w:divsChild>
    </w:div>
    <w:div w:id="1906797078">
      <w:marLeft w:val="0"/>
      <w:marRight w:val="0"/>
      <w:marTop w:val="0"/>
      <w:marBottom w:val="0"/>
      <w:divBdr>
        <w:top w:val="none" w:sz="0" w:space="0" w:color="auto"/>
        <w:left w:val="none" w:sz="0" w:space="0" w:color="auto"/>
        <w:bottom w:val="none" w:sz="0" w:space="0" w:color="auto"/>
        <w:right w:val="none" w:sz="0" w:space="0" w:color="auto"/>
      </w:divBdr>
    </w:div>
    <w:div w:id="1908373439">
      <w:marLeft w:val="0"/>
      <w:marRight w:val="0"/>
      <w:marTop w:val="0"/>
      <w:marBottom w:val="0"/>
      <w:divBdr>
        <w:top w:val="none" w:sz="0" w:space="0" w:color="auto"/>
        <w:left w:val="none" w:sz="0" w:space="0" w:color="auto"/>
        <w:bottom w:val="none" w:sz="0" w:space="0" w:color="auto"/>
        <w:right w:val="none" w:sz="0" w:space="0" w:color="auto"/>
      </w:divBdr>
      <w:divsChild>
        <w:div w:id="1204050883">
          <w:marLeft w:val="0"/>
          <w:marRight w:val="0"/>
          <w:marTop w:val="0"/>
          <w:marBottom w:val="0"/>
          <w:divBdr>
            <w:top w:val="none" w:sz="0" w:space="0" w:color="auto"/>
            <w:left w:val="none" w:sz="0" w:space="0" w:color="auto"/>
            <w:bottom w:val="none" w:sz="0" w:space="0" w:color="auto"/>
            <w:right w:val="none" w:sz="0" w:space="0" w:color="auto"/>
          </w:divBdr>
        </w:div>
      </w:divsChild>
    </w:div>
    <w:div w:id="20523411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1420</Words>
  <Characters>8094</Characters>
  <Application>Microsoft Office Word</Application>
  <DocSecurity>4</DocSecurity>
  <Lines>67</Lines>
  <Paragraphs>18</Paragraphs>
  <ScaleCrop>false</ScaleCrop>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