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摩根双息平衡混合型证券投资基金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2023</w:t>
      </w:r>
      <w:r w:rsidRPr="0073597F">
        <w:rPr>
          <w:rFonts w:eastAsiaTheme="minorEastAsia"/>
          <w:b/>
          <w:color w:val="000000" w:themeColor="text1"/>
          <w:sz w:val="36"/>
          <w:szCs w:val="36"/>
        </w:rPr>
        <w:t>年第</w:t>
      </w:r>
      <w:r w:rsidRPr="0073597F">
        <w:rPr>
          <w:rFonts w:eastAsiaTheme="minorEastAsia"/>
          <w:b/>
          <w:color w:val="000000" w:themeColor="text1"/>
          <w:sz w:val="36"/>
          <w:szCs w:val="36"/>
        </w:rPr>
        <w:t>1</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2023</w:t>
      </w:r>
      <w:r w:rsidRPr="0073597F">
        <w:rPr>
          <w:rFonts w:eastAsiaTheme="minorEastAsia"/>
          <w:b/>
          <w:color w:val="000000" w:themeColor="text1"/>
          <w:sz w:val="36"/>
          <w:szCs w:val="36"/>
        </w:rPr>
        <w:t>年</w:t>
      </w:r>
      <w:r w:rsidRPr="0073597F">
        <w:rPr>
          <w:rFonts w:eastAsiaTheme="minorEastAsia"/>
          <w:b/>
          <w:color w:val="000000" w:themeColor="text1"/>
          <w:sz w:val="36"/>
          <w:szCs w:val="36"/>
        </w:rPr>
        <w:t>3</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基金托管人：中国建设银行股份有限公司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报告送出日期：二〇二三年四月二十一日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3</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摩根双息平衡混合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373010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2006</w:t>
            </w:r>
            <w:r w:rsidRPr="0073597F">
              <w:rPr>
                <w:rFonts w:eastAsiaTheme="minorEastAsia"/>
                <w:color w:val="000000" w:themeColor="text1"/>
                <w:kern w:val="0"/>
                <w:szCs w:val="21"/>
              </w:rPr>
              <w:t>年</w:t>
            </w:r>
            <w:r w:rsidRPr="0073597F">
              <w:rPr>
                <w:rFonts w:eastAsiaTheme="minorEastAsia"/>
                <w:color w:val="000000" w:themeColor="text1"/>
                <w:kern w:val="0"/>
                <w:szCs w:val="21"/>
              </w:rPr>
              <w:t>4</w:t>
            </w:r>
            <w:r w:rsidRPr="0073597F">
              <w:rPr>
                <w:rFonts w:eastAsiaTheme="minorEastAsia"/>
                <w:color w:val="000000" w:themeColor="text1"/>
                <w:kern w:val="0"/>
                <w:szCs w:val="21"/>
              </w:rPr>
              <w:t>月</w:t>
            </w:r>
            <w:r w:rsidRPr="0073597F">
              <w:rPr>
                <w:rFonts w:eastAsiaTheme="minorEastAsia"/>
                <w:color w:val="000000" w:themeColor="text1"/>
                <w:kern w:val="0"/>
                <w:szCs w:val="21"/>
              </w:rPr>
              <w:t>26</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1,018,647,856.54</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本基金重点投资高股息、高债息品种，获得稳定的股息与债息收入，同时把握资本利得机会以争取完全收益，力求为投资者创造绝对回报。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AA7B34" w:rsidRDefault="001F27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本基金兼具红利与平衡基金特色，在借鉴</w:t>
            </w:r>
            <w:r>
              <w:rPr>
                <w:rFonts w:eastAsiaTheme="minorEastAsia"/>
                <w:color w:val="000000" w:themeColor="text1"/>
                <w:kern w:val="0"/>
                <w:szCs w:val="21"/>
              </w:rPr>
              <w:t>JP</w:t>
            </w:r>
            <w:r>
              <w:rPr>
                <w:rFonts w:eastAsiaTheme="minorEastAsia"/>
                <w:color w:val="000000" w:themeColor="text1"/>
                <w:kern w:val="0"/>
                <w:szCs w:val="21"/>
              </w:rPr>
              <w:t>摩根资产管理集团全球</w:t>
            </w:r>
            <w:r>
              <w:rPr>
                <w:rFonts w:eastAsiaTheme="minorEastAsia"/>
                <w:color w:val="000000" w:themeColor="text1"/>
                <w:kern w:val="0"/>
                <w:szCs w:val="21"/>
              </w:rPr>
              <w:lastRenderedPageBreak/>
              <w:t>行之有效的投资理念基础上，充分结合国内资本市场的实际特征，通过严格的证券选择，深入挖掘股息与债息的获利机会，并积极运用战略资产配置（</w:t>
            </w:r>
            <w:r>
              <w:rPr>
                <w:rFonts w:eastAsiaTheme="minorEastAsia"/>
                <w:color w:val="000000" w:themeColor="text1"/>
                <w:kern w:val="0"/>
                <w:szCs w:val="21"/>
              </w:rPr>
              <w:t>SAA</w:t>
            </w:r>
            <w:r>
              <w:rPr>
                <w:rFonts w:eastAsiaTheme="minorEastAsia"/>
                <w:color w:val="000000" w:themeColor="text1"/>
                <w:kern w:val="0"/>
                <w:szCs w:val="21"/>
              </w:rPr>
              <w:t>）和战术资产配置（</w:t>
            </w:r>
            <w:r>
              <w:rPr>
                <w:rFonts w:eastAsiaTheme="minorEastAsia"/>
                <w:color w:val="000000" w:themeColor="text1"/>
                <w:kern w:val="0"/>
                <w:szCs w:val="21"/>
              </w:rPr>
              <w:t>TAA</w:t>
            </w:r>
            <w:r>
              <w:rPr>
                <w:rFonts w:eastAsiaTheme="minorEastAsia"/>
                <w:color w:val="000000" w:themeColor="text1"/>
                <w:kern w:val="0"/>
                <w:szCs w:val="21"/>
              </w:rPr>
              <w:t>）策略，动态优化投资组合，以实现进可攻、退可守的投资布局。在达到预期投资回报后，本基金会适度锁定投资收益，及时调整资产配置比例以保证基金表现持续平稳。</w:t>
            </w:r>
          </w:p>
          <w:p w:rsidR="00AA7B34" w:rsidRDefault="001F27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、股票选择策略</w:t>
            </w:r>
          </w:p>
          <w:p w:rsidR="00AA7B34" w:rsidRDefault="001F27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）红利股预筛选。注意考察公司持续盈利能力和分红能力，特别剔除</w:t>
            </w:r>
            <w:r>
              <w:rPr>
                <w:rFonts w:eastAsiaTheme="minorEastAsia"/>
                <w:color w:val="000000" w:themeColor="text1"/>
                <w:kern w:val="0"/>
                <w:szCs w:val="21"/>
              </w:rPr>
              <w:t>“</w:t>
            </w:r>
            <w:r>
              <w:rPr>
                <w:rFonts w:eastAsiaTheme="minorEastAsia"/>
                <w:color w:val="000000" w:themeColor="text1"/>
                <w:kern w:val="0"/>
                <w:szCs w:val="21"/>
              </w:rPr>
              <w:t>超能力现金分红</w:t>
            </w:r>
            <w:r>
              <w:rPr>
                <w:rFonts w:eastAsiaTheme="minorEastAsia"/>
                <w:color w:val="000000" w:themeColor="text1"/>
                <w:kern w:val="0"/>
                <w:szCs w:val="21"/>
              </w:rPr>
              <w:t>”</w:t>
            </w:r>
            <w:r>
              <w:rPr>
                <w:rFonts w:eastAsiaTheme="minorEastAsia"/>
                <w:color w:val="000000" w:themeColor="text1"/>
                <w:kern w:val="0"/>
                <w:szCs w:val="21"/>
              </w:rPr>
              <w:t>的公司。</w:t>
            </w:r>
          </w:p>
          <w:p w:rsidR="00AA7B34" w:rsidRDefault="001F27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）红利股甄别。筛选出现金股息率高、分红稳定、行业布局合理的高品质上市公司，最终形成本基金的备选股票池。</w:t>
            </w:r>
          </w:p>
          <w:p w:rsidR="00AA7B34" w:rsidRDefault="001F27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）红利股再调整。为构建核心股票池，以增加投资品种的长期稳定效益。</w:t>
            </w:r>
          </w:p>
          <w:p w:rsidR="00AA7B34" w:rsidRDefault="001F27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AA7B34" w:rsidRDefault="001F27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为有效控制股票投资风险，优化组合流动性管理，并显著提高投资组合债息收益，本基金将考虑稳健性资产配置，进行债券、货币市场工具等品种的投资，并主要通过类属配置与券种选择两个层次进行投资管理。</w:t>
            </w:r>
          </w:p>
          <w:p w:rsidR="00AA7B34" w:rsidRDefault="001F27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、资产配置策略</w:t>
            </w:r>
          </w:p>
          <w:p w:rsidR="00AA7B34" w:rsidRDefault="001F27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本基金将以</w:t>
            </w:r>
            <w:r>
              <w:rPr>
                <w:rFonts w:eastAsiaTheme="minorEastAsia"/>
                <w:color w:val="000000" w:themeColor="text1"/>
                <w:kern w:val="0"/>
                <w:szCs w:val="21"/>
              </w:rPr>
              <w:t>SAA</w:t>
            </w:r>
            <w:r>
              <w:rPr>
                <w:rFonts w:eastAsiaTheme="minorEastAsia"/>
                <w:color w:val="000000" w:themeColor="text1"/>
                <w:kern w:val="0"/>
                <w:szCs w:val="21"/>
              </w:rPr>
              <w:t>资产配置策略为基准，更侧重运用</w:t>
            </w:r>
            <w:r>
              <w:rPr>
                <w:rFonts w:eastAsiaTheme="minorEastAsia"/>
                <w:color w:val="000000" w:themeColor="text1"/>
                <w:kern w:val="0"/>
                <w:szCs w:val="21"/>
              </w:rPr>
              <w:t>TAA</w:t>
            </w:r>
            <w:r>
              <w:rPr>
                <w:rFonts w:eastAsiaTheme="minorEastAsia"/>
                <w:color w:val="000000" w:themeColor="text1"/>
                <w:kern w:val="0"/>
                <w:szCs w:val="21"/>
              </w:rPr>
              <w:t>资产配置策略，积极构建稳健型投资组合。</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中证红利指数收益率</w:t>
            </w:r>
            <w:r w:rsidRPr="0073597F">
              <w:rPr>
                <w:rFonts w:eastAsiaTheme="minorEastAsia"/>
                <w:color w:val="000000" w:themeColor="text1"/>
                <w:kern w:val="0"/>
                <w:szCs w:val="21"/>
              </w:rPr>
              <w:t>×45%+</w:t>
            </w:r>
            <w:r w:rsidRPr="0073597F">
              <w:rPr>
                <w:rFonts w:eastAsiaTheme="minorEastAsia"/>
                <w:color w:val="000000" w:themeColor="text1"/>
                <w:kern w:val="0"/>
                <w:szCs w:val="21"/>
              </w:rPr>
              <w:t>中债总指数收益率</w:t>
            </w:r>
            <w:r w:rsidRPr="0073597F">
              <w:rPr>
                <w:rFonts w:eastAsiaTheme="minorEastAsia"/>
                <w:color w:val="000000" w:themeColor="text1"/>
                <w:kern w:val="0"/>
                <w:szCs w:val="21"/>
              </w:rPr>
              <w:t>×55%</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AA7B34" w:rsidRDefault="001F27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本基金是混合型证券投资基金，主要投资于红利股及相似条件下到期收益率较高的优良债券品种，风险高于债券基金和货币市场基金，低于股票基金，属于中低风险的证券投资基金产品。</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w:t>
            </w:r>
            <w:r w:rsidRPr="0073597F">
              <w:rPr>
                <w:rFonts w:eastAsiaTheme="minorEastAsia"/>
                <w:color w:val="000000" w:themeColor="text1"/>
                <w:kern w:val="0"/>
                <w:szCs w:val="21"/>
              </w:rPr>
              <w:lastRenderedPageBreak/>
              <w:t>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中国建设银行股份有限公司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A</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H</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C</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373010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960005</w:t>
            </w:r>
          </w:p>
        </w:tc>
        <w:tc>
          <w:tcPr>
            <w:tcW w:w="2077"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016803</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1,016,472,438.24</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2,167,754.82</w:t>
            </w:r>
            <w:r w:rsidRPr="0073597F">
              <w:rPr>
                <w:rFonts w:eastAsiaTheme="minorEastAsia"/>
                <w:color w:val="000000" w:themeColor="text1"/>
                <w:kern w:val="0"/>
                <w:szCs w:val="21"/>
              </w:rPr>
              <w:t>份</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7,663.48</w:t>
            </w:r>
            <w:r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3</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A</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H</w:t>
            </w:r>
          </w:p>
        </w:tc>
        <w:tc>
          <w:tcPr>
            <w:tcW w:w="2268"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C</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7,527,640.04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15,808.93</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10.43</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18,934,480.21</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39,945.98</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28.19</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0.0185</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0.0184</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0.0044</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829,518,288.37</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1,774,784.90</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6,231.07</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0.8161</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0.8187</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0.8131</w:t>
            </w:r>
          </w:p>
        </w:tc>
      </w:tr>
    </w:tbl>
    <w:p w:rsidR="00AA7B34" w:rsidRDefault="001F27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摩根双息平衡混合</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AA7B34">
        <w:tc>
          <w:tcPr>
            <w:tcW w:w="1290" w:type="dxa"/>
            <w:vAlign w:val="center"/>
          </w:tcPr>
          <w:p w:rsidR="00AA7B34" w:rsidRDefault="001F2798">
            <w:pPr>
              <w:jc w:val="left"/>
            </w:pPr>
            <w:r>
              <w:rPr>
                <w:rFonts w:eastAsiaTheme="minorEastAsia"/>
                <w:color w:val="000000" w:themeColor="text1"/>
                <w:szCs w:val="21"/>
              </w:rPr>
              <w:t>过去三个月</w:t>
            </w:r>
          </w:p>
        </w:tc>
        <w:tc>
          <w:tcPr>
            <w:tcW w:w="1291" w:type="dxa"/>
            <w:vAlign w:val="center"/>
          </w:tcPr>
          <w:p w:rsidR="00AA7B34" w:rsidRDefault="001F2798">
            <w:pPr>
              <w:jc w:val="right"/>
            </w:pPr>
            <w:r>
              <w:rPr>
                <w:rFonts w:eastAsiaTheme="minorEastAsia"/>
                <w:color w:val="000000" w:themeColor="text1"/>
                <w:szCs w:val="21"/>
              </w:rPr>
              <w:t>2.32%</w:t>
            </w:r>
          </w:p>
        </w:tc>
        <w:tc>
          <w:tcPr>
            <w:tcW w:w="1291" w:type="dxa"/>
            <w:vAlign w:val="center"/>
          </w:tcPr>
          <w:p w:rsidR="00AA7B34" w:rsidRDefault="001F2798">
            <w:pPr>
              <w:jc w:val="right"/>
            </w:pPr>
            <w:r>
              <w:rPr>
                <w:rFonts w:eastAsiaTheme="minorEastAsia"/>
                <w:color w:val="000000" w:themeColor="text1"/>
                <w:szCs w:val="21"/>
              </w:rPr>
              <w:t>0.48%</w:t>
            </w:r>
          </w:p>
        </w:tc>
        <w:tc>
          <w:tcPr>
            <w:tcW w:w="1291" w:type="dxa"/>
            <w:vAlign w:val="center"/>
          </w:tcPr>
          <w:p w:rsidR="00AA7B34" w:rsidRDefault="001F2798">
            <w:pPr>
              <w:jc w:val="right"/>
            </w:pPr>
            <w:r>
              <w:rPr>
                <w:rFonts w:eastAsiaTheme="minorEastAsia"/>
                <w:color w:val="000000" w:themeColor="text1"/>
                <w:szCs w:val="21"/>
              </w:rPr>
              <w:t>2.20%</w:t>
            </w:r>
          </w:p>
        </w:tc>
        <w:tc>
          <w:tcPr>
            <w:tcW w:w="1291" w:type="dxa"/>
            <w:vAlign w:val="center"/>
          </w:tcPr>
          <w:p w:rsidR="00AA7B34" w:rsidRDefault="001F2798">
            <w:pPr>
              <w:jc w:val="right"/>
            </w:pPr>
            <w:r>
              <w:rPr>
                <w:rFonts w:eastAsiaTheme="minorEastAsia"/>
                <w:color w:val="000000" w:themeColor="text1"/>
                <w:szCs w:val="21"/>
              </w:rPr>
              <w:t>0.30%</w:t>
            </w:r>
          </w:p>
        </w:tc>
        <w:tc>
          <w:tcPr>
            <w:tcW w:w="1291" w:type="dxa"/>
            <w:vAlign w:val="center"/>
          </w:tcPr>
          <w:p w:rsidR="00AA7B34" w:rsidRDefault="001F2798">
            <w:pPr>
              <w:jc w:val="right"/>
            </w:pPr>
            <w:r>
              <w:rPr>
                <w:rFonts w:eastAsiaTheme="minorEastAsia"/>
                <w:color w:val="000000" w:themeColor="text1"/>
                <w:szCs w:val="21"/>
              </w:rPr>
              <w:t>0.12%</w:t>
            </w:r>
          </w:p>
        </w:tc>
        <w:tc>
          <w:tcPr>
            <w:tcW w:w="1291" w:type="dxa"/>
            <w:vAlign w:val="center"/>
          </w:tcPr>
          <w:p w:rsidR="00AA7B34" w:rsidRDefault="001F2798">
            <w:pPr>
              <w:jc w:val="right"/>
            </w:pPr>
            <w:r>
              <w:rPr>
                <w:rFonts w:eastAsiaTheme="minorEastAsia"/>
                <w:color w:val="000000" w:themeColor="text1"/>
                <w:szCs w:val="21"/>
              </w:rPr>
              <w:t>0.18%</w:t>
            </w:r>
          </w:p>
        </w:tc>
      </w:tr>
      <w:tr w:rsidR="00AA7B34">
        <w:tc>
          <w:tcPr>
            <w:tcW w:w="1290" w:type="dxa"/>
            <w:vAlign w:val="center"/>
          </w:tcPr>
          <w:p w:rsidR="00AA7B34" w:rsidRDefault="001F2798">
            <w:pPr>
              <w:jc w:val="left"/>
            </w:pPr>
            <w:r>
              <w:rPr>
                <w:rFonts w:eastAsiaTheme="minorEastAsia"/>
                <w:color w:val="000000" w:themeColor="text1"/>
                <w:szCs w:val="21"/>
              </w:rPr>
              <w:t>过去六个月</w:t>
            </w:r>
          </w:p>
        </w:tc>
        <w:tc>
          <w:tcPr>
            <w:tcW w:w="1291" w:type="dxa"/>
            <w:vAlign w:val="center"/>
          </w:tcPr>
          <w:p w:rsidR="00AA7B34" w:rsidRDefault="001F2798">
            <w:pPr>
              <w:jc w:val="right"/>
            </w:pPr>
            <w:r>
              <w:rPr>
                <w:rFonts w:eastAsiaTheme="minorEastAsia"/>
                <w:color w:val="000000" w:themeColor="text1"/>
                <w:szCs w:val="21"/>
              </w:rPr>
              <w:t>0.47%</w:t>
            </w:r>
          </w:p>
        </w:tc>
        <w:tc>
          <w:tcPr>
            <w:tcW w:w="1291" w:type="dxa"/>
            <w:vAlign w:val="center"/>
          </w:tcPr>
          <w:p w:rsidR="00AA7B34" w:rsidRDefault="001F2798">
            <w:pPr>
              <w:jc w:val="right"/>
            </w:pPr>
            <w:r>
              <w:rPr>
                <w:rFonts w:eastAsiaTheme="minorEastAsia"/>
                <w:color w:val="000000" w:themeColor="text1"/>
                <w:szCs w:val="21"/>
              </w:rPr>
              <w:t>0.65%</w:t>
            </w:r>
          </w:p>
        </w:tc>
        <w:tc>
          <w:tcPr>
            <w:tcW w:w="1291" w:type="dxa"/>
            <w:vAlign w:val="center"/>
          </w:tcPr>
          <w:p w:rsidR="00AA7B34" w:rsidRDefault="001F2798">
            <w:pPr>
              <w:jc w:val="right"/>
            </w:pPr>
            <w:r>
              <w:rPr>
                <w:rFonts w:eastAsiaTheme="minorEastAsia"/>
                <w:color w:val="000000" w:themeColor="text1"/>
                <w:szCs w:val="21"/>
              </w:rPr>
              <w:t>2.53%</w:t>
            </w:r>
          </w:p>
        </w:tc>
        <w:tc>
          <w:tcPr>
            <w:tcW w:w="1291" w:type="dxa"/>
            <w:vAlign w:val="center"/>
          </w:tcPr>
          <w:p w:rsidR="00AA7B34" w:rsidRDefault="001F2798">
            <w:pPr>
              <w:jc w:val="right"/>
            </w:pPr>
            <w:r>
              <w:rPr>
                <w:rFonts w:eastAsiaTheme="minorEastAsia"/>
                <w:color w:val="000000" w:themeColor="text1"/>
                <w:szCs w:val="21"/>
              </w:rPr>
              <w:t>0.37%</w:t>
            </w:r>
          </w:p>
        </w:tc>
        <w:tc>
          <w:tcPr>
            <w:tcW w:w="1291" w:type="dxa"/>
            <w:vAlign w:val="center"/>
          </w:tcPr>
          <w:p w:rsidR="00AA7B34" w:rsidRDefault="001F2798">
            <w:pPr>
              <w:jc w:val="right"/>
            </w:pPr>
            <w:r>
              <w:rPr>
                <w:rFonts w:eastAsiaTheme="minorEastAsia"/>
                <w:color w:val="000000" w:themeColor="text1"/>
                <w:szCs w:val="21"/>
              </w:rPr>
              <w:t>-2.06%</w:t>
            </w:r>
          </w:p>
        </w:tc>
        <w:tc>
          <w:tcPr>
            <w:tcW w:w="1291" w:type="dxa"/>
            <w:vAlign w:val="center"/>
          </w:tcPr>
          <w:p w:rsidR="00AA7B34" w:rsidRDefault="001F2798">
            <w:pPr>
              <w:jc w:val="right"/>
            </w:pPr>
            <w:r>
              <w:rPr>
                <w:rFonts w:eastAsiaTheme="minorEastAsia"/>
                <w:color w:val="000000" w:themeColor="text1"/>
                <w:szCs w:val="21"/>
              </w:rPr>
              <w:t>0.28%</w:t>
            </w:r>
          </w:p>
        </w:tc>
      </w:tr>
      <w:tr w:rsidR="00AA7B34">
        <w:tc>
          <w:tcPr>
            <w:tcW w:w="1290" w:type="dxa"/>
            <w:vAlign w:val="center"/>
          </w:tcPr>
          <w:p w:rsidR="00AA7B34" w:rsidRDefault="001F2798">
            <w:pPr>
              <w:jc w:val="left"/>
            </w:pPr>
            <w:r>
              <w:rPr>
                <w:rFonts w:eastAsiaTheme="minorEastAsia"/>
                <w:color w:val="000000" w:themeColor="text1"/>
                <w:szCs w:val="21"/>
              </w:rPr>
              <w:t>过去一年</w:t>
            </w:r>
          </w:p>
        </w:tc>
        <w:tc>
          <w:tcPr>
            <w:tcW w:w="1291" w:type="dxa"/>
            <w:vAlign w:val="center"/>
          </w:tcPr>
          <w:p w:rsidR="00AA7B34" w:rsidRDefault="001F2798">
            <w:pPr>
              <w:jc w:val="right"/>
            </w:pPr>
            <w:r>
              <w:rPr>
                <w:rFonts w:eastAsiaTheme="minorEastAsia"/>
                <w:color w:val="000000" w:themeColor="text1"/>
                <w:szCs w:val="21"/>
              </w:rPr>
              <w:t>-6.64%</w:t>
            </w:r>
          </w:p>
        </w:tc>
        <w:tc>
          <w:tcPr>
            <w:tcW w:w="1291" w:type="dxa"/>
            <w:vAlign w:val="center"/>
          </w:tcPr>
          <w:p w:rsidR="00AA7B34" w:rsidRDefault="001F2798">
            <w:pPr>
              <w:jc w:val="right"/>
            </w:pPr>
            <w:r>
              <w:rPr>
                <w:rFonts w:eastAsiaTheme="minorEastAsia"/>
                <w:color w:val="000000" w:themeColor="text1"/>
                <w:szCs w:val="21"/>
              </w:rPr>
              <w:t>0.81%</w:t>
            </w:r>
          </w:p>
        </w:tc>
        <w:tc>
          <w:tcPr>
            <w:tcW w:w="1291" w:type="dxa"/>
            <w:vAlign w:val="center"/>
          </w:tcPr>
          <w:p w:rsidR="00AA7B34" w:rsidRDefault="001F2798">
            <w:pPr>
              <w:jc w:val="right"/>
            </w:pPr>
            <w:r>
              <w:rPr>
                <w:rFonts w:eastAsiaTheme="minorEastAsia"/>
                <w:color w:val="000000" w:themeColor="text1"/>
                <w:szCs w:val="21"/>
              </w:rPr>
              <w:t>-0.90%</w:t>
            </w:r>
          </w:p>
        </w:tc>
        <w:tc>
          <w:tcPr>
            <w:tcW w:w="1291" w:type="dxa"/>
            <w:vAlign w:val="center"/>
          </w:tcPr>
          <w:p w:rsidR="00AA7B34" w:rsidRDefault="001F2798">
            <w:pPr>
              <w:jc w:val="right"/>
            </w:pPr>
            <w:r>
              <w:rPr>
                <w:rFonts w:eastAsiaTheme="minorEastAsia"/>
                <w:color w:val="000000" w:themeColor="text1"/>
                <w:szCs w:val="21"/>
              </w:rPr>
              <w:t>0.49%</w:t>
            </w:r>
          </w:p>
        </w:tc>
        <w:tc>
          <w:tcPr>
            <w:tcW w:w="1291" w:type="dxa"/>
            <w:vAlign w:val="center"/>
          </w:tcPr>
          <w:p w:rsidR="00AA7B34" w:rsidRDefault="001F2798">
            <w:pPr>
              <w:jc w:val="right"/>
            </w:pPr>
            <w:r>
              <w:rPr>
                <w:rFonts w:eastAsiaTheme="minorEastAsia"/>
                <w:color w:val="000000" w:themeColor="text1"/>
                <w:szCs w:val="21"/>
              </w:rPr>
              <w:t>-5.74%</w:t>
            </w:r>
          </w:p>
        </w:tc>
        <w:tc>
          <w:tcPr>
            <w:tcW w:w="1291" w:type="dxa"/>
            <w:vAlign w:val="center"/>
          </w:tcPr>
          <w:p w:rsidR="00AA7B34" w:rsidRDefault="001F2798">
            <w:pPr>
              <w:jc w:val="right"/>
            </w:pPr>
            <w:r>
              <w:rPr>
                <w:rFonts w:eastAsiaTheme="minorEastAsia"/>
                <w:color w:val="000000" w:themeColor="text1"/>
                <w:szCs w:val="21"/>
              </w:rPr>
              <w:t>0.32%</w:t>
            </w:r>
          </w:p>
        </w:tc>
      </w:tr>
      <w:tr w:rsidR="00AA7B34">
        <w:tc>
          <w:tcPr>
            <w:tcW w:w="1290" w:type="dxa"/>
            <w:vAlign w:val="center"/>
          </w:tcPr>
          <w:p w:rsidR="00AA7B34" w:rsidRDefault="001F2798">
            <w:pPr>
              <w:jc w:val="left"/>
            </w:pPr>
            <w:r>
              <w:rPr>
                <w:rFonts w:eastAsiaTheme="minorEastAsia"/>
                <w:color w:val="000000" w:themeColor="text1"/>
                <w:szCs w:val="21"/>
              </w:rPr>
              <w:t>过去三年</w:t>
            </w:r>
          </w:p>
        </w:tc>
        <w:tc>
          <w:tcPr>
            <w:tcW w:w="1291" w:type="dxa"/>
            <w:vAlign w:val="center"/>
          </w:tcPr>
          <w:p w:rsidR="00AA7B34" w:rsidRDefault="001F2798">
            <w:pPr>
              <w:jc w:val="right"/>
            </w:pPr>
            <w:r>
              <w:rPr>
                <w:rFonts w:eastAsiaTheme="minorEastAsia"/>
                <w:color w:val="000000" w:themeColor="text1"/>
                <w:szCs w:val="21"/>
              </w:rPr>
              <w:t>10.89%</w:t>
            </w:r>
          </w:p>
        </w:tc>
        <w:tc>
          <w:tcPr>
            <w:tcW w:w="1291" w:type="dxa"/>
            <w:vAlign w:val="center"/>
          </w:tcPr>
          <w:p w:rsidR="00AA7B34" w:rsidRDefault="001F2798">
            <w:pPr>
              <w:jc w:val="right"/>
            </w:pPr>
            <w:r>
              <w:rPr>
                <w:rFonts w:eastAsiaTheme="minorEastAsia"/>
                <w:color w:val="000000" w:themeColor="text1"/>
                <w:szCs w:val="21"/>
              </w:rPr>
              <w:t>0.95%</w:t>
            </w:r>
          </w:p>
        </w:tc>
        <w:tc>
          <w:tcPr>
            <w:tcW w:w="1291" w:type="dxa"/>
            <w:vAlign w:val="center"/>
          </w:tcPr>
          <w:p w:rsidR="00AA7B34" w:rsidRDefault="001F2798">
            <w:pPr>
              <w:jc w:val="right"/>
            </w:pPr>
            <w:r>
              <w:rPr>
                <w:rFonts w:eastAsiaTheme="minorEastAsia"/>
                <w:color w:val="000000" w:themeColor="text1"/>
                <w:szCs w:val="21"/>
              </w:rPr>
              <w:t>13.36%</w:t>
            </w:r>
          </w:p>
        </w:tc>
        <w:tc>
          <w:tcPr>
            <w:tcW w:w="1291" w:type="dxa"/>
            <w:vAlign w:val="center"/>
          </w:tcPr>
          <w:p w:rsidR="00AA7B34" w:rsidRDefault="001F2798">
            <w:pPr>
              <w:jc w:val="right"/>
            </w:pPr>
            <w:r>
              <w:rPr>
                <w:rFonts w:eastAsiaTheme="minorEastAsia"/>
                <w:color w:val="000000" w:themeColor="text1"/>
                <w:szCs w:val="21"/>
              </w:rPr>
              <w:t>0.50%</w:t>
            </w:r>
          </w:p>
        </w:tc>
        <w:tc>
          <w:tcPr>
            <w:tcW w:w="1291" w:type="dxa"/>
            <w:vAlign w:val="center"/>
          </w:tcPr>
          <w:p w:rsidR="00AA7B34" w:rsidRDefault="001F2798">
            <w:pPr>
              <w:jc w:val="right"/>
            </w:pPr>
            <w:r>
              <w:rPr>
                <w:rFonts w:eastAsiaTheme="minorEastAsia"/>
                <w:color w:val="000000" w:themeColor="text1"/>
                <w:szCs w:val="21"/>
              </w:rPr>
              <w:t>-2.47%</w:t>
            </w:r>
          </w:p>
        </w:tc>
        <w:tc>
          <w:tcPr>
            <w:tcW w:w="1291" w:type="dxa"/>
            <w:vAlign w:val="center"/>
          </w:tcPr>
          <w:p w:rsidR="00AA7B34" w:rsidRDefault="001F2798">
            <w:pPr>
              <w:jc w:val="right"/>
            </w:pPr>
            <w:r>
              <w:rPr>
                <w:rFonts w:eastAsiaTheme="minorEastAsia"/>
                <w:color w:val="000000" w:themeColor="text1"/>
                <w:szCs w:val="21"/>
              </w:rPr>
              <w:t>0.45%</w:t>
            </w:r>
          </w:p>
        </w:tc>
      </w:tr>
      <w:tr w:rsidR="00AA7B34">
        <w:tc>
          <w:tcPr>
            <w:tcW w:w="1290" w:type="dxa"/>
            <w:vAlign w:val="center"/>
          </w:tcPr>
          <w:p w:rsidR="00AA7B34" w:rsidRDefault="001F2798">
            <w:pPr>
              <w:jc w:val="left"/>
            </w:pPr>
            <w:r>
              <w:rPr>
                <w:rFonts w:eastAsiaTheme="minorEastAsia"/>
                <w:color w:val="000000" w:themeColor="text1"/>
                <w:szCs w:val="21"/>
              </w:rPr>
              <w:t>过去五年</w:t>
            </w:r>
          </w:p>
        </w:tc>
        <w:tc>
          <w:tcPr>
            <w:tcW w:w="1291" w:type="dxa"/>
            <w:vAlign w:val="center"/>
          </w:tcPr>
          <w:p w:rsidR="00AA7B34" w:rsidRDefault="001F2798">
            <w:pPr>
              <w:jc w:val="right"/>
            </w:pPr>
            <w:r>
              <w:rPr>
                <w:rFonts w:eastAsiaTheme="minorEastAsia"/>
                <w:color w:val="000000" w:themeColor="text1"/>
                <w:szCs w:val="21"/>
              </w:rPr>
              <w:t>-5.89%</w:t>
            </w:r>
          </w:p>
        </w:tc>
        <w:tc>
          <w:tcPr>
            <w:tcW w:w="1291" w:type="dxa"/>
            <w:vAlign w:val="center"/>
          </w:tcPr>
          <w:p w:rsidR="00AA7B34" w:rsidRDefault="001F2798">
            <w:pPr>
              <w:jc w:val="right"/>
            </w:pPr>
            <w:r>
              <w:rPr>
                <w:rFonts w:eastAsiaTheme="minorEastAsia"/>
                <w:color w:val="000000" w:themeColor="text1"/>
                <w:szCs w:val="21"/>
              </w:rPr>
              <w:t>0.98%</w:t>
            </w:r>
          </w:p>
        </w:tc>
        <w:tc>
          <w:tcPr>
            <w:tcW w:w="1291" w:type="dxa"/>
            <w:vAlign w:val="center"/>
          </w:tcPr>
          <w:p w:rsidR="00AA7B34" w:rsidRDefault="001F2798">
            <w:pPr>
              <w:jc w:val="right"/>
            </w:pPr>
            <w:r>
              <w:rPr>
                <w:rFonts w:eastAsiaTheme="minorEastAsia"/>
                <w:color w:val="000000" w:themeColor="text1"/>
                <w:szCs w:val="21"/>
              </w:rPr>
              <w:t>10.20%</w:t>
            </w:r>
          </w:p>
        </w:tc>
        <w:tc>
          <w:tcPr>
            <w:tcW w:w="1291" w:type="dxa"/>
            <w:vAlign w:val="center"/>
          </w:tcPr>
          <w:p w:rsidR="00AA7B34" w:rsidRDefault="001F2798">
            <w:pPr>
              <w:jc w:val="right"/>
            </w:pPr>
            <w:r>
              <w:rPr>
                <w:rFonts w:eastAsiaTheme="minorEastAsia"/>
                <w:color w:val="000000" w:themeColor="text1"/>
                <w:szCs w:val="21"/>
              </w:rPr>
              <w:t>0.52%</w:t>
            </w:r>
          </w:p>
        </w:tc>
        <w:tc>
          <w:tcPr>
            <w:tcW w:w="1291" w:type="dxa"/>
            <w:vAlign w:val="center"/>
          </w:tcPr>
          <w:p w:rsidR="00AA7B34" w:rsidRDefault="001F2798">
            <w:pPr>
              <w:jc w:val="right"/>
            </w:pPr>
            <w:r>
              <w:rPr>
                <w:rFonts w:eastAsiaTheme="minorEastAsia"/>
                <w:color w:val="000000" w:themeColor="text1"/>
                <w:szCs w:val="21"/>
              </w:rPr>
              <w:t>-16.09%</w:t>
            </w:r>
          </w:p>
        </w:tc>
        <w:tc>
          <w:tcPr>
            <w:tcW w:w="1291" w:type="dxa"/>
            <w:vAlign w:val="center"/>
          </w:tcPr>
          <w:p w:rsidR="00AA7B34" w:rsidRDefault="001F2798">
            <w:pPr>
              <w:jc w:val="right"/>
            </w:pPr>
            <w:r>
              <w:rPr>
                <w:rFonts w:eastAsiaTheme="minorEastAsia"/>
                <w:color w:val="000000" w:themeColor="text1"/>
                <w:szCs w:val="21"/>
              </w:rPr>
              <w:t>0.46%</w:t>
            </w:r>
          </w:p>
        </w:tc>
      </w:tr>
      <w:tr w:rsidR="00AA7B34">
        <w:tc>
          <w:tcPr>
            <w:tcW w:w="1290" w:type="dxa"/>
            <w:vAlign w:val="center"/>
          </w:tcPr>
          <w:p w:rsidR="00AA7B34" w:rsidRDefault="001F2798">
            <w:pPr>
              <w:jc w:val="left"/>
            </w:pPr>
            <w:r>
              <w:rPr>
                <w:rFonts w:eastAsiaTheme="minorEastAsia"/>
                <w:color w:val="000000" w:themeColor="text1"/>
                <w:szCs w:val="21"/>
              </w:rPr>
              <w:t>自基金合同生效起至今</w:t>
            </w:r>
          </w:p>
        </w:tc>
        <w:tc>
          <w:tcPr>
            <w:tcW w:w="1291" w:type="dxa"/>
            <w:vAlign w:val="center"/>
          </w:tcPr>
          <w:p w:rsidR="00AA7B34" w:rsidRDefault="001F2798">
            <w:pPr>
              <w:jc w:val="right"/>
            </w:pPr>
            <w:r>
              <w:rPr>
                <w:rFonts w:eastAsiaTheme="minorEastAsia"/>
                <w:color w:val="000000" w:themeColor="text1"/>
                <w:szCs w:val="21"/>
              </w:rPr>
              <w:t>272.03%</w:t>
            </w:r>
          </w:p>
        </w:tc>
        <w:tc>
          <w:tcPr>
            <w:tcW w:w="1291" w:type="dxa"/>
            <w:vAlign w:val="center"/>
          </w:tcPr>
          <w:p w:rsidR="00AA7B34" w:rsidRDefault="001F2798">
            <w:pPr>
              <w:jc w:val="right"/>
            </w:pPr>
            <w:r>
              <w:rPr>
                <w:rFonts w:eastAsiaTheme="minorEastAsia"/>
                <w:color w:val="000000" w:themeColor="text1"/>
                <w:szCs w:val="21"/>
              </w:rPr>
              <w:t>1.27%</w:t>
            </w:r>
          </w:p>
        </w:tc>
        <w:tc>
          <w:tcPr>
            <w:tcW w:w="1291" w:type="dxa"/>
            <w:vAlign w:val="center"/>
          </w:tcPr>
          <w:p w:rsidR="00AA7B34" w:rsidRDefault="001F2798">
            <w:pPr>
              <w:jc w:val="right"/>
            </w:pPr>
            <w:r>
              <w:rPr>
                <w:rFonts w:eastAsiaTheme="minorEastAsia"/>
                <w:color w:val="000000" w:themeColor="text1"/>
                <w:szCs w:val="21"/>
              </w:rPr>
              <w:t>198.16%</w:t>
            </w:r>
          </w:p>
        </w:tc>
        <w:tc>
          <w:tcPr>
            <w:tcW w:w="1291" w:type="dxa"/>
            <w:vAlign w:val="center"/>
          </w:tcPr>
          <w:p w:rsidR="00AA7B34" w:rsidRDefault="001F2798">
            <w:pPr>
              <w:jc w:val="right"/>
            </w:pPr>
            <w:r>
              <w:rPr>
                <w:rFonts w:eastAsiaTheme="minorEastAsia"/>
                <w:color w:val="000000" w:themeColor="text1"/>
                <w:szCs w:val="21"/>
              </w:rPr>
              <w:t>0.77%</w:t>
            </w:r>
          </w:p>
        </w:tc>
        <w:tc>
          <w:tcPr>
            <w:tcW w:w="1291" w:type="dxa"/>
            <w:vAlign w:val="center"/>
          </w:tcPr>
          <w:p w:rsidR="00AA7B34" w:rsidRDefault="001F2798">
            <w:pPr>
              <w:jc w:val="right"/>
            </w:pPr>
            <w:r>
              <w:rPr>
                <w:rFonts w:eastAsiaTheme="minorEastAsia"/>
                <w:color w:val="000000" w:themeColor="text1"/>
                <w:szCs w:val="21"/>
              </w:rPr>
              <w:t>73.87%</w:t>
            </w:r>
          </w:p>
        </w:tc>
        <w:tc>
          <w:tcPr>
            <w:tcW w:w="1291" w:type="dxa"/>
            <w:vAlign w:val="center"/>
          </w:tcPr>
          <w:p w:rsidR="00AA7B34" w:rsidRDefault="001F2798">
            <w:pPr>
              <w:jc w:val="right"/>
            </w:pPr>
            <w:r>
              <w:rPr>
                <w:rFonts w:eastAsiaTheme="minorEastAsia"/>
                <w:color w:val="000000" w:themeColor="text1"/>
                <w:szCs w:val="21"/>
              </w:rPr>
              <w:t>0.50%</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摩根双息平衡混合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AA7B34">
        <w:tc>
          <w:tcPr>
            <w:tcW w:w="1290" w:type="dxa"/>
            <w:vAlign w:val="center"/>
          </w:tcPr>
          <w:p w:rsidR="00AA7B34" w:rsidRDefault="001F2798">
            <w:pPr>
              <w:jc w:val="left"/>
            </w:pPr>
            <w:r>
              <w:rPr>
                <w:rFonts w:eastAsiaTheme="minorEastAsia"/>
                <w:color w:val="000000" w:themeColor="text1"/>
                <w:szCs w:val="21"/>
              </w:rPr>
              <w:t>过去三个月</w:t>
            </w:r>
          </w:p>
        </w:tc>
        <w:tc>
          <w:tcPr>
            <w:tcW w:w="1291" w:type="dxa"/>
            <w:vAlign w:val="center"/>
          </w:tcPr>
          <w:p w:rsidR="00AA7B34" w:rsidRDefault="001F2798">
            <w:pPr>
              <w:jc w:val="right"/>
            </w:pPr>
            <w:r>
              <w:rPr>
                <w:rFonts w:eastAsiaTheme="minorEastAsia"/>
                <w:color w:val="000000" w:themeColor="text1"/>
                <w:szCs w:val="21"/>
              </w:rPr>
              <w:t>2.30%</w:t>
            </w:r>
          </w:p>
        </w:tc>
        <w:tc>
          <w:tcPr>
            <w:tcW w:w="1291" w:type="dxa"/>
            <w:vAlign w:val="center"/>
          </w:tcPr>
          <w:p w:rsidR="00AA7B34" w:rsidRDefault="001F2798">
            <w:pPr>
              <w:jc w:val="right"/>
            </w:pPr>
            <w:r>
              <w:rPr>
                <w:rFonts w:eastAsiaTheme="minorEastAsia"/>
                <w:color w:val="000000" w:themeColor="text1"/>
                <w:szCs w:val="21"/>
              </w:rPr>
              <w:t>0.48%</w:t>
            </w:r>
          </w:p>
        </w:tc>
        <w:tc>
          <w:tcPr>
            <w:tcW w:w="1291" w:type="dxa"/>
            <w:vAlign w:val="center"/>
          </w:tcPr>
          <w:p w:rsidR="00AA7B34" w:rsidRDefault="001F2798">
            <w:pPr>
              <w:jc w:val="right"/>
            </w:pPr>
            <w:r>
              <w:rPr>
                <w:rFonts w:eastAsiaTheme="minorEastAsia"/>
                <w:color w:val="000000" w:themeColor="text1"/>
                <w:szCs w:val="21"/>
              </w:rPr>
              <w:t>2.20%</w:t>
            </w:r>
          </w:p>
        </w:tc>
        <w:tc>
          <w:tcPr>
            <w:tcW w:w="1291" w:type="dxa"/>
            <w:vAlign w:val="center"/>
          </w:tcPr>
          <w:p w:rsidR="00AA7B34" w:rsidRDefault="001F2798">
            <w:pPr>
              <w:jc w:val="right"/>
            </w:pPr>
            <w:r>
              <w:rPr>
                <w:rFonts w:eastAsiaTheme="minorEastAsia"/>
                <w:color w:val="000000" w:themeColor="text1"/>
                <w:szCs w:val="21"/>
              </w:rPr>
              <w:t>0.30%</w:t>
            </w:r>
          </w:p>
        </w:tc>
        <w:tc>
          <w:tcPr>
            <w:tcW w:w="1291" w:type="dxa"/>
            <w:vAlign w:val="center"/>
          </w:tcPr>
          <w:p w:rsidR="00AA7B34" w:rsidRDefault="001F2798">
            <w:pPr>
              <w:jc w:val="right"/>
            </w:pPr>
            <w:r>
              <w:rPr>
                <w:rFonts w:eastAsiaTheme="minorEastAsia"/>
                <w:color w:val="000000" w:themeColor="text1"/>
                <w:szCs w:val="21"/>
              </w:rPr>
              <w:t>0.10%</w:t>
            </w:r>
          </w:p>
        </w:tc>
        <w:tc>
          <w:tcPr>
            <w:tcW w:w="1291" w:type="dxa"/>
            <w:vAlign w:val="center"/>
          </w:tcPr>
          <w:p w:rsidR="00AA7B34" w:rsidRDefault="001F2798">
            <w:pPr>
              <w:jc w:val="right"/>
            </w:pPr>
            <w:r>
              <w:rPr>
                <w:rFonts w:eastAsiaTheme="minorEastAsia"/>
                <w:color w:val="000000" w:themeColor="text1"/>
                <w:szCs w:val="21"/>
              </w:rPr>
              <w:t>0.18%</w:t>
            </w:r>
          </w:p>
        </w:tc>
      </w:tr>
      <w:tr w:rsidR="00AA7B34">
        <w:tc>
          <w:tcPr>
            <w:tcW w:w="1290" w:type="dxa"/>
            <w:vAlign w:val="center"/>
          </w:tcPr>
          <w:p w:rsidR="00AA7B34" w:rsidRDefault="001F2798">
            <w:pPr>
              <w:jc w:val="left"/>
            </w:pPr>
            <w:r>
              <w:rPr>
                <w:rFonts w:eastAsiaTheme="minorEastAsia"/>
                <w:color w:val="000000" w:themeColor="text1"/>
                <w:szCs w:val="21"/>
              </w:rPr>
              <w:t>过去六个月</w:t>
            </w:r>
          </w:p>
        </w:tc>
        <w:tc>
          <w:tcPr>
            <w:tcW w:w="1291" w:type="dxa"/>
            <w:vAlign w:val="center"/>
          </w:tcPr>
          <w:p w:rsidR="00AA7B34" w:rsidRDefault="001F2798">
            <w:pPr>
              <w:jc w:val="right"/>
            </w:pPr>
            <w:r>
              <w:rPr>
                <w:rFonts w:eastAsiaTheme="minorEastAsia"/>
                <w:color w:val="000000" w:themeColor="text1"/>
                <w:szCs w:val="21"/>
              </w:rPr>
              <w:t>0.45%</w:t>
            </w:r>
          </w:p>
        </w:tc>
        <w:tc>
          <w:tcPr>
            <w:tcW w:w="1291" w:type="dxa"/>
            <w:vAlign w:val="center"/>
          </w:tcPr>
          <w:p w:rsidR="00AA7B34" w:rsidRDefault="001F2798">
            <w:pPr>
              <w:jc w:val="right"/>
            </w:pPr>
            <w:r>
              <w:rPr>
                <w:rFonts w:eastAsiaTheme="minorEastAsia"/>
                <w:color w:val="000000" w:themeColor="text1"/>
                <w:szCs w:val="21"/>
              </w:rPr>
              <w:t>0.65%</w:t>
            </w:r>
          </w:p>
        </w:tc>
        <w:tc>
          <w:tcPr>
            <w:tcW w:w="1291" w:type="dxa"/>
            <w:vAlign w:val="center"/>
          </w:tcPr>
          <w:p w:rsidR="00AA7B34" w:rsidRDefault="001F2798">
            <w:pPr>
              <w:jc w:val="right"/>
            </w:pPr>
            <w:r>
              <w:rPr>
                <w:rFonts w:eastAsiaTheme="minorEastAsia"/>
                <w:color w:val="000000" w:themeColor="text1"/>
                <w:szCs w:val="21"/>
              </w:rPr>
              <w:t>2.53%</w:t>
            </w:r>
          </w:p>
        </w:tc>
        <w:tc>
          <w:tcPr>
            <w:tcW w:w="1291" w:type="dxa"/>
            <w:vAlign w:val="center"/>
          </w:tcPr>
          <w:p w:rsidR="00AA7B34" w:rsidRDefault="001F2798">
            <w:pPr>
              <w:jc w:val="right"/>
            </w:pPr>
            <w:r>
              <w:rPr>
                <w:rFonts w:eastAsiaTheme="minorEastAsia"/>
                <w:color w:val="000000" w:themeColor="text1"/>
                <w:szCs w:val="21"/>
              </w:rPr>
              <w:t>0.37%</w:t>
            </w:r>
          </w:p>
        </w:tc>
        <w:tc>
          <w:tcPr>
            <w:tcW w:w="1291" w:type="dxa"/>
            <w:vAlign w:val="center"/>
          </w:tcPr>
          <w:p w:rsidR="00AA7B34" w:rsidRDefault="001F2798">
            <w:pPr>
              <w:jc w:val="right"/>
            </w:pPr>
            <w:r>
              <w:rPr>
                <w:rFonts w:eastAsiaTheme="minorEastAsia"/>
                <w:color w:val="000000" w:themeColor="text1"/>
                <w:szCs w:val="21"/>
              </w:rPr>
              <w:t>-2.08%</w:t>
            </w:r>
          </w:p>
        </w:tc>
        <w:tc>
          <w:tcPr>
            <w:tcW w:w="1291" w:type="dxa"/>
            <w:vAlign w:val="center"/>
          </w:tcPr>
          <w:p w:rsidR="00AA7B34" w:rsidRDefault="001F2798">
            <w:pPr>
              <w:jc w:val="right"/>
            </w:pPr>
            <w:r>
              <w:rPr>
                <w:rFonts w:eastAsiaTheme="minorEastAsia"/>
                <w:color w:val="000000" w:themeColor="text1"/>
                <w:szCs w:val="21"/>
              </w:rPr>
              <w:t>0.28%</w:t>
            </w:r>
          </w:p>
        </w:tc>
      </w:tr>
      <w:tr w:rsidR="00AA7B34">
        <w:tc>
          <w:tcPr>
            <w:tcW w:w="1290" w:type="dxa"/>
            <w:vAlign w:val="center"/>
          </w:tcPr>
          <w:p w:rsidR="00AA7B34" w:rsidRDefault="001F2798">
            <w:pPr>
              <w:jc w:val="left"/>
            </w:pPr>
            <w:r>
              <w:rPr>
                <w:rFonts w:eastAsiaTheme="minorEastAsia"/>
                <w:color w:val="000000" w:themeColor="text1"/>
                <w:szCs w:val="21"/>
              </w:rPr>
              <w:t>过去一年</w:t>
            </w:r>
          </w:p>
        </w:tc>
        <w:tc>
          <w:tcPr>
            <w:tcW w:w="1291" w:type="dxa"/>
            <w:vAlign w:val="center"/>
          </w:tcPr>
          <w:p w:rsidR="00AA7B34" w:rsidRDefault="001F2798">
            <w:pPr>
              <w:jc w:val="right"/>
            </w:pPr>
            <w:r>
              <w:rPr>
                <w:rFonts w:eastAsiaTheme="minorEastAsia"/>
                <w:color w:val="000000" w:themeColor="text1"/>
                <w:szCs w:val="21"/>
              </w:rPr>
              <w:t>-6.79%</w:t>
            </w:r>
          </w:p>
        </w:tc>
        <w:tc>
          <w:tcPr>
            <w:tcW w:w="1291" w:type="dxa"/>
            <w:vAlign w:val="center"/>
          </w:tcPr>
          <w:p w:rsidR="00AA7B34" w:rsidRDefault="001F2798">
            <w:pPr>
              <w:jc w:val="right"/>
            </w:pPr>
            <w:r>
              <w:rPr>
                <w:rFonts w:eastAsiaTheme="minorEastAsia"/>
                <w:color w:val="000000" w:themeColor="text1"/>
                <w:szCs w:val="21"/>
              </w:rPr>
              <w:t>0.81%</w:t>
            </w:r>
          </w:p>
        </w:tc>
        <w:tc>
          <w:tcPr>
            <w:tcW w:w="1291" w:type="dxa"/>
            <w:vAlign w:val="center"/>
          </w:tcPr>
          <w:p w:rsidR="00AA7B34" w:rsidRDefault="001F2798">
            <w:pPr>
              <w:jc w:val="right"/>
            </w:pPr>
            <w:r>
              <w:rPr>
                <w:rFonts w:eastAsiaTheme="minorEastAsia"/>
                <w:color w:val="000000" w:themeColor="text1"/>
                <w:szCs w:val="21"/>
              </w:rPr>
              <w:t>-0.90%</w:t>
            </w:r>
          </w:p>
        </w:tc>
        <w:tc>
          <w:tcPr>
            <w:tcW w:w="1291" w:type="dxa"/>
            <w:vAlign w:val="center"/>
          </w:tcPr>
          <w:p w:rsidR="00AA7B34" w:rsidRDefault="001F2798">
            <w:pPr>
              <w:jc w:val="right"/>
            </w:pPr>
            <w:r>
              <w:rPr>
                <w:rFonts w:eastAsiaTheme="minorEastAsia"/>
                <w:color w:val="000000" w:themeColor="text1"/>
                <w:szCs w:val="21"/>
              </w:rPr>
              <w:t>0.49%</w:t>
            </w:r>
          </w:p>
        </w:tc>
        <w:tc>
          <w:tcPr>
            <w:tcW w:w="1291" w:type="dxa"/>
            <w:vAlign w:val="center"/>
          </w:tcPr>
          <w:p w:rsidR="00AA7B34" w:rsidRDefault="001F2798">
            <w:pPr>
              <w:jc w:val="right"/>
            </w:pPr>
            <w:r>
              <w:rPr>
                <w:rFonts w:eastAsiaTheme="minorEastAsia"/>
                <w:color w:val="000000" w:themeColor="text1"/>
                <w:szCs w:val="21"/>
              </w:rPr>
              <w:t>-5.89%</w:t>
            </w:r>
          </w:p>
        </w:tc>
        <w:tc>
          <w:tcPr>
            <w:tcW w:w="1291" w:type="dxa"/>
            <w:vAlign w:val="center"/>
          </w:tcPr>
          <w:p w:rsidR="00AA7B34" w:rsidRDefault="001F2798">
            <w:pPr>
              <w:jc w:val="right"/>
            </w:pPr>
            <w:r>
              <w:rPr>
                <w:rFonts w:eastAsiaTheme="minorEastAsia"/>
                <w:color w:val="000000" w:themeColor="text1"/>
                <w:szCs w:val="21"/>
              </w:rPr>
              <w:t>0.32%</w:t>
            </w:r>
          </w:p>
        </w:tc>
      </w:tr>
      <w:tr w:rsidR="00AA7B34">
        <w:tc>
          <w:tcPr>
            <w:tcW w:w="1290" w:type="dxa"/>
            <w:vAlign w:val="center"/>
          </w:tcPr>
          <w:p w:rsidR="00AA7B34" w:rsidRDefault="001F2798">
            <w:pPr>
              <w:jc w:val="left"/>
            </w:pPr>
            <w:r>
              <w:rPr>
                <w:rFonts w:eastAsiaTheme="minorEastAsia"/>
                <w:color w:val="000000" w:themeColor="text1"/>
                <w:szCs w:val="21"/>
              </w:rPr>
              <w:t>过去三年</w:t>
            </w:r>
          </w:p>
        </w:tc>
        <w:tc>
          <w:tcPr>
            <w:tcW w:w="1291" w:type="dxa"/>
            <w:vAlign w:val="center"/>
          </w:tcPr>
          <w:p w:rsidR="00AA7B34" w:rsidRDefault="001F2798">
            <w:pPr>
              <w:jc w:val="right"/>
            </w:pPr>
            <w:r>
              <w:rPr>
                <w:rFonts w:eastAsiaTheme="minorEastAsia"/>
                <w:color w:val="000000" w:themeColor="text1"/>
                <w:szCs w:val="21"/>
              </w:rPr>
              <w:t>10.49%</w:t>
            </w:r>
          </w:p>
        </w:tc>
        <w:tc>
          <w:tcPr>
            <w:tcW w:w="1291" w:type="dxa"/>
            <w:vAlign w:val="center"/>
          </w:tcPr>
          <w:p w:rsidR="00AA7B34" w:rsidRDefault="001F2798">
            <w:pPr>
              <w:jc w:val="right"/>
            </w:pPr>
            <w:r>
              <w:rPr>
                <w:rFonts w:eastAsiaTheme="minorEastAsia"/>
                <w:color w:val="000000" w:themeColor="text1"/>
                <w:szCs w:val="21"/>
              </w:rPr>
              <w:t>0.95%</w:t>
            </w:r>
          </w:p>
        </w:tc>
        <w:tc>
          <w:tcPr>
            <w:tcW w:w="1291" w:type="dxa"/>
            <w:vAlign w:val="center"/>
          </w:tcPr>
          <w:p w:rsidR="00AA7B34" w:rsidRDefault="001F2798">
            <w:pPr>
              <w:jc w:val="right"/>
            </w:pPr>
            <w:r>
              <w:rPr>
                <w:rFonts w:eastAsiaTheme="minorEastAsia"/>
                <w:color w:val="000000" w:themeColor="text1"/>
                <w:szCs w:val="21"/>
              </w:rPr>
              <w:t>13.36%</w:t>
            </w:r>
          </w:p>
        </w:tc>
        <w:tc>
          <w:tcPr>
            <w:tcW w:w="1291" w:type="dxa"/>
            <w:vAlign w:val="center"/>
          </w:tcPr>
          <w:p w:rsidR="00AA7B34" w:rsidRDefault="001F2798">
            <w:pPr>
              <w:jc w:val="right"/>
            </w:pPr>
            <w:r>
              <w:rPr>
                <w:rFonts w:eastAsiaTheme="minorEastAsia"/>
                <w:color w:val="000000" w:themeColor="text1"/>
                <w:szCs w:val="21"/>
              </w:rPr>
              <w:t>0.50%</w:t>
            </w:r>
          </w:p>
        </w:tc>
        <w:tc>
          <w:tcPr>
            <w:tcW w:w="1291" w:type="dxa"/>
            <w:vAlign w:val="center"/>
          </w:tcPr>
          <w:p w:rsidR="00AA7B34" w:rsidRDefault="001F2798">
            <w:pPr>
              <w:jc w:val="right"/>
            </w:pPr>
            <w:r>
              <w:rPr>
                <w:rFonts w:eastAsiaTheme="minorEastAsia"/>
                <w:color w:val="000000" w:themeColor="text1"/>
                <w:szCs w:val="21"/>
              </w:rPr>
              <w:t>-2.87%</w:t>
            </w:r>
          </w:p>
        </w:tc>
        <w:tc>
          <w:tcPr>
            <w:tcW w:w="1291" w:type="dxa"/>
            <w:vAlign w:val="center"/>
          </w:tcPr>
          <w:p w:rsidR="00AA7B34" w:rsidRDefault="001F2798">
            <w:pPr>
              <w:jc w:val="right"/>
            </w:pPr>
            <w:r>
              <w:rPr>
                <w:rFonts w:eastAsiaTheme="minorEastAsia"/>
                <w:color w:val="000000" w:themeColor="text1"/>
                <w:szCs w:val="21"/>
              </w:rPr>
              <w:t>0.45%</w:t>
            </w:r>
          </w:p>
        </w:tc>
      </w:tr>
      <w:tr w:rsidR="00AA7B34">
        <w:tc>
          <w:tcPr>
            <w:tcW w:w="1290" w:type="dxa"/>
            <w:vAlign w:val="center"/>
          </w:tcPr>
          <w:p w:rsidR="00AA7B34" w:rsidRDefault="001F2798">
            <w:pPr>
              <w:jc w:val="left"/>
            </w:pPr>
            <w:r>
              <w:rPr>
                <w:rFonts w:eastAsiaTheme="minorEastAsia"/>
                <w:color w:val="000000" w:themeColor="text1"/>
                <w:szCs w:val="21"/>
              </w:rPr>
              <w:t>过去五年</w:t>
            </w:r>
          </w:p>
        </w:tc>
        <w:tc>
          <w:tcPr>
            <w:tcW w:w="1291" w:type="dxa"/>
            <w:vAlign w:val="center"/>
          </w:tcPr>
          <w:p w:rsidR="00AA7B34" w:rsidRDefault="001F2798">
            <w:pPr>
              <w:jc w:val="right"/>
            </w:pPr>
            <w:r>
              <w:rPr>
                <w:rFonts w:eastAsiaTheme="minorEastAsia"/>
                <w:color w:val="000000" w:themeColor="text1"/>
                <w:szCs w:val="21"/>
              </w:rPr>
              <w:t>-6.11%</w:t>
            </w:r>
          </w:p>
        </w:tc>
        <w:tc>
          <w:tcPr>
            <w:tcW w:w="1291" w:type="dxa"/>
            <w:vAlign w:val="center"/>
          </w:tcPr>
          <w:p w:rsidR="00AA7B34" w:rsidRDefault="001F2798">
            <w:pPr>
              <w:jc w:val="right"/>
            </w:pPr>
            <w:r>
              <w:rPr>
                <w:rFonts w:eastAsiaTheme="minorEastAsia"/>
                <w:color w:val="000000" w:themeColor="text1"/>
                <w:szCs w:val="21"/>
              </w:rPr>
              <w:t>0.98%</w:t>
            </w:r>
          </w:p>
        </w:tc>
        <w:tc>
          <w:tcPr>
            <w:tcW w:w="1291" w:type="dxa"/>
            <w:vAlign w:val="center"/>
          </w:tcPr>
          <w:p w:rsidR="00AA7B34" w:rsidRDefault="001F2798">
            <w:pPr>
              <w:jc w:val="right"/>
            </w:pPr>
            <w:r>
              <w:rPr>
                <w:rFonts w:eastAsiaTheme="minorEastAsia"/>
                <w:color w:val="000000" w:themeColor="text1"/>
                <w:szCs w:val="21"/>
              </w:rPr>
              <w:t>10.20%</w:t>
            </w:r>
          </w:p>
        </w:tc>
        <w:tc>
          <w:tcPr>
            <w:tcW w:w="1291" w:type="dxa"/>
            <w:vAlign w:val="center"/>
          </w:tcPr>
          <w:p w:rsidR="00AA7B34" w:rsidRDefault="001F2798">
            <w:pPr>
              <w:jc w:val="right"/>
            </w:pPr>
            <w:r>
              <w:rPr>
                <w:rFonts w:eastAsiaTheme="minorEastAsia"/>
                <w:color w:val="000000" w:themeColor="text1"/>
                <w:szCs w:val="21"/>
              </w:rPr>
              <w:t>0.52%</w:t>
            </w:r>
          </w:p>
        </w:tc>
        <w:tc>
          <w:tcPr>
            <w:tcW w:w="1291" w:type="dxa"/>
            <w:vAlign w:val="center"/>
          </w:tcPr>
          <w:p w:rsidR="00AA7B34" w:rsidRDefault="001F2798">
            <w:pPr>
              <w:jc w:val="right"/>
            </w:pPr>
            <w:r>
              <w:rPr>
                <w:rFonts w:eastAsiaTheme="minorEastAsia"/>
                <w:color w:val="000000" w:themeColor="text1"/>
                <w:szCs w:val="21"/>
              </w:rPr>
              <w:t>-16.31%</w:t>
            </w:r>
          </w:p>
        </w:tc>
        <w:tc>
          <w:tcPr>
            <w:tcW w:w="1291" w:type="dxa"/>
            <w:vAlign w:val="center"/>
          </w:tcPr>
          <w:p w:rsidR="00AA7B34" w:rsidRDefault="001F2798">
            <w:pPr>
              <w:jc w:val="right"/>
            </w:pPr>
            <w:r>
              <w:rPr>
                <w:rFonts w:eastAsiaTheme="minorEastAsia"/>
                <w:color w:val="000000" w:themeColor="text1"/>
                <w:szCs w:val="21"/>
              </w:rPr>
              <w:t>0.46%</w:t>
            </w:r>
          </w:p>
        </w:tc>
      </w:tr>
      <w:tr w:rsidR="00AA7B34">
        <w:tc>
          <w:tcPr>
            <w:tcW w:w="1290" w:type="dxa"/>
            <w:vAlign w:val="center"/>
          </w:tcPr>
          <w:p w:rsidR="00AA7B34" w:rsidRDefault="001F2798">
            <w:pPr>
              <w:jc w:val="left"/>
            </w:pPr>
            <w:r>
              <w:rPr>
                <w:rFonts w:eastAsiaTheme="minorEastAsia"/>
                <w:color w:val="000000" w:themeColor="text1"/>
                <w:szCs w:val="21"/>
              </w:rPr>
              <w:t>自基金合同生效起至今</w:t>
            </w:r>
          </w:p>
        </w:tc>
        <w:tc>
          <w:tcPr>
            <w:tcW w:w="1291" w:type="dxa"/>
            <w:vAlign w:val="center"/>
          </w:tcPr>
          <w:p w:rsidR="00AA7B34" w:rsidRDefault="001F2798">
            <w:pPr>
              <w:jc w:val="right"/>
            </w:pPr>
            <w:r>
              <w:rPr>
                <w:rFonts w:eastAsiaTheme="minorEastAsia"/>
                <w:color w:val="000000" w:themeColor="text1"/>
                <w:szCs w:val="21"/>
              </w:rPr>
              <w:t>7.73%</w:t>
            </w:r>
          </w:p>
        </w:tc>
        <w:tc>
          <w:tcPr>
            <w:tcW w:w="1291" w:type="dxa"/>
            <w:vAlign w:val="center"/>
          </w:tcPr>
          <w:p w:rsidR="00AA7B34" w:rsidRDefault="001F2798">
            <w:pPr>
              <w:jc w:val="right"/>
            </w:pPr>
            <w:r>
              <w:rPr>
                <w:rFonts w:eastAsiaTheme="minorEastAsia"/>
                <w:color w:val="000000" w:themeColor="text1"/>
                <w:szCs w:val="21"/>
              </w:rPr>
              <w:t>0.95%</w:t>
            </w:r>
          </w:p>
        </w:tc>
        <w:tc>
          <w:tcPr>
            <w:tcW w:w="1291" w:type="dxa"/>
            <w:vAlign w:val="center"/>
          </w:tcPr>
          <w:p w:rsidR="00AA7B34" w:rsidRDefault="001F2798">
            <w:pPr>
              <w:jc w:val="right"/>
            </w:pPr>
            <w:r>
              <w:rPr>
                <w:rFonts w:eastAsiaTheme="minorEastAsia"/>
                <w:color w:val="000000" w:themeColor="text1"/>
                <w:szCs w:val="21"/>
              </w:rPr>
              <w:t>20.67%</w:t>
            </w:r>
          </w:p>
        </w:tc>
        <w:tc>
          <w:tcPr>
            <w:tcW w:w="1291" w:type="dxa"/>
            <w:vAlign w:val="center"/>
          </w:tcPr>
          <w:p w:rsidR="00AA7B34" w:rsidRDefault="001F2798">
            <w:pPr>
              <w:jc w:val="right"/>
            </w:pPr>
            <w:r>
              <w:rPr>
                <w:rFonts w:eastAsiaTheme="minorEastAsia"/>
                <w:color w:val="000000" w:themeColor="text1"/>
                <w:szCs w:val="21"/>
              </w:rPr>
              <w:t>0.48%</w:t>
            </w:r>
          </w:p>
        </w:tc>
        <w:tc>
          <w:tcPr>
            <w:tcW w:w="1291" w:type="dxa"/>
            <w:vAlign w:val="center"/>
          </w:tcPr>
          <w:p w:rsidR="00AA7B34" w:rsidRDefault="001F2798">
            <w:pPr>
              <w:jc w:val="right"/>
            </w:pPr>
            <w:r>
              <w:rPr>
                <w:rFonts w:eastAsiaTheme="minorEastAsia"/>
                <w:color w:val="000000" w:themeColor="text1"/>
                <w:szCs w:val="21"/>
              </w:rPr>
              <w:t>-12.94%</w:t>
            </w:r>
          </w:p>
        </w:tc>
        <w:tc>
          <w:tcPr>
            <w:tcW w:w="1291" w:type="dxa"/>
            <w:vAlign w:val="center"/>
          </w:tcPr>
          <w:p w:rsidR="00AA7B34" w:rsidRDefault="001F2798">
            <w:pPr>
              <w:jc w:val="right"/>
            </w:pPr>
            <w:r>
              <w:rPr>
                <w:rFonts w:eastAsiaTheme="minorEastAsia"/>
                <w:color w:val="000000" w:themeColor="text1"/>
                <w:szCs w:val="21"/>
              </w:rPr>
              <w:t>0.47%</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Pr="0073597F">
        <w:rPr>
          <w:rFonts w:eastAsiaTheme="minorEastAsia"/>
          <w:b/>
          <w:color w:val="000000" w:themeColor="text1"/>
          <w:kern w:val="0"/>
          <w:szCs w:val="21"/>
        </w:rPr>
        <w:t>摩根双息平衡混合</w:t>
      </w:r>
      <w:r w:rsidRPr="0073597F">
        <w:rPr>
          <w:rFonts w:eastAsiaTheme="minorEastAsia"/>
          <w:b/>
          <w:color w:val="000000" w:themeColor="text1"/>
          <w:kern w:val="0"/>
          <w:szCs w:val="21"/>
        </w:rPr>
        <w:t>C</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AA7B34">
        <w:tc>
          <w:tcPr>
            <w:tcW w:w="1290" w:type="dxa"/>
            <w:vAlign w:val="center"/>
          </w:tcPr>
          <w:p w:rsidR="00AA7B34" w:rsidRDefault="001F2798">
            <w:pPr>
              <w:jc w:val="left"/>
            </w:pPr>
            <w:r>
              <w:rPr>
                <w:rFonts w:eastAsiaTheme="minorEastAsia"/>
                <w:color w:val="000000" w:themeColor="text1"/>
                <w:szCs w:val="21"/>
              </w:rPr>
              <w:t>过去三个月</w:t>
            </w:r>
          </w:p>
        </w:tc>
        <w:tc>
          <w:tcPr>
            <w:tcW w:w="1291" w:type="dxa"/>
            <w:vAlign w:val="center"/>
          </w:tcPr>
          <w:p w:rsidR="00AA7B34" w:rsidRDefault="001F2798">
            <w:pPr>
              <w:jc w:val="right"/>
            </w:pPr>
            <w:r>
              <w:rPr>
                <w:rFonts w:eastAsiaTheme="minorEastAsia"/>
                <w:color w:val="000000" w:themeColor="text1"/>
                <w:szCs w:val="21"/>
              </w:rPr>
              <w:t>2.08%</w:t>
            </w:r>
          </w:p>
        </w:tc>
        <w:tc>
          <w:tcPr>
            <w:tcW w:w="1291" w:type="dxa"/>
            <w:vAlign w:val="center"/>
          </w:tcPr>
          <w:p w:rsidR="00AA7B34" w:rsidRDefault="001F2798">
            <w:pPr>
              <w:jc w:val="right"/>
            </w:pPr>
            <w:r>
              <w:rPr>
                <w:rFonts w:eastAsiaTheme="minorEastAsia"/>
                <w:color w:val="000000" w:themeColor="text1"/>
                <w:szCs w:val="21"/>
              </w:rPr>
              <w:t>0.48%</w:t>
            </w:r>
          </w:p>
        </w:tc>
        <w:tc>
          <w:tcPr>
            <w:tcW w:w="1291" w:type="dxa"/>
            <w:vAlign w:val="center"/>
          </w:tcPr>
          <w:p w:rsidR="00AA7B34" w:rsidRDefault="001F2798">
            <w:pPr>
              <w:jc w:val="right"/>
            </w:pPr>
            <w:r>
              <w:rPr>
                <w:rFonts w:eastAsiaTheme="minorEastAsia"/>
                <w:color w:val="000000" w:themeColor="text1"/>
                <w:szCs w:val="21"/>
              </w:rPr>
              <w:t>2.20%</w:t>
            </w:r>
          </w:p>
        </w:tc>
        <w:tc>
          <w:tcPr>
            <w:tcW w:w="1291" w:type="dxa"/>
            <w:vAlign w:val="center"/>
          </w:tcPr>
          <w:p w:rsidR="00AA7B34" w:rsidRDefault="001F2798">
            <w:pPr>
              <w:jc w:val="right"/>
            </w:pPr>
            <w:r>
              <w:rPr>
                <w:rFonts w:eastAsiaTheme="minorEastAsia"/>
                <w:color w:val="000000" w:themeColor="text1"/>
                <w:szCs w:val="21"/>
              </w:rPr>
              <w:t>0.30%</w:t>
            </w:r>
          </w:p>
        </w:tc>
        <w:tc>
          <w:tcPr>
            <w:tcW w:w="1291" w:type="dxa"/>
            <w:vAlign w:val="center"/>
          </w:tcPr>
          <w:p w:rsidR="00AA7B34" w:rsidRDefault="001F2798">
            <w:pPr>
              <w:jc w:val="right"/>
            </w:pPr>
            <w:r>
              <w:rPr>
                <w:rFonts w:eastAsiaTheme="minorEastAsia"/>
                <w:color w:val="000000" w:themeColor="text1"/>
                <w:szCs w:val="21"/>
              </w:rPr>
              <w:t>-0.12%</w:t>
            </w:r>
          </w:p>
        </w:tc>
        <w:tc>
          <w:tcPr>
            <w:tcW w:w="1291" w:type="dxa"/>
            <w:vAlign w:val="center"/>
          </w:tcPr>
          <w:p w:rsidR="00AA7B34" w:rsidRDefault="001F2798">
            <w:pPr>
              <w:jc w:val="right"/>
            </w:pPr>
            <w:r>
              <w:rPr>
                <w:rFonts w:eastAsiaTheme="minorEastAsia"/>
                <w:color w:val="000000" w:themeColor="text1"/>
                <w:szCs w:val="21"/>
              </w:rPr>
              <w:t>0.18%</w:t>
            </w:r>
          </w:p>
        </w:tc>
      </w:tr>
      <w:tr w:rsidR="00AA7B34">
        <w:tc>
          <w:tcPr>
            <w:tcW w:w="1290" w:type="dxa"/>
            <w:vAlign w:val="center"/>
          </w:tcPr>
          <w:p w:rsidR="00AA7B34" w:rsidRDefault="001F2798">
            <w:pPr>
              <w:jc w:val="left"/>
            </w:pPr>
            <w:r>
              <w:rPr>
                <w:rFonts w:eastAsiaTheme="minorEastAsia"/>
                <w:color w:val="000000" w:themeColor="text1"/>
                <w:szCs w:val="21"/>
              </w:rPr>
              <w:t>过去六个月</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r>
      <w:tr w:rsidR="00AA7B34">
        <w:tc>
          <w:tcPr>
            <w:tcW w:w="1290" w:type="dxa"/>
            <w:vAlign w:val="center"/>
          </w:tcPr>
          <w:p w:rsidR="00AA7B34" w:rsidRDefault="001F2798">
            <w:pPr>
              <w:jc w:val="left"/>
            </w:pPr>
            <w:r>
              <w:rPr>
                <w:rFonts w:eastAsiaTheme="minorEastAsia"/>
                <w:color w:val="000000" w:themeColor="text1"/>
                <w:szCs w:val="21"/>
              </w:rPr>
              <w:t>过去一年</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r>
      <w:tr w:rsidR="00AA7B34">
        <w:tc>
          <w:tcPr>
            <w:tcW w:w="1290" w:type="dxa"/>
            <w:vAlign w:val="center"/>
          </w:tcPr>
          <w:p w:rsidR="00AA7B34" w:rsidRDefault="001F2798">
            <w:pPr>
              <w:jc w:val="left"/>
            </w:pPr>
            <w:r>
              <w:rPr>
                <w:rFonts w:eastAsiaTheme="minorEastAsia"/>
                <w:color w:val="000000" w:themeColor="text1"/>
                <w:szCs w:val="21"/>
              </w:rPr>
              <w:t>过去三年</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r>
      <w:tr w:rsidR="00AA7B34">
        <w:tc>
          <w:tcPr>
            <w:tcW w:w="1290" w:type="dxa"/>
            <w:vAlign w:val="center"/>
          </w:tcPr>
          <w:p w:rsidR="00AA7B34" w:rsidRDefault="001F2798">
            <w:pPr>
              <w:jc w:val="left"/>
            </w:pPr>
            <w:r>
              <w:rPr>
                <w:rFonts w:eastAsiaTheme="minorEastAsia"/>
                <w:color w:val="000000" w:themeColor="text1"/>
                <w:szCs w:val="21"/>
              </w:rPr>
              <w:t>过去五年</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c>
          <w:tcPr>
            <w:tcW w:w="1291" w:type="dxa"/>
            <w:vAlign w:val="center"/>
          </w:tcPr>
          <w:p w:rsidR="00AA7B34" w:rsidRDefault="001F2798">
            <w:pPr>
              <w:jc w:val="right"/>
            </w:pPr>
            <w:r>
              <w:rPr>
                <w:rFonts w:eastAsiaTheme="minorEastAsia"/>
                <w:color w:val="000000" w:themeColor="text1"/>
                <w:szCs w:val="21"/>
              </w:rPr>
              <w:t>-</w:t>
            </w:r>
          </w:p>
        </w:tc>
      </w:tr>
      <w:tr w:rsidR="00AA7B34">
        <w:tc>
          <w:tcPr>
            <w:tcW w:w="1290" w:type="dxa"/>
            <w:vAlign w:val="center"/>
          </w:tcPr>
          <w:p w:rsidR="00AA7B34" w:rsidRDefault="001F2798">
            <w:pPr>
              <w:jc w:val="left"/>
            </w:pPr>
            <w:r>
              <w:rPr>
                <w:rFonts w:eastAsiaTheme="minorEastAsia"/>
                <w:color w:val="000000" w:themeColor="text1"/>
                <w:szCs w:val="21"/>
              </w:rPr>
              <w:lastRenderedPageBreak/>
              <w:t>自基金合同生效起至今</w:t>
            </w:r>
          </w:p>
        </w:tc>
        <w:tc>
          <w:tcPr>
            <w:tcW w:w="1291" w:type="dxa"/>
            <w:vAlign w:val="center"/>
          </w:tcPr>
          <w:p w:rsidR="00AA7B34" w:rsidRDefault="001F2798">
            <w:pPr>
              <w:jc w:val="right"/>
            </w:pPr>
            <w:r>
              <w:rPr>
                <w:rFonts w:eastAsiaTheme="minorEastAsia"/>
                <w:color w:val="000000" w:themeColor="text1"/>
                <w:szCs w:val="21"/>
              </w:rPr>
              <w:t>2.66%</w:t>
            </w:r>
          </w:p>
        </w:tc>
        <w:tc>
          <w:tcPr>
            <w:tcW w:w="1291" w:type="dxa"/>
            <w:vAlign w:val="center"/>
          </w:tcPr>
          <w:p w:rsidR="00AA7B34" w:rsidRDefault="001F2798">
            <w:pPr>
              <w:jc w:val="right"/>
            </w:pPr>
            <w:r>
              <w:rPr>
                <w:rFonts w:eastAsiaTheme="minorEastAsia"/>
                <w:color w:val="000000" w:themeColor="text1"/>
                <w:szCs w:val="21"/>
              </w:rPr>
              <w:t>0.55%</w:t>
            </w:r>
          </w:p>
        </w:tc>
        <w:tc>
          <w:tcPr>
            <w:tcW w:w="1291" w:type="dxa"/>
            <w:vAlign w:val="center"/>
          </w:tcPr>
          <w:p w:rsidR="00AA7B34" w:rsidRDefault="001F2798">
            <w:pPr>
              <w:jc w:val="right"/>
            </w:pPr>
            <w:r>
              <w:rPr>
                <w:rFonts w:eastAsiaTheme="minorEastAsia"/>
                <w:color w:val="000000" w:themeColor="text1"/>
                <w:szCs w:val="21"/>
              </w:rPr>
              <w:t>3.15%</w:t>
            </w:r>
          </w:p>
        </w:tc>
        <w:tc>
          <w:tcPr>
            <w:tcW w:w="1291" w:type="dxa"/>
            <w:vAlign w:val="center"/>
          </w:tcPr>
          <w:p w:rsidR="00AA7B34" w:rsidRDefault="001F2798">
            <w:pPr>
              <w:jc w:val="right"/>
            </w:pPr>
            <w:r>
              <w:rPr>
                <w:rFonts w:eastAsiaTheme="minorEastAsia"/>
                <w:color w:val="000000" w:themeColor="text1"/>
                <w:szCs w:val="21"/>
              </w:rPr>
              <w:t>0.34%</w:t>
            </w:r>
          </w:p>
        </w:tc>
        <w:tc>
          <w:tcPr>
            <w:tcW w:w="1291" w:type="dxa"/>
            <w:vAlign w:val="center"/>
          </w:tcPr>
          <w:p w:rsidR="00AA7B34" w:rsidRDefault="001F2798">
            <w:pPr>
              <w:jc w:val="right"/>
            </w:pPr>
            <w:r>
              <w:rPr>
                <w:rFonts w:eastAsiaTheme="minorEastAsia"/>
                <w:color w:val="000000" w:themeColor="text1"/>
                <w:szCs w:val="21"/>
              </w:rPr>
              <w:t>-0.49%</w:t>
            </w:r>
          </w:p>
        </w:tc>
        <w:tc>
          <w:tcPr>
            <w:tcW w:w="1291" w:type="dxa"/>
            <w:vAlign w:val="center"/>
          </w:tcPr>
          <w:p w:rsidR="00AA7B34" w:rsidRDefault="001F2798">
            <w:pPr>
              <w:jc w:val="right"/>
            </w:pPr>
            <w:r>
              <w:rPr>
                <w:rFonts w:eastAsiaTheme="minorEastAsia"/>
                <w:color w:val="000000" w:themeColor="text1"/>
                <w:szCs w:val="21"/>
              </w:rPr>
              <w:t>0.21%</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摩根双息平衡混合型证券投资基金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(2006</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4</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26</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2023</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3</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．摩根双息平衡混合</w:t>
      </w:r>
      <w:r w:rsidRPr="0073597F">
        <w:rPr>
          <w:rFonts w:eastAsiaTheme="minorEastAsia"/>
          <w:color w:val="000000" w:themeColor="text1"/>
          <w:szCs w:val="21"/>
        </w:rPr>
        <w:t>A</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2013</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7</w:t>
      </w:r>
      <w:r w:rsidRPr="0073597F">
        <w:rPr>
          <w:rFonts w:eastAsiaTheme="minorEastAsia"/>
          <w:color w:val="000000" w:themeColor="text1"/>
          <w:szCs w:val="21"/>
        </w:rPr>
        <w:t>日起，将基金业绩比较基准由</w:t>
      </w:r>
      <w:r w:rsidRPr="0073597F">
        <w:rPr>
          <w:rFonts w:eastAsiaTheme="minorEastAsia"/>
          <w:color w:val="000000" w:themeColor="text1"/>
          <w:szCs w:val="21"/>
        </w:rPr>
        <w:t>“</w:t>
      </w:r>
      <w:r w:rsidRPr="0073597F">
        <w:rPr>
          <w:rFonts w:eastAsiaTheme="minorEastAsia"/>
          <w:color w:val="000000" w:themeColor="text1"/>
          <w:szCs w:val="21"/>
        </w:rPr>
        <w:t>富时中国</w:t>
      </w:r>
      <w:r w:rsidRPr="0073597F">
        <w:rPr>
          <w:rFonts w:eastAsiaTheme="minorEastAsia"/>
          <w:color w:val="000000" w:themeColor="text1"/>
          <w:szCs w:val="21"/>
        </w:rPr>
        <w:t>150</w:t>
      </w:r>
      <w:r w:rsidRPr="0073597F">
        <w:rPr>
          <w:rFonts w:eastAsiaTheme="minorEastAsia"/>
          <w:color w:val="000000" w:themeColor="text1"/>
          <w:szCs w:val="21"/>
        </w:rPr>
        <w:t>红利指数收益率</w:t>
      </w:r>
      <w:r w:rsidRPr="0073597F">
        <w:rPr>
          <w:rFonts w:eastAsiaTheme="minorEastAsia"/>
          <w:color w:val="000000" w:themeColor="text1"/>
          <w:szCs w:val="21"/>
        </w:rPr>
        <w:t>×45%+</w:t>
      </w:r>
      <w:r w:rsidRPr="0073597F">
        <w:rPr>
          <w:rFonts w:eastAsiaTheme="minorEastAsia"/>
          <w:color w:val="000000" w:themeColor="text1"/>
          <w:szCs w:val="21"/>
        </w:rPr>
        <w:t>富时中国国债指数收益率</w:t>
      </w:r>
      <w:r w:rsidRPr="0073597F">
        <w:rPr>
          <w:rFonts w:eastAsiaTheme="minorEastAsia"/>
          <w:color w:val="000000" w:themeColor="text1"/>
          <w:szCs w:val="21"/>
        </w:rPr>
        <w:t>×45%+</w:t>
      </w:r>
      <w:r w:rsidRPr="0073597F">
        <w:rPr>
          <w:rFonts w:eastAsiaTheme="minorEastAsia"/>
          <w:color w:val="000000" w:themeColor="text1"/>
          <w:szCs w:val="21"/>
        </w:rPr>
        <w:t>同业存款利率</w:t>
      </w:r>
      <w:r w:rsidRPr="0073597F">
        <w:rPr>
          <w:rFonts w:eastAsiaTheme="minorEastAsia"/>
          <w:color w:val="000000" w:themeColor="text1"/>
          <w:szCs w:val="21"/>
        </w:rPr>
        <w:t>×10%”</w:t>
      </w:r>
      <w:r w:rsidRPr="0073597F">
        <w:rPr>
          <w:rFonts w:eastAsiaTheme="minorEastAsia"/>
          <w:color w:val="000000" w:themeColor="text1"/>
          <w:szCs w:val="21"/>
        </w:rPr>
        <w:t>变更为</w:t>
      </w:r>
      <w:r w:rsidRPr="0073597F">
        <w:rPr>
          <w:rFonts w:eastAsiaTheme="minorEastAsia"/>
          <w:color w:val="000000" w:themeColor="text1"/>
          <w:szCs w:val="21"/>
        </w:rPr>
        <w:t>“</w:t>
      </w:r>
      <w:r w:rsidRPr="0073597F">
        <w:rPr>
          <w:rFonts w:eastAsiaTheme="minorEastAsia"/>
          <w:color w:val="000000" w:themeColor="text1"/>
          <w:szCs w:val="21"/>
        </w:rPr>
        <w:t>中证红利指数收益率</w:t>
      </w:r>
      <w:r w:rsidRPr="0073597F">
        <w:rPr>
          <w:rFonts w:eastAsiaTheme="minorEastAsia"/>
          <w:color w:val="000000" w:themeColor="text1"/>
          <w:szCs w:val="21"/>
        </w:rPr>
        <w:t>×45%+</w:t>
      </w:r>
      <w:r w:rsidRPr="0073597F">
        <w:rPr>
          <w:rFonts w:eastAsiaTheme="minorEastAsia"/>
          <w:color w:val="000000" w:themeColor="text1"/>
          <w:szCs w:val="21"/>
        </w:rPr>
        <w:t>中债总指数收益率</w:t>
      </w:r>
      <w:r w:rsidRPr="0073597F">
        <w:rPr>
          <w:rFonts w:eastAsiaTheme="minorEastAsia"/>
          <w:color w:val="000000" w:themeColor="text1"/>
          <w:szCs w:val="21"/>
        </w:rPr>
        <w:t>×55%”</w:t>
      </w:r>
      <w:r w:rsidRPr="0073597F">
        <w:rPr>
          <w:rFonts w:eastAsiaTheme="minorEastAsia"/>
          <w:color w:val="000000" w:themeColor="text1"/>
          <w:szCs w:val="21"/>
        </w:rPr>
        <w:t>。</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．摩根双息平衡混合</w:t>
      </w:r>
      <w:r w:rsidRPr="0073597F">
        <w:rPr>
          <w:rFonts w:eastAsiaTheme="minorEastAsia"/>
          <w:color w:val="000000" w:themeColor="text1"/>
          <w:szCs w:val="21"/>
        </w:rPr>
        <w:t>H</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日，图示的时间段为本类份额生效日至本报告期末。</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2013</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7</w:t>
      </w:r>
      <w:r w:rsidRPr="0073597F">
        <w:rPr>
          <w:rFonts w:eastAsiaTheme="minorEastAsia"/>
          <w:color w:val="000000" w:themeColor="text1"/>
          <w:szCs w:val="21"/>
        </w:rPr>
        <w:t>日起，将基金业绩比较基准由</w:t>
      </w:r>
      <w:r w:rsidRPr="0073597F">
        <w:rPr>
          <w:rFonts w:eastAsiaTheme="minorEastAsia"/>
          <w:color w:val="000000" w:themeColor="text1"/>
          <w:szCs w:val="21"/>
        </w:rPr>
        <w:t>“</w:t>
      </w:r>
      <w:r w:rsidRPr="0073597F">
        <w:rPr>
          <w:rFonts w:eastAsiaTheme="minorEastAsia"/>
          <w:color w:val="000000" w:themeColor="text1"/>
          <w:szCs w:val="21"/>
        </w:rPr>
        <w:t>富时中国</w:t>
      </w:r>
      <w:r w:rsidRPr="0073597F">
        <w:rPr>
          <w:rFonts w:eastAsiaTheme="minorEastAsia"/>
          <w:color w:val="000000" w:themeColor="text1"/>
          <w:szCs w:val="21"/>
        </w:rPr>
        <w:t>150</w:t>
      </w:r>
      <w:r w:rsidRPr="0073597F">
        <w:rPr>
          <w:rFonts w:eastAsiaTheme="minorEastAsia"/>
          <w:color w:val="000000" w:themeColor="text1"/>
          <w:szCs w:val="21"/>
        </w:rPr>
        <w:t>红利指数收益率</w:t>
      </w:r>
      <w:r w:rsidRPr="0073597F">
        <w:rPr>
          <w:rFonts w:eastAsiaTheme="minorEastAsia"/>
          <w:color w:val="000000" w:themeColor="text1"/>
          <w:szCs w:val="21"/>
        </w:rPr>
        <w:t>×45%+</w:t>
      </w:r>
      <w:r w:rsidRPr="0073597F">
        <w:rPr>
          <w:rFonts w:eastAsiaTheme="minorEastAsia"/>
          <w:color w:val="000000" w:themeColor="text1"/>
          <w:szCs w:val="21"/>
        </w:rPr>
        <w:t>富时中国国债指数收益率</w:t>
      </w:r>
      <w:r w:rsidRPr="0073597F">
        <w:rPr>
          <w:rFonts w:eastAsiaTheme="minorEastAsia"/>
          <w:color w:val="000000" w:themeColor="text1"/>
          <w:szCs w:val="21"/>
        </w:rPr>
        <w:t>×45%+</w:t>
      </w:r>
      <w:r w:rsidRPr="0073597F">
        <w:rPr>
          <w:rFonts w:eastAsiaTheme="minorEastAsia"/>
          <w:color w:val="000000" w:themeColor="text1"/>
          <w:szCs w:val="21"/>
        </w:rPr>
        <w:t>同业存款利率</w:t>
      </w:r>
      <w:r w:rsidRPr="0073597F">
        <w:rPr>
          <w:rFonts w:eastAsiaTheme="minorEastAsia"/>
          <w:color w:val="000000" w:themeColor="text1"/>
          <w:szCs w:val="21"/>
        </w:rPr>
        <w:t>×10%”</w:t>
      </w:r>
      <w:r w:rsidRPr="0073597F">
        <w:rPr>
          <w:rFonts w:eastAsiaTheme="minorEastAsia"/>
          <w:color w:val="000000" w:themeColor="text1"/>
          <w:szCs w:val="21"/>
        </w:rPr>
        <w:t>变更为</w:t>
      </w:r>
      <w:r w:rsidRPr="0073597F">
        <w:rPr>
          <w:rFonts w:eastAsiaTheme="minorEastAsia"/>
          <w:color w:val="000000" w:themeColor="text1"/>
          <w:szCs w:val="21"/>
        </w:rPr>
        <w:t>“</w:t>
      </w:r>
      <w:r w:rsidRPr="0073597F">
        <w:rPr>
          <w:rFonts w:eastAsiaTheme="minorEastAsia"/>
          <w:color w:val="000000" w:themeColor="text1"/>
          <w:szCs w:val="21"/>
        </w:rPr>
        <w:t>中证红利指数收益率</w:t>
      </w:r>
      <w:r w:rsidRPr="0073597F">
        <w:rPr>
          <w:rFonts w:eastAsiaTheme="minorEastAsia"/>
          <w:color w:val="000000" w:themeColor="text1"/>
          <w:szCs w:val="21"/>
        </w:rPr>
        <w:t>×45%+</w:t>
      </w:r>
      <w:r w:rsidRPr="0073597F">
        <w:rPr>
          <w:rFonts w:eastAsiaTheme="minorEastAsia"/>
          <w:color w:val="000000" w:themeColor="text1"/>
          <w:szCs w:val="21"/>
        </w:rPr>
        <w:t>中债总指数收益率</w:t>
      </w:r>
      <w:r w:rsidRPr="0073597F">
        <w:rPr>
          <w:rFonts w:eastAsiaTheme="minorEastAsia"/>
          <w:color w:val="000000" w:themeColor="text1"/>
          <w:szCs w:val="21"/>
        </w:rPr>
        <w:t>×55%”</w:t>
      </w:r>
      <w:r w:rsidRPr="0073597F">
        <w:rPr>
          <w:rFonts w:eastAsiaTheme="minorEastAsia"/>
          <w:color w:val="000000" w:themeColor="text1"/>
          <w:szCs w:val="21"/>
        </w:rPr>
        <w:t>。</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．摩根双息平衡混合</w:t>
      </w:r>
      <w:r w:rsidRPr="0073597F">
        <w:rPr>
          <w:rFonts w:eastAsiaTheme="minorEastAsia"/>
          <w:color w:val="000000" w:themeColor="text1"/>
          <w:szCs w:val="21"/>
        </w:rPr>
        <w:t>C</w:t>
      </w:r>
      <w:r w:rsidRPr="0073597F">
        <w:rPr>
          <w:rFonts w:eastAsiaTheme="minorEastAsia"/>
          <w:color w:val="000000" w:themeColor="text1"/>
          <w:szCs w:val="21"/>
        </w:rPr>
        <w:t>：</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15161C" w:rsidRPr="0073597F" w:rsidRDefault="0015161C" w:rsidP="0015161C">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2013</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7</w:t>
      </w:r>
      <w:r w:rsidRPr="0073597F">
        <w:rPr>
          <w:rFonts w:eastAsiaTheme="minorEastAsia"/>
          <w:color w:val="000000" w:themeColor="text1"/>
          <w:szCs w:val="21"/>
        </w:rPr>
        <w:t>日起，将基金业绩比较基准由</w:t>
      </w:r>
      <w:r w:rsidRPr="0073597F">
        <w:rPr>
          <w:rFonts w:eastAsiaTheme="minorEastAsia"/>
          <w:color w:val="000000" w:themeColor="text1"/>
          <w:szCs w:val="21"/>
        </w:rPr>
        <w:t>“</w:t>
      </w:r>
      <w:r w:rsidRPr="0073597F">
        <w:rPr>
          <w:rFonts w:eastAsiaTheme="minorEastAsia"/>
          <w:color w:val="000000" w:themeColor="text1"/>
          <w:szCs w:val="21"/>
        </w:rPr>
        <w:t>富时中国</w:t>
      </w:r>
      <w:r w:rsidRPr="0073597F">
        <w:rPr>
          <w:rFonts w:eastAsiaTheme="minorEastAsia"/>
          <w:color w:val="000000" w:themeColor="text1"/>
          <w:szCs w:val="21"/>
        </w:rPr>
        <w:t>150</w:t>
      </w:r>
      <w:r w:rsidRPr="0073597F">
        <w:rPr>
          <w:rFonts w:eastAsiaTheme="minorEastAsia"/>
          <w:color w:val="000000" w:themeColor="text1"/>
          <w:szCs w:val="21"/>
        </w:rPr>
        <w:t>红利指数收益率</w:t>
      </w:r>
      <w:r w:rsidRPr="0073597F">
        <w:rPr>
          <w:rFonts w:eastAsiaTheme="minorEastAsia"/>
          <w:color w:val="000000" w:themeColor="text1"/>
          <w:szCs w:val="21"/>
        </w:rPr>
        <w:t>×45%+</w:t>
      </w:r>
      <w:r w:rsidRPr="0073597F">
        <w:rPr>
          <w:rFonts w:eastAsiaTheme="minorEastAsia"/>
          <w:color w:val="000000" w:themeColor="text1"/>
          <w:szCs w:val="21"/>
        </w:rPr>
        <w:t>富时中国国债指数收益率</w:t>
      </w:r>
      <w:r w:rsidRPr="0073597F">
        <w:rPr>
          <w:rFonts w:eastAsiaTheme="minorEastAsia"/>
          <w:color w:val="000000" w:themeColor="text1"/>
          <w:szCs w:val="21"/>
        </w:rPr>
        <w:t>×45%+</w:t>
      </w:r>
      <w:r w:rsidRPr="0073597F">
        <w:rPr>
          <w:rFonts w:eastAsiaTheme="minorEastAsia"/>
          <w:color w:val="000000" w:themeColor="text1"/>
          <w:szCs w:val="21"/>
        </w:rPr>
        <w:t>同业存款利率</w:t>
      </w:r>
      <w:r w:rsidRPr="0073597F">
        <w:rPr>
          <w:rFonts w:eastAsiaTheme="minorEastAsia"/>
          <w:color w:val="000000" w:themeColor="text1"/>
          <w:szCs w:val="21"/>
        </w:rPr>
        <w:t>×10%”</w:t>
      </w:r>
      <w:r w:rsidRPr="0073597F">
        <w:rPr>
          <w:rFonts w:eastAsiaTheme="minorEastAsia"/>
          <w:color w:val="000000" w:themeColor="text1"/>
          <w:szCs w:val="21"/>
        </w:rPr>
        <w:t>变更为</w:t>
      </w:r>
      <w:r w:rsidRPr="0073597F">
        <w:rPr>
          <w:rFonts w:eastAsiaTheme="minorEastAsia"/>
          <w:color w:val="000000" w:themeColor="text1"/>
          <w:szCs w:val="21"/>
        </w:rPr>
        <w:t>“</w:t>
      </w:r>
      <w:r w:rsidRPr="0073597F">
        <w:rPr>
          <w:rFonts w:eastAsiaTheme="minorEastAsia"/>
          <w:color w:val="000000" w:themeColor="text1"/>
          <w:szCs w:val="21"/>
        </w:rPr>
        <w:t>中证红利指数收益率</w:t>
      </w:r>
      <w:r w:rsidRPr="0073597F">
        <w:rPr>
          <w:rFonts w:eastAsiaTheme="minorEastAsia"/>
          <w:color w:val="000000" w:themeColor="text1"/>
          <w:szCs w:val="21"/>
        </w:rPr>
        <w:t>×45%+</w:t>
      </w:r>
      <w:r w:rsidRPr="0073597F">
        <w:rPr>
          <w:rFonts w:eastAsiaTheme="minorEastAsia"/>
          <w:color w:val="000000" w:themeColor="text1"/>
          <w:szCs w:val="21"/>
        </w:rPr>
        <w:t>中债总指数收益率</w:t>
      </w:r>
      <w:r w:rsidRPr="0073597F">
        <w:rPr>
          <w:rFonts w:eastAsiaTheme="minorEastAsia"/>
          <w:color w:val="000000" w:themeColor="text1"/>
          <w:szCs w:val="21"/>
        </w:rPr>
        <w:t>×55%”</w:t>
      </w:r>
      <w:r w:rsidRPr="0073597F">
        <w:rPr>
          <w:rFonts w:eastAsiaTheme="minorEastAsia"/>
          <w:color w:val="000000" w:themeColor="text1"/>
          <w:szCs w:val="21"/>
        </w:rPr>
        <w:t>。</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A7B34">
        <w:tc>
          <w:tcPr>
            <w:tcW w:w="952" w:type="dxa"/>
            <w:vAlign w:val="center"/>
          </w:tcPr>
          <w:p w:rsidR="00AA7B34" w:rsidRDefault="001F2798">
            <w:pPr>
              <w:jc w:val="center"/>
            </w:pPr>
            <w:r>
              <w:rPr>
                <w:rFonts w:eastAsiaTheme="minorEastAsia"/>
                <w:color w:val="000000" w:themeColor="text1"/>
                <w:szCs w:val="21"/>
              </w:rPr>
              <w:t>李博</w:t>
            </w:r>
          </w:p>
        </w:tc>
        <w:tc>
          <w:tcPr>
            <w:tcW w:w="930" w:type="dxa"/>
            <w:vAlign w:val="center"/>
          </w:tcPr>
          <w:p w:rsidR="00AA7B34" w:rsidRDefault="001F2798">
            <w:pPr>
              <w:jc w:val="center"/>
            </w:pPr>
            <w:r>
              <w:rPr>
                <w:rFonts w:eastAsiaTheme="minorEastAsia"/>
                <w:color w:val="000000" w:themeColor="text1"/>
                <w:szCs w:val="21"/>
              </w:rPr>
              <w:t>本基金基金经理</w:t>
            </w:r>
          </w:p>
        </w:tc>
        <w:tc>
          <w:tcPr>
            <w:tcW w:w="1210" w:type="dxa"/>
            <w:vAlign w:val="center"/>
          </w:tcPr>
          <w:p w:rsidR="00AA7B34" w:rsidRDefault="001F2798">
            <w:pPr>
              <w:jc w:val="center"/>
            </w:pPr>
            <w:r>
              <w:rPr>
                <w:rFonts w:eastAsiaTheme="minorEastAsia"/>
                <w:color w:val="000000" w:themeColor="text1"/>
                <w:szCs w:val="21"/>
              </w:rPr>
              <w:t>2016-10-28</w:t>
            </w:r>
          </w:p>
        </w:tc>
        <w:tc>
          <w:tcPr>
            <w:tcW w:w="1309" w:type="dxa"/>
            <w:vAlign w:val="center"/>
          </w:tcPr>
          <w:p w:rsidR="00AA7B34" w:rsidRDefault="001F2798">
            <w:pPr>
              <w:jc w:val="center"/>
            </w:pPr>
            <w:r>
              <w:rPr>
                <w:rFonts w:eastAsiaTheme="minorEastAsia"/>
                <w:color w:val="000000" w:themeColor="text1"/>
                <w:szCs w:val="21"/>
              </w:rPr>
              <w:t>-</w:t>
            </w:r>
          </w:p>
        </w:tc>
        <w:tc>
          <w:tcPr>
            <w:tcW w:w="1254" w:type="dxa"/>
            <w:vAlign w:val="center"/>
          </w:tcPr>
          <w:p w:rsidR="00AA7B34" w:rsidRDefault="001F2798">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AA7B34" w:rsidRDefault="001F2798">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AA7B34" w:rsidRDefault="001F27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lastRenderedPageBreak/>
        <w:t>2</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一季度，市场主要指数微涨，沪深</w:t>
      </w:r>
      <w:r>
        <w:rPr>
          <w:rFonts w:eastAsiaTheme="minorEastAsia"/>
          <w:color w:val="000000" w:themeColor="text1"/>
          <w:szCs w:val="21"/>
        </w:rPr>
        <w:t>300</w:t>
      </w:r>
      <w:r>
        <w:rPr>
          <w:rFonts w:eastAsiaTheme="minorEastAsia"/>
          <w:color w:val="000000" w:themeColor="text1"/>
          <w:szCs w:val="21"/>
        </w:rPr>
        <w:t>上涨</w:t>
      </w:r>
      <w:r>
        <w:rPr>
          <w:rFonts w:eastAsiaTheme="minorEastAsia"/>
          <w:color w:val="000000" w:themeColor="text1"/>
          <w:szCs w:val="21"/>
        </w:rPr>
        <w:t>4.63%</w:t>
      </w:r>
      <w:r>
        <w:rPr>
          <w:rFonts w:eastAsiaTheme="minorEastAsia"/>
          <w:color w:val="000000" w:themeColor="text1"/>
          <w:szCs w:val="21"/>
        </w:rPr>
        <w:t>，创业板上涨</w:t>
      </w:r>
      <w:r>
        <w:rPr>
          <w:rFonts w:eastAsiaTheme="minorEastAsia"/>
          <w:color w:val="000000" w:themeColor="text1"/>
          <w:szCs w:val="21"/>
        </w:rPr>
        <w:t>2.45%</w:t>
      </w:r>
      <w:r>
        <w:rPr>
          <w:rFonts w:eastAsiaTheme="minorEastAsia"/>
          <w:color w:val="000000" w:themeColor="text1"/>
          <w:szCs w:val="21"/>
        </w:rPr>
        <w:t>。板块方面，结构差异较大，计算机、传媒和通讯等行业领涨，房地产、餐饮旅游和银行等行业领跌。今年前</w:t>
      </w:r>
      <w:r>
        <w:rPr>
          <w:rFonts w:eastAsiaTheme="minorEastAsia"/>
          <w:color w:val="000000" w:themeColor="text1"/>
          <w:szCs w:val="21"/>
        </w:rPr>
        <w:t>2</w:t>
      </w:r>
      <w:r>
        <w:rPr>
          <w:rFonts w:eastAsiaTheme="minorEastAsia"/>
          <w:color w:val="000000" w:themeColor="text1"/>
          <w:szCs w:val="21"/>
        </w:rPr>
        <w:t>个月，经济稳步增长，如全国规模以上工业增加值同比增长</w:t>
      </w:r>
      <w:r>
        <w:rPr>
          <w:rFonts w:eastAsiaTheme="minorEastAsia"/>
          <w:color w:val="000000" w:themeColor="text1"/>
          <w:szCs w:val="21"/>
        </w:rPr>
        <w:t>2.4%</w:t>
      </w:r>
      <w:r>
        <w:rPr>
          <w:rFonts w:eastAsiaTheme="minorEastAsia"/>
          <w:color w:val="000000" w:themeColor="text1"/>
          <w:szCs w:val="21"/>
        </w:rPr>
        <w:t>，社会消费品零售总额同比增长</w:t>
      </w:r>
      <w:r>
        <w:rPr>
          <w:rFonts w:eastAsiaTheme="minorEastAsia"/>
          <w:color w:val="000000" w:themeColor="text1"/>
          <w:szCs w:val="21"/>
        </w:rPr>
        <w:t>3.5%</w:t>
      </w: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回升到</w:t>
      </w:r>
      <w:r>
        <w:rPr>
          <w:rFonts w:eastAsiaTheme="minorEastAsia"/>
          <w:color w:val="000000" w:themeColor="text1"/>
          <w:szCs w:val="21"/>
        </w:rPr>
        <w:t>52.6%</w:t>
      </w:r>
      <w:r>
        <w:rPr>
          <w:rFonts w:eastAsiaTheme="minorEastAsia"/>
          <w:color w:val="000000" w:themeColor="text1"/>
          <w:szCs w:val="21"/>
        </w:rPr>
        <w:t>，达到了近年来较高水平，未来经济向好趋势明显。本基金在保持高股息的主体配置同时，重点关注估值和成长相匹配的个股，此外，本季度还减持了部分前期超额收益较多个股，增持了部分市场关注度不高的成长股。在具体个股选择方面</w:t>
      </w:r>
      <w:r>
        <w:rPr>
          <w:rFonts w:eastAsiaTheme="minorEastAsia"/>
          <w:color w:val="000000" w:themeColor="text1"/>
          <w:szCs w:val="21"/>
        </w:rPr>
        <w:t>，本基金依然把精选个股作为重要方向。</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进入二季度，我们判断市场机会将大于风险，</w:t>
      </w:r>
      <w:r w:rsidRPr="0073597F">
        <w:rPr>
          <w:rFonts w:eastAsiaTheme="minorEastAsia"/>
          <w:color w:val="000000" w:themeColor="text1"/>
          <w:szCs w:val="21"/>
        </w:rPr>
        <w:t>A</w:t>
      </w:r>
      <w:r w:rsidRPr="0073597F">
        <w:rPr>
          <w:rFonts w:eastAsiaTheme="minorEastAsia"/>
          <w:color w:val="000000" w:themeColor="text1"/>
          <w:szCs w:val="21"/>
        </w:rPr>
        <w:t>股有望呈现结构性的投资机会。市场经历了</w:t>
      </w:r>
      <w:r w:rsidRPr="0073597F">
        <w:rPr>
          <w:rFonts w:eastAsiaTheme="minorEastAsia"/>
          <w:color w:val="000000" w:themeColor="text1"/>
          <w:szCs w:val="21"/>
        </w:rPr>
        <w:t>2022</w:t>
      </w:r>
      <w:r w:rsidRPr="0073597F">
        <w:rPr>
          <w:rFonts w:eastAsiaTheme="minorEastAsia"/>
          <w:color w:val="000000" w:themeColor="text1"/>
          <w:szCs w:val="21"/>
        </w:rPr>
        <w:t>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:2.32%</w:t>
      </w:r>
      <w:r>
        <w:rPr>
          <w:rFonts w:eastAsiaTheme="minorEastAsia"/>
          <w:color w:val="000000" w:themeColor="text1"/>
          <w:szCs w:val="21"/>
        </w:rPr>
        <w:t>，同期</w:t>
      </w:r>
      <w:r>
        <w:rPr>
          <w:rFonts w:eastAsiaTheme="minorEastAsia"/>
          <w:color w:val="000000" w:themeColor="text1"/>
          <w:szCs w:val="21"/>
        </w:rPr>
        <w:t>业绩比较基准收益率为</w:t>
      </w:r>
      <w:r>
        <w:rPr>
          <w:rFonts w:eastAsiaTheme="minorEastAsia"/>
          <w:color w:val="000000" w:themeColor="text1"/>
          <w:szCs w:val="21"/>
        </w:rPr>
        <w:t>:2.20%</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:2.08%</w:t>
      </w:r>
      <w:r>
        <w:rPr>
          <w:rFonts w:eastAsiaTheme="minorEastAsia"/>
          <w:color w:val="000000" w:themeColor="text1"/>
          <w:szCs w:val="21"/>
        </w:rPr>
        <w:t>，同期业绩比较基准收益率为</w:t>
      </w:r>
      <w:r>
        <w:rPr>
          <w:rFonts w:eastAsiaTheme="minorEastAsia"/>
          <w:color w:val="000000" w:themeColor="text1"/>
          <w:szCs w:val="21"/>
        </w:rPr>
        <w:t>:2.20%</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:2.30%</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:2.20%</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491,768,603.86</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58.63</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491,768,603.86</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58.63</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188,872,466.69</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22.52</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188,872,466.69</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22.52</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157,535,846.30</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18.78</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552,546.76</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0.07</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838,729,463.61</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26,563,447.00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3.20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45,395,896.02</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5.46</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250,316,708.54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30.11</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25,117,293.38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3.02</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21,724,188.11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2.61</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9,142,085.00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1.10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69,894,628.24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8.41</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33,636,549.57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4.05</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lastRenderedPageBreak/>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9,977,808.00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1.20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491,768,603.86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59.16</w:t>
            </w:r>
          </w:p>
        </w:tc>
      </w:tr>
    </w:tbl>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期末按公允价值占基金资产净值比例大小排序的股票投资明细</w:t>
      </w:r>
      <w:r w:rsidRPr="0073597F">
        <w:rPr>
          <w:rFonts w:asciiTheme="minorEastAsia" w:eastAsiaTheme="minorEastAsia" w:hAnsiTheme="minorEastAsia" w:hint="eastAsia"/>
          <w:b/>
          <w:bCs/>
          <w:color w:val="000000" w:themeColor="text1"/>
          <w:kern w:val="0"/>
          <w:szCs w:val="21"/>
        </w:rPr>
        <w:cr/>
      </w:r>
      <w:r w:rsidRPr="0073597F">
        <w:rPr>
          <w:rFonts w:eastAsiaTheme="minorEastAsia"/>
          <w:b/>
          <w:bCs/>
          <w:color w:val="000000" w:themeColor="text1"/>
          <w:kern w:val="0"/>
          <w:szCs w:val="21"/>
        </w:rPr>
        <w:t>5.3.1</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AA7B34">
        <w:tc>
          <w:tcPr>
            <w:tcW w:w="817" w:type="dxa"/>
            <w:vAlign w:val="center"/>
          </w:tcPr>
          <w:p w:rsidR="00AA7B34" w:rsidRDefault="001F2798">
            <w:pPr>
              <w:jc w:val="center"/>
            </w:pPr>
            <w:r>
              <w:rPr>
                <w:rFonts w:eastAsiaTheme="minorEastAsia"/>
                <w:color w:val="000000" w:themeColor="text1"/>
                <w:kern w:val="0"/>
                <w:szCs w:val="21"/>
              </w:rPr>
              <w:t>1</w:t>
            </w:r>
          </w:p>
        </w:tc>
        <w:tc>
          <w:tcPr>
            <w:tcW w:w="1276" w:type="dxa"/>
            <w:vAlign w:val="center"/>
          </w:tcPr>
          <w:p w:rsidR="00AA7B34" w:rsidRDefault="001F2798">
            <w:pPr>
              <w:jc w:val="center"/>
            </w:pPr>
            <w:r>
              <w:rPr>
                <w:rFonts w:eastAsiaTheme="minorEastAsia"/>
                <w:color w:val="000000" w:themeColor="text1"/>
                <w:kern w:val="0"/>
                <w:szCs w:val="21"/>
              </w:rPr>
              <w:t>000651</w:t>
            </w:r>
          </w:p>
        </w:tc>
        <w:tc>
          <w:tcPr>
            <w:tcW w:w="1701" w:type="dxa"/>
            <w:vAlign w:val="center"/>
          </w:tcPr>
          <w:p w:rsidR="00AA7B34" w:rsidRDefault="001F2798">
            <w:pPr>
              <w:jc w:val="center"/>
            </w:pPr>
            <w:r>
              <w:rPr>
                <w:rFonts w:eastAsiaTheme="minorEastAsia"/>
                <w:color w:val="000000" w:themeColor="text1"/>
                <w:kern w:val="0"/>
                <w:szCs w:val="21"/>
              </w:rPr>
              <w:t>格力电器</w:t>
            </w:r>
          </w:p>
        </w:tc>
        <w:tc>
          <w:tcPr>
            <w:tcW w:w="1276" w:type="dxa"/>
            <w:vAlign w:val="center"/>
          </w:tcPr>
          <w:p w:rsidR="00AA7B34" w:rsidRDefault="001F2798">
            <w:pPr>
              <w:jc w:val="right"/>
            </w:pPr>
            <w:r>
              <w:rPr>
                <w:rFonts w:eastAsiaTheme="minorEastAsia"/>
                <w:color w:val="000000" w:themeColor="text1"/>
                <w:kern w:val="0"/>
                <w:szCs w:val="21"/>
              </w:rPr>
              <w:t>780,900</w:t>
            </w:r>
          </w:p>
        </w:tc>
        <w:tc>
          <w:tcPr>
            <w:tcW w:w="1842" w:type="dxa"/>
            <w:vAlign w:val="center"/>
          </w:tcPr>
          <w:p w:rsidR="00AA7B34" w:rsidRDefault="001F2798">
            <w:pPr>
              <w:jc w:val="right"/>
            </w:pPr>
            <w:r>
              <w:rPr>
                <w:rFonts w:eastAsiaTheme="minorEastAsia"/>
                <w:color w:val="000000" w:themeColor="text1"/>
                <w:kern w:val="0"/>
                <w:szCs w:val="21"/>
              </w:rPr>
              <w:t>28,698,075.00</w:t>
            </w:r>
          </w:p>
        </w:tc>
        <w:tc>
          <w:tcPr>
            <w:tcW w:w="1616" w:type="dxa"/>
            <w:vAlign w:val="center"/>
          </w:tcPr>
          <w:p w:rsidR="00AA7B34" w:rsidRDefault="001F2798">
            <w:pPr>
              <w:jc w:val="right"/>
            </w:pPr>
            <w:r>
              <w:rPr>
                <w:rFonts w:eastAsiaTheme="minorEastAsia"/>
                <w:color w:val="000000" w:themeColor="text1"/>
                <w:kern w:val="0"/>
                <w:szCs w:val="21"/>
              </w:rPr>
              <w:t>3.45</w:t>
            </w:r>
          </w:p>
        </w:tc>
      </w:tr>
      <w:tr w:rsidR="00AA7B34">
        <w:tc>
          <w:tcPr>
            <w:tcW w:w="817" w:type="dxa"/>
            <w:vAlign w:val="center"/>
          </w:tcPr>
          <w:p w:rsidR="00AA7B34" w:rsidRDefault="001F2798">
            <w:pPr>
              <w:jc w:val="center"/>
            </w:pPr>
            <w:r>
              <w:rPr>
                <w:rFonts w:eastAsiaTheme="minorEastAsia"/>
                <w:color w:val="000000" w:themeColor="text1"/>
                <w:kern w:val="0"/>
                <w:szCs w:val="21"/>
              </w:rPr>
              <w:t>2</w:t>
            </w:r>
          </w:p>
        </w:tc>
        <w:tc>
          <w:tcPr>
            <w:tcW w:w="1276" w:type="dxa"/>
            <w:vAlign w:val="center"/>
          </w:tcPr>
          <w:p w:rsidR="00AA7B34" w:rsidRDefault="001F2798">
            <w:pPr>
              <w:jc w:val="center"/>
            </w:pPr>
            <w:r>
              <w:rPr>
                <w:rFonts w:eastAsiaTheme="minorEastAsia"/>
                <w:color w:val="000000" w:themeColor="text1"/>
                <w:kern w:val="0"/>
                <w:szCs w:val="21"/>
              </w:rPr>
              <w:t>002236</w:t>
            </w:r>
          </w:p>
        </w:tc>
        <w:tc>
          <w:tcPr>
            <w:tcW w:w="1701" w:type="dxa"/>
            <w:vAlign w:val="center"/>
          </w:tcPr>
          <w:p w:rsidR="00AA7B34" w:rsidRDefault="001F2798">
            <w:pPr>
              <w:jc w:val="center"/>
            </w:pPr>
            <w:r>
              <w:rPr>
                <w:rFonts w:eastAsiaTheme="minorEastAsia"/>
                <w:color w:val="000000" w:themeColor="text1"/>
                <w:kern w:val="0"/>
                <w:szCs w:val="21"/>
              </w:rPr>
              <w:t>大华股份</w:t>
            </w:r>
          </w:p>
        </w:tc>
        <w:tc>
          <w:tcPr>
            <w:tcW w:w="1276" w:type="dxa"/>
            <w:vAlign w:val="center"/>
          </w:tcPr>
          <w:p w:rsidR="00AA7B34" w:rsidRDefault="001F2798">
            <w:pPr>
              <w:jc w:val="right"/>
            </w:pPr>
            <w:r>
              <w:rPr>
                <w:rFonts w:eastAsiaTheme="minorEastAsia"/>
                <w:color w:val="000000" w:themeColor="text1"/>
                <w:kern w:val="0"/>
                <w:szCs w:val="21"/>
              </w:rPr>
              <w:t>1,204,300</w:t>
            </w:r>
          </w:p>
        </w:tc>
        <w:tc>
          <w:tcPr>
            <w:tcW w:w="1842" w:type="dxa"/>
            <w:vAlign w:val="center"/>
          </w:tcPr>
          <w:p w:rsidR="00AA7B34" w:rsidRDefault="001F2798">
            <w:pPr>
              <w:jc w:val="right"/>
            </w:pPr>
            <w:r>
              <w:rPr>
                <w:rFonts w:eastAsiaTheme="minorEastAsia"/>
                <w:color w:val="000000" w:themeColor="text1"/>
                <w:kern w:val="0"/>
                <w:szCs w:val="21"/>
              </w:rPr>
              <w:t>27,229,223.00</w:t>
            </w:r>
          </w:p>
        </w:tc>
        <w:tc>
          <w:tcPr>
            <w:tcW w:w="1616" w:type="dxa"/>
            <w:vAlign w:val="center"/>
          </w:tcPr>
          <w:p w:rsidR="00AA7B34" w:rsidRDefault="001F2798">
            <w:pPr>
              <w:jc w:val="right"/>
            </w:pPr>
            <w:r>
              <w:rPr>
                <w:rFonts w:eastAsiaTheme="minorEastAsia"/>
                <w:color w:val="000000" w:themeColor="text1"/>
                <w:kern w:val="0"/>
                <w:szCs w:val="21"/>
              </w:rPr>
              <w:t>3.28</w:t>
            </w:r>
          </w:p>
        </w:tc>
      </w:tr>
      <w:tr w:rsidR="00AA7B34">
        <w:tc>
          <w:tcPr>
            <w:tcW w:w="817" w:type="dxa"/>
            <w:vAlign w:val="center"/>
          </w:tcPr>
          <w:p w:rsidR="00AA7B34" w:rsidRDefault="001F2798">
            <w:pPr>
              <w:jc w:val="center"/>
            </w:pPr>
            <w:r>
              <w:rPr>
                <w:rFonts w:eastAsiaTheme="minorEastAsia"/>
                <w:color w:val="000000" w:themeColor="text1"/>
                <w:kern w:val="0"/>
                <w:szCs w:val="21"/>
              </w:rPr>
              <w:t>3</w:t>
            </w:r>
          </w:p>
        </w:tc>
        <w:tc>
          <w:tcPr>
            <w:tcW w:w="1276" w:type="dxa"/>
            <w:vAlign w:val="center"/>
          </w:tcPr>
          <w:p w:rsidR="00AA7B34" w:rsidRDefault="001F2798">
            <w:pPr>
              <w:jc w:val="center"/>
            </w:pPr>
            <w:r>
              <w:rPr>
                <w:rFonts w:eastAsiaTheme="minorEastAsia"/>
                <w:color w:val="000000" w:themeColor="text1"/>
                <w:kern w:val="0"/>
                <w:szCs w:val="21"/>
              </w:rPr>
              <w:t>300750</w:t>
            </w:r>
          </w:p>
        </w:tc>
        <w:tc>
          <w:tcPr>
            <w:tcW w:w="1701" w:type="dxa"/>
            <w:vAlign w:val="center"/>
          </w:tcPr>
          <w:p w:rsidR="00AA7B34" w:rsidRDefault="001F2798">
            <w:pPr>
              <w:jc w:val="center"/>
            </w:pPr>
            <w:r>
              <w:rPr>
                <w:rFonts w:eastAsiaTheme="minorEastAsia"/>
                <w:color w:val="000000" w:themeColor="text1"/>
                <w:kern w:val="0"/>
                <w:szCs w:val="21"/>
              </w:rPr>
              <w:t>宁德时代</w:t>
            </w:r>
          </w:p>
        </w:tc>
        <w:tc>
          <w:tcPr>
            <w:tcW w:w="1276" w:type="dxa"/>
            <w:vAlign w:val="center"/>
          </w:tcPr>
          <w:p w:rsidR="00AA7B34" w:rsidRDefault="001F2798">
            <w:pPr>
              <w:jc w:val="right"/>
            </w:pPr>
            <w:r>
              <w:rPr>
                <w:rFonts w:eastAsiaTheme="minorEastAsia"/>
                <w:color w:val="000000" w:themeColor="text1"/>
                <w:kern w:val="0"/>
                <w:szCs w:val="21"/>
              </w:rPr>
              <w:t>51,100</w:t>
            </w:r>
          </w:p>
        </w:tc>
        <w:tc>
          <w:tcPr>
            <w:tcW w:w="1842" w:type="dxa"/>
            <w:vAlign w:val="center"/>
          </w:tcPr>
          <w:p w:rsidR="00AA7B34" w:rsidRDefault="001F2798">
            <w:pPr>
              <w:jc w:val="right"/>
            </w:pPr>
            <w:r>
              <w:rPr>
                <w:rFonts w:eastAsiaTheme="minorEastAsia"/>
                <w:color w:val="000000" w:themeColor="text1"/>
                <w:kern w:val="0"/>
                <w:szCs w:val="21"/>
              </w:rPr>
              <w:t>20,749,155.00</w:t>
            </w:r>
          </w:p>
        </w:tc>
        <w:tc>
          <w:tcPr>
            <w:tcW w:w="1616" w:type="dxa"/>
            <w:vAlign w:val="center"/>
          </w:tcPr>
          <w:p w:rsidR="00AA7B34" w:rsidRDefault="001F2798">
            <w:pPr>
              <w:jc w:val="right"/>
            </w:pPr>
            <w:r>
              <w:rPr>
                <w:rFonts w:eastAsiaTheme="minorEastAsia"/>
                <w:color w:val="000000" w:themeColor="text1"/>
                <w:kern w:val="0"/>
                <w:szCs w:val="21"/>
              </w:rPr>
              <w:t>2.50</w:t>
            </w:r>
          </w:p>
        </w:tc>
      </w:tr>
      <w:tr w:rsidR="00AA7B34">
        <w:tc>
          <w:tcPr>
            <w:tcW w:w="817" w:type="dxa"/>
            <w:vAlign w:val="center"/>
          </w:tcPr>
          <w:p w:rsidR="00AA7B34" w:rsidRDefault="001F2798">
            <w:pPr>
              <w:jc w:val="center"/>
            </w:pPr>
            <w:r>
              <w:rPr>
                <w:rFonts w:eastAsiaTheme="minorEastAsia"/>
                <w:color w:val="000000" w:themeColor="text1"/>
                <w:kern w:val="0"/>
                <w:szCs w:val="21"/>
              </w:rPr>
              <w:t>4</w:t>
            </w:r>
          </w:p>
        </w:tc>
        <w:tc>
          <w:tcPr>
            <w:tcW w:w="1276" w:type="dxa"/>
            <w:vAlign w:val="center"/>
          </w:tcPr>
          <w:p w:rsidR="00AA7B34" w:rsidRDefault="001F2798">
            <w:pPr>
              <w:jc w:val="center"/>
            </w:pPr>
            <w:r>
              <w:rPr>
                <w:rFonts w:eastAsiaTheme="minorEastAsia"/>
                <w:color w:val="000000" w:themeColor="text1"/>
                <w:kern w:val="0"/>
                <w:szCs w:val="21"/>
              </w:rPr>
              <w:t>002714</w:t>
            </w:r>
          </w:p>
        </w:tc>
        <w:tc>
          <w:tcPr>
            <w:tcW w:w="1701" w:type="dxa"/>
            <w:vAlign w:val="center"/>
          </w:tcPr>
          <w:p w:rsidR="00AA7B34" w:rsidRDefault="001F2798">
            <w:pPr>
              <w:jc w:val="center"/>
            </w:pPr>
            <w:r>
              <w:rPr>
                <w:rFonts w:eastAsiaTheme="minorEastAsia"/>
                <w:color w:val="000000" w:themeColor="text1"/>
                <w:kern w:val="0"/>
                <w:szCs w:val="21"/>
              </w:rPr>
              <w:t>牧原股份</w:t>
            </w:r>
          </w:p>
        </w:tc>
        <w:tc>
          <w:tcPr>
            <w:tcW w:w="1276" w:type="dxa"/>
            <w:vAlign w:val="center"/>
          </w:tcPr>
          <w:p w:rsidR="00AA7B34" w:rsidRDefault="001F2798">
            <w:pPr>
              <w:jc w:val="right"/>
            </w:pPr>
            <w:r>
              <w:rPr>
                <w:rFonts w:eastAsiaTheme="minorEastAsia"/>
                <w:color w:val="000000" w:themeColor="text1"/>
                <w:kern w:val="0"/>
                <w:szCs w:val="21"/>
              </w:rPr>
              <w:t>417,223</w:t>
            </w:r>
          </w:p>
        </w:tc>
        <w:tc>
          <w:tcPr>
            <w:tcW w:w="1842" w:type="dxa"/>
            <w:vAlign w:val="center"/>
          </w:tcPr>
          <w:p w:rsidR="00AA7B34" w:rsidRDefault="001F2798">
            <w:pPr>
              <w:jc w:val="right"/>
            </w:pPr>
            <w:r>
              <w:rPr>
                <w:rFonts w:eastAsiaTheme="minorEastAsia"/>
                <w:color w:val="000000" w:themeColor="text1"/>
                <w:kern w:val="0"/>
                <w:szCs w:val="21"/>
              </w:rPr>
              <w:t>20,443,927.00</w:t>
            </w:r>
          </w:p>
        </w:tc>
        <w:tc>
          <w:tcPr>
            <w:tcW w:w="1616" w:type="dxa"/>
            <w:vAlign w:val="center"/>
          </w:tcPr>
          <w:p w:rsidR="00AA7B34" w:rsidRDefault="001F2798">
            <w:pPr>
              <w:jc w:val="right"/>
            </w:pPr>
            <w:r>
              <w:rPr>
                <w:rFonts w:eastAsiaTheme="minorEastAsia"/>
                <w:color w:val="000000" w:themeColor="text1"/>
                <w:kern w:val="0"/>
                <w:szCs w:val="21"/>
              </w:rPr>
              <w:t>2.46</w:t>
            </w:r>
          </w:p>
        </w:tc>
      </w:tr>
      <w:tr w:rsidR="00AA7B34">
        <w:tc>
          <w:tcPr>
            <w:tcW w:w="817" w:type="dxa"/>
            <w:vAlign w:val="center"/>
          </w:tcPr>
          <w:p w:rsidR="00AA7B34" w:rsidRDefault="001F2798">
            <w:pPr>
              <w:jc w:val="center"/>
            </w:pPr>
            <w:r>
              <w:rPr>
                <w:rFonts w:eastAsiaTheme="minorEastAsia"/>
                <w:color w:val="000000" w:themeColor="text1"/>
                <w:kern w:val="0"/>
                <w:szCs w:val="21"/>
              </w:rPr>
              <w:t>5</w:t>
            </w:r>
          </w:p>
        </w:tc>
        <w:tc>
          <w:tcPr>
            <w:tcW w:w="1276" w:type="dxa"/>
            <w:vAlign w:val="center"/>
          </w:tcPr>
          <w:p w:rsidR="00AA7B34" w:rsidRDefault="001F2798">
            <w:pPr>
              <w:jc w:val="center"/>
            </w:pPr>
            <w:r>
              <w:rPr>
                <w:rFonts w:eastAsiaTheme="minorEastAsia"/>
                <w:color w:val="000000" w:themeColor="text1"/>
                <w:kern w:val="0"/>
                <w:szCs w:val="21"/>
              </w:rPr>
              <w:t>601328</w:t>
            </w:r>
          </w:p>
        </w:tc>
        <w:tc>
          <w:tcPr>
            <w:tcW w:w="1701" w:type="dxa"/>
            <w:vAlign w:val="center"/>
          </w:tcPr>
          <w:p w:rsidR="00AA7B34" w:rsidRDefault="001F2798">
            <w:pPr>
              <w:jc w:val="center"/>
            </w:pPr>
            <w:r>
              <w:rPr>
                <w:rFonts w:eastAsiaTheme="minorEastAsia"/>
                <w:color w:val="000000" w:themeColor="text1"/>
                <w:kern w:val="0"/>
                <w:szCs w:val="21"/>
              </w:rPr>
              <w:t>交通银行</w:t>
            </w:r>
          </w:p>
        </w:tc>
        <w:tc>
          <w:tcPr>
            <w:tcW w:w="1276" w:type="dxa"/>
            <w:vAlign w:val="center"/>
          </w:tcPr>
          <w:p w:rsidR="00AA7B34" w:rsidRDefault="001F2798">
            <w:pPr>
              <w:jc w:val="right"/>
            </w:pPr>
            <w:r>
              <w:rPr>
                <w:rFonts w:eastAsiaTheme="minorEastAsia"/>
                <w:color w:val="000000" w:themeColor="text1"/>
                <w:kern w:val="0"/>
                <w:szCs w:val="21"/>
              </w:rPr>
              <w:t>3,503,700</w:t>
            </w:r>
          </w:p>
        </w:tc>
        <w:tc>
          <w:tcPr>
            <w:tcW w:w="1842" w:type="dxa"/>
            <w:vAlign w:val="center"/>
          </w:tcPr>
          <w:p w:rsidR="00AA7B34" w:rsidRDefault="001F2798">
            <w:pPr>
              <w:jc w:val="right"/>
            </w:pPr>
            <w:r>
              <w:rPr>
                <w:rFonts w:eastAsiaTheme="minorEastAsia"/>
                <w:color w:val="000000" w:themeColor="text1"/>
                <w:kern w:val="0"/>
                <w:szCs w:val="21"/>
              </w:rPr>
              <w:t>17,903,907.00</w:t>
            </w:r>
          </w:p>
        </w:tc>
        <w:tc>
          <w:tcPr>
            <w:tcW w:w="1616" w:type="dxa"/>
            <w:vAlign w:val="center"/>
          </w:tcPr>
          <w:p w:rsidR="00AA7B34" w:rsidRDefault="001F2798">
            <w:pPr>
              <w:jc w:val="right"/>
            </w:pPr>
            <w:r>
              <w:rPr>
                <w:rFonts w:eastAsiaTheme="minorEastAsia"/>
                <w:color w:val="000000" w:themeColor="text1"/>
                <w:kern w:val="0"/>
                <w:szCs w:val="21"/>
              </w:rPr>
              <w:t>2.15</w:t>
            </w:r>
          </w:p>
        </w:tc>
      </w:tr>
      <w:tr w:rsidR="00AA7B34">
        <w:tc>
          <w:tcPr>
            <w:tcW w:w="817" w:type="dxa"/>
            <w:vAlign w:val="center"/>
          </w:tcPr>
          <w:p w:rsidR="00AA7B34" w:rsidRDefault="001F2798">
            <w:pPr>
              <w:jc w:val="center"/>
            </w:pPr>
            <w:r>
              <w:rPr>
                <w:rFonts w:eastAsiaTheme="minorEastAsia"/>
                <w:color w:val="000000" w:themeColor="text1"/>
                <w:kern w:val="0"/>
                <w:szCs w:val="21"/>
              </w:rPr>
              <w:t>6</w:t>
            </w:r>
          </w:p>
        </w:tc>
        <w:tc>
          <w:tcPr>
            <w:tcW w:w="1276" w:type="dxa"/>
            <w:vAlign w:val="center"/>
          </w:tcPr>
          <w:p w:rsidR="00AA7B34" w:rsidRDefault="001F2798">
            <w:pPr>
              <w:jc w:val="center"/>
            </w:pPr>
            <w:r>
              <w:rPr>
                <w:rFonts w:eastAsiaTheme="minorEastAsia"/>
                <w:color w:val="000000" w:themeColor="text1"/>
                <w:kern w:val="0"/>
                <w:szCs w:val="21"/>
              </w:rPr>
              <w:t>600089</w:t>
            </w:r>
          </w:p>
        </w:tc>
        <w:tc>
          <w:tcPr>
            <w:tcW w:w="1701" w:type="dxa"/>
            <w:vAlign w:val="center"/>
          </w:tcPr>
          <w:p w:rsidR="00AA7B34" w:rsidRDefault="001F2798">
            <w:pPr>
              <w:jc w:val="center"/>
            </w:pPr>
            <w:r>
              <w:rPr>
                <w:rFonts w:eastAsiaTheme="minorEastAsia"/>
                <w:color w:val="000000" w:themeColor="text1"/>
                <w:kern w:val="0"/>
                <w:szCs w:val="21"/>
              </w:rPr>
              <w:t>特变电工</w:t>
            </w:r>
          </w:p>
        </w:tc>
        <w:tc>
          <w:tcPr>
            <w:tcW w:w="1276" w:type="dxa"/>
            <w:vAlign w:val="center"/>
          </w:tcPr>
          <w:p w:rsidR="00AA7B34" w:rsidRDefault="001F2798">
            <w:pPr>
              <w:jc w:val="right"/>
            </w:pPr>
            <w:r>
              <w:rPr>
                <w:rFonts w:eastAsiaTheme="minorEastAsia"/>
                <w:color w:val="000000" w:themeColor="text1"/>
                <w:kern w:val="0"/>
                <w:szCs w:val="21"/>
              </w:rPr>
              <w:t>773,422</w:t>
            </w:r>
          </w:p>
        </w:tc>
        <w:tc>
          <w:tcPr>
            <w:tcW w:w="1842" w:type="dxa"/>
            <w:vAlign w:val="center"/>
          </w:tcPr>
          <w:p w:rsidR="00AA7B34" w:rsidRDefault="001F2798">
            <w:pPr>
              <w:jc w:val="right"/>
            </w:pPr>
            <w:r>
              <w:rPr>
                <w:rFonts w:eastAsiaTheme="minorEastAsia"/>
                <w:color w:val="000000" w:themeColor="text1"/>
                <w:kern w:val="0"/>
                <w:szCs w:val="21"/>
              </w:rPr>
              <w:t>16,790,991.62</w:t>
            </w:r>
          </w:p>
        </w:tc>
        <w:tc>
          <w:tcPr>
            <w:tcW w:w="1616" w:type="dxa"/>
            <w:vAlign w:val="center"/>
          </w:tcPr>
          <w:p w:rsidR="00AA7B34" w:rsidRDefault="001F2798">
            <w:pPr>
              <w:jc w:val="right"/>
            </w:pPr>
            <w:r>
              <w:rPr>
                <w:rFonts w:eastAsiaTheme="minorEastAsia"/>
                <w:color w:val="000000" w:themeColor="text1"/>
                <w:kern w:val="0"/>
                <w:szCs w:val="21"/>
              </w:rPr>
              <w:t>2.02</w:t>
            </w:r>
          </w:p>
        </w:tc>
      </w:tr>
      <w:tr w:rsidR="00AA7B34">
        <w:tc>
          <w:tcPr>
            <w:tcW w:w="817" w:type="dxa"/>
            <w:vAlign w:val="center"/>
          </w:tcPr>
          <w:p w:rsidR="00AA7B34" w:rsidRDefault="001F2798">
            <w:pPr>
              <w:jc w:val="center"/>
            </w:pPr>
            <w:r>
              <w:rPr>
                <w:rFonts w:eastAsiaTheme="minorEastAsia"/>
                <w:color w:val="000000" w:themeColor="text1"/>
                <w:kern w:val="0"/>
                <w:szCs w:val="21"/>
              </w:rPr>
              <w:t>7</w:t>
            </w:r>
          </w:p>
        </w:tc>
        <w:tc>
          <w:tcPr>
            <w:tcW w:w="1276" w:type="dxa"/>
            <w:vAlign w:val="center"/>
          </w:tcPr>
          <w:p w:rsidR="00AA7B34" w:rsidRDefault="001F2798">
            <w:pPr>
              <w:jc w:val="center"/>
            </w:pPr>
            <w:r>
              <w:rPr>
                <w:rFonts w:eastAsiaTheme="minorEastAsia"/>
                <w:color w:val="000000" w:themeColor="text1"/>
                <w:kern w:val="0"/>
                <w:szCs w:val="21"/>
              </w:rPr>
              <w:t>603035</w:t>
            </w:r>
          </w:p>
        </w:tc>
        <w:tc>
          <w:tcPr>
            <w:tcW w:w="1701" w:type="dxa"/>
            <w:vAlign w:val="center"/>
          </w:tcPr>
          <w:p w:rsidR="00AA7B34" w:rsidRDefault="001F2798">
            <w:pPr>
              <w:jc w:val="center"/>
            </w:pPr>
            <w:r>
              <w:rPr>
                <w:rFonts w:eastAsiaTheme="minorEastAsia"/>
                <w:color w:val="000000" w:themeColor="text1"/>
                <w:kern w:val="0"/>
                <w:szCs w:val="21"/>
              </w:rPr>
              <w:t>常熟汽饰</w:t>
            </w:r>
          </w:p>
        </w:tc>
        <w:tc>
          <w:tcPr>
            <w:tcW w:w="1276" w:type="dxa"/>
            <w:vAlign w:val="center"/>
          </w:tcPr>
          <w:p w:rsidR="00AA7B34" w:rsidRDefault="001F2798">
            <w:pPr>
              <w:jc w:val="right"/>
            </w:pPr>
            <w:r>
              <w:rPr>
                <w:rFonts w:eastAsiaTheme="minorEastAsia"/>
                <w:color w:val="000000" w:themeColor="text1"/>
                <w:kern w:val="0"/>
                <w:szCs w:val="21"/>
              </w:rPr>
              <w:t>836,100</w:t>
            </w:r>
          </w:p>
        </w:tc>
        <w:tc>
          <w:tcPr>
            <w:tcW w:w="1842" w:type="dxa"/>
            <w:vAlign w:val="center"/>
          </w:tcPr>
          <w:p w:rsidR="00AA7B34" w:rsidRDefault="001F2798">
            <w:pPr>
              <w:jc w:val="right"/>
            </w:pPr>
            <w:r>
              <w:rPr>
                <w:rFonts w:eastAsiaTheme="minorEastAsia"/>
                <w:color w:val="000000" w:themeColor="text1"/>
                <w:kern w:val="0"/>
                <w:szCs w:val="21"/>
              </w:rPr>
              <w:t>16,262,145.00</w:t>
            </w:r>
          </w:p>
        </w:tc>
        <w:tc>
          <w:tcPr>
            <w:tcW w:w="1616" w:type="dxa"/>
            <w:vAlign w:val="center"/>
          </w:tcPr>
          <w:p w:rsidR="00AA7B34" w:rsidRDefault="001F2798">
            <w:pPr>
              <w:jc w:val="right"/>
            </w:pPr>
            <w:r>
              <w:rPr>
                <w:rFonts w:eastAsiaTheme="minorEastAsia"/>
                <w:color w:val="000000" w:themeColor="text1"/>
                <w:kern w:val="0"/>
                <w:szCs w:val="21"/>
              </w:rPr>
              <w:t>1.96</w:t>
            </w:r>
          </w:p>
        </w:tc>
      </w:tr>
      <w:tr w:rsidR="00AA7B34">
        <w:tc>
          <w:tcPr>
            <w:tcW w:w="817" w:type="dxa"/>
            <w:vAlign w:val="center"/>
          </w:tcPr>
          <w:p w:rsidR="00AA7B34" w:rsidRDefault="001F2798">
            <w:pPr>
              <w:jc w:val="center"/>
            </w:pPr>
            <w:r>
              <w:rPr>
                <w:rFonts w:eastAsiaTheme="minorEastAsia"/>
                <w:color w:val="000000" w:themeColor="text1"/>
                <w:kern w:val="0"/>
                <w:szCs w:val="21"/>
              </w:rPr>
              <w:t>8</w:t>
            </w:r>
          </w:p>
        </w:tc>
        <w:tc>
          <w:tcPr>
            <w:tcW w:w="1276" w:type="dxa"/>
            <w:vAlign w:val="center"/>
          </w:tcPr>
          <w:p w:rsidR="00AA7B34" w:rsidRDefault="001F2798">
            <w:pPr>
              <w:jc w:val="center"/>
            </w:pPr>
            <w:r>
              <w:rPr>
                <w:rFonts w:eastAsiaTheme="minorEastAsia"/>
                <w:color w:val="000000" w:themeColor="text1"/>
                <w:kern w:val="0"/>
                <w:szCs w:val="21"/>
              </w:rPr>
              <w:t>600048</w:t>
            </w:r>
          </w:p>
        </w:tc>
        <w:tc>
          <w:tcPr>
            <w:tcW w:w="1701" w:type="dxa"/>
            <w:vAlign w:val="center"/>
          </w:tcPr>
          <w:p w:rsidR="00AA7B34" w:rsidRDefault="001F2798">
            <w:pPr>
              <w:jc w:val="center"/>
            </w:pPr>
            <w:r>
              <w:rPr>
                <w:rFonts w:eastAsiaTheme="minorEastAsia"/>
                <w:color w:val="000000" w:themeColor="text1"/>
                <w:kern w:val="0"/>
                <w:szCs w:val="21"/>
              </w:rPr>
              <w:t>保利发展</w:t>
            </w:r>
          </w:p>
        </w:tc>
        <w:tc>
          <w:tcPr>
            <w:tcW w:w="1276" w:type="dxa"/>
            <w:vAlign w:val="center"/>
          </w:tcPr>
          <w:p w:rsidR="00AA7B34" w:rsidRDefault="001F2798">
            <w:pPr>
              <w:jc w:val="right"/>
            </w:pPr>
            <w:r>
              <w:rPr>
                <w:rFonts w:eastAsiaTheme="minorEastAsia"/>
                <w:color w:val="000000" w:themeColor="text1"/>
                <w:kern w:val="0"/>
                <w:szCs w:val="21"/>
              </w:rPr>
              <w:t>1,074,577</w:t>
            </w:r>
          </w:p>
        </w:tc>
        <w:tc>
          <w:tcPr>
            <w:tcW w:w="1842" w:type="dxa"/>
            <w:vAlign w:val="center"/>
          </w:tcPr>
          <w:p w:rsidR="00AA7B34" w:rsidRDefault="001F2798">
            <w:pPr>
              <w:jc w:val="right"/>
            </w:pPr>
            <w:r>
              <w:rPr>
                <w:rFonts w:eastAsiaTheme="minorEastAsia"/>
                <w:color w:val="000000" w:themeColor="text1"/>
                <w:kern w:val="0"/>
                <w:szCs w:val="21"/>
              </w:rPr>
              <w:t>15,183,773.01</w:t>
            </w:r>
          </w:p>
        </w:tc>
        <w:tc>
          <w:tcPr>
            <w:tcW w:w="1616" w:type="dxa"/>
            <w:vAlign w:val="center"/>
          </w:tcPr>
          <w:p w:rsidR="00AA7B34" w:rsidRDefault="001F2798">
            <w:pPr>
              <w:jc w:val="right"/>
            </w:pPr>
            <w:r>
              <w:rPr>
                <w:rFonts w:eastAsiaTheme="minorEastAsia"/>
                <w:color w:val="000000" w:themeColor="text1"/>
                <w:kern w:val="0"/>
                <w:szCs w:val="21"/>
              </w:rPr>
              <w:t>1.83</w:t>
            </w:r>
          </w:p>
        </w:tc>
      </w:tr>
      <w:tr w:rsidR="00AA7B34">
        <w:tc>
          <w:tcPr>
            <w:tcW w:w="817" w:type="dxa"/>
            <w:vAlign w:val="center"/>
          </w:tcPr>
          <w:p w:rsidR="00AA7B34" w:rsidRDefault="001F2798">
            <w:pPr>
              <w:jc w:val="center"/>
            </w:pPr>
            <w:r>
              <w:rPr>
                <w:rFonts w:eastAsiaTheme="minorEastAsia"/>
                <w:color w:val="000000" w:themeColor="text1"/>
                <w:kern w:val="0"/>
                <w:szCs w:val="21"/>
              </w:rPr>
              <w:t>9</w:t>
            </w:r>
          </w:p>
        </w:tc>
        <w:tc>
          <w:tcPr>
            <w:tcW w:w="1276" w:type="dxa"/>
            <w:vAlign w:val="center"/>
          </w:tcPr>
          <w:p w:rsidR="00AA7B34" w:rsidRDefault="001F2798">
            <w:pPr>
              <w:jc w:val="center"/>
            </w:pPr>
            <w:r>
              <w:rPr>
                <w:rFonts w:eastAsiaTheme="minorEastAsia"/>
                <w:color w:val="000000" w:themeColor="text1"/>
                <w:kern w:val="0"/>
                <w:szCs w:val="21"/>
              </w:rPr>
              <w:t>600383</w:t>
            </w:r>
          </w:p>
        </w:tc>
        <w:tc>
          <w:tcPr>
            <w:tcW w:w="1701" w:type="dxa"/>
            <w:vAlign w:val="center"/>
          </w:tcPr>
          <w:p w:rsidR="00AA7B34" w:rsidRDefault="001F2798">
            <w:pPr>
              <w:jc w:val="center"/>
            </w:pPr>
            <w:r>
              <w:rPr>
                <w:rFonts w:eastAsiaTheme="minorEastAsia"/>
                <w:color w:val="000000" w:themeColor="text1"/>
                <w:kern w:val="0"/>
                <w:szCs w:val="21"/>
              </w:rPr>
              <w:t>金地集团</w:t>
            </w:r>
          </w:p>
        </w:tc>
        <w:tc>
          <w:tcPr>
            <w:tcW w:w="1276" w:type="dxa"/>
            <w:vAlign w:val="center"/>
          </w:tcPr>
          <w:p w:rsidR="00AA7B34" w:rsidRDefault="001F2798">
            <w:pPr>
              <w:jc w:val="right"/>
            </w:pPr>
            <w:r>
              <w:rPr>
                <w:rFonts w:eastAsiaTheme="minorEastAsia"/>
                <w:color w:val="000000" w:themeColor="text1"/>
                <w:kern w:val="0"/>
                <w:szCs w:val="21"/>
              </w:rPr>
              <w:t>1,658,544</w:t>
            </w:r>
          </w:p>
        </w:tc>
        <w:tc>
          <w:tcPr>
            <w:tcW w:w="1842" w:type="dxa"/>
            <w:vAlign w:val="center"/>
          </w:tcPr>
          <w:p w:rsidR="00AA7B34" w:rsidRDefault="001F2798">
            <w:pPr>
              <w:jc w:val="right"/>
            </w:pPr>
            <w:r>
              <w:rPr>
                <w:rFonts w:eastAsiaTheme="minorEastAsia"/>
                <w:color w:val="000000" w:themeColor="text1"/>
                <w:kern w:val="0"/>
                <w:szCs w:val="21"/>
              </w:rPr>
              <w:t>13,931,769.60</w:t>
            </w:r>
          </w:p>
        </w:tc>
        <w:tc>
          <w:tcPr>
            <w:tcW w:w="1616" w:type="dxa"/>
            <w:vAlign w:val="center"/>
          </w:tcPr>
          <w:p w:rsidR="00AA7B34" w:rsidRDefault="001F2798">
            <w:pPr>
              <w:jc w:val="right"/>
            </w:pPr>
            <w:r>
              <w:rPr>
                <w:rFonts w:eastAsiaTheme="minorEastAsia"/>
                <w:color w:val="000000" w:themeColor="text1"/>
                <w:kern w:val="0"/>
                <w:szCs w:val="21"/>
              </w:rPr>
              <w:t>1.68</w:t>
            </w:r>
          </w:p>
        </w:tc>
      </w:tr>
      <w:tr w:rsidR="00AA7B34">
        <w:tc>
          <w:tcPr>
            <w:tcW w:w="817" w:type="dxa"/>
            <w:vAlign w:val="center"/>
          </w:tcPr>
          <w:p w:rsidR="00AA7B34" w:rsidRDefault="001F2798">
            <w:pPr>
              <w:jc w:val="center"/>
            </w:pPr>
            <w:r>
              <w:rPr>
                <w:rFonts w:eastAsiaTheme="minorEastAsia"/>
                <w:color w:val="000000" w:themeColor="text1"/>
                <w:kern w:val="0"/>
                <w:szCs w:val="21"/>
              </w:rPr>
              <w:t>10</w:t>
            </w:r>
          </w:p>
        </w:tc>
        <w:tc>
          <w:tcPr>
            <w:tcW w:w="1276" w:type="dxa"/>
            <w:vAlign w:val="center"/>
          </w:tcPr>
          <w:p w:rsidR="00AA7B34" w:rsidRDefault="001F2798">
            <w:pPr>
              <w:jc w:val="center"/>
            </w:pPr>
            <w:r>
              <w:rPr>
                <w:rFonts w:eastAsiaTheme="minorEastAsia"/>
                <w:color w:val="000000" w:themeColor="text1"/>
                <w:kern w:val="0"/>
                <w:szCs w:val="21"/>
              </w:rPr>
              <w:t>601166</w:t>
            </w:r>
          </w:p>
        </w:tc>
        <w:tc>
          <w:tcPr>
            <w:tcW w:w="1701" w:type="dxa"/>
            <w:vAlign w:val="center"/>
          </w:tcPr>
          <w:p w:rsidR="00AA7B34" w:rsidRDefault="001F2798">
            <w:pPr>
              <w:jc w:val="center"/>
            </w:pPr>
            <w:r>
              <w:rPr>
                <w:rFonts w:eastAsiaTheme="minorEastAsia"/>
                <w:color w:val="000000" w:themeColor="text1"/>
                <w:kern w:val="0"/>
                <w:szCs w:val="21"/>
              </w:rPr>
              <w:t>兴业银行</w:t>
            </w:r>
          </w:p>
        </w:tc>
        <w:tc>
          <w:tcPr>
            <w:tcW w:w="1276" w:type="dxa"/>
            <w:vAlign w:val="center"/>
          </w:tcPr>
          <w:p w:rsidR="00AA7B34" w:rsidRDefault="001F2798">
            <w:pPr>
              <w:jc w:val="right"/>
            </w:pPr>
            <w:r>
              <w:rPr>
                <w:rFonts w:eastAsiaTheme="minorEastAsia"/>
                <w:color w:val="000000" w:themeColor="text1"/>
                <w:kern w:val="0"/>
                <w:szCs w:val="21"/>
              </w:rPr>
              <w:t>823,697</w:t>
            </w:r>
          </w:p>
        </w:tc>
        <w:tc>
          <w:tcPr>
            <w:tcW w:w="1842" w:type="dxa"/>
            <w:vAlign w:val="center"/>
          </w:tcPr>
          <w:p w:rsidR="00AA7B34" w:rsidRDefault="001F2798">
            <w:pPr>
              <w:jc w:val="right"/>
            </w:pPr>
            <w:r>
              <w:rPr>
                <w:rFonts w:eastAsiaTheme="minorEastAsia"/>
                <w:color w:val="000000" w:themeColor="text1"/>
                <w:kern w:val="0"/>
                <w:szCs w:val="21"/>
              </w:rPr>
              <w:t>13,912,242.33</w:t>
            </w:r>
          </w:p>
        </w:tc>
        <w:tc>
          <w:tcPr>
            <w:tcW w:w="1616" w:type="dxa"/>
            <w:vAlign w:val="center"/>
          </w:tcPr>
          <w:p w:rsidR="00AA7B34" w:rsidRDefault="001F2798">
            <w:pPr>
              <w:jc w:val="right"/>
            </w:pPr>
            <w:r>
              <w:rPr>
                <w:rFonts w:eastAsiaTheme="minorEastAsia"/>
                <w:color w:val="000000" w:themeColor="text1"/>
                <w:kern w:val="0"/>
                <w:szCs w:val="21"/>
              </w:rPr>
              <w:t>1.67</w:t>
            </w:r>
          </w:p>
        </w:tc>
      </w:tr>
    </w:tbl>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87,658,233.26</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10.54</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82,010,813.70</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9.87</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51,108,972.60</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6.15</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19,203,419.73</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2.31</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188,872,466.69</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22.72</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AA7B34">
        <w:tc>
          <w:tcPr>
            <w:tcW w:w="1504" w:type="dxa"/>
            <w:vAlign w:val="center"/>
          </w:tcPr>
          <w:p w:rsidR="00AA7B34" w:rsidRDefault="001F2798">
            <w:pPr>
              <w:jc w:val="center"/>
            </w:pPr>
            <w:r>
              <w:rPr>
                <w:rFonts w:eastAsiaTheme="minorEastAsia"/>
                <w:color w:val="000000" w:themeColor="text1"/>
                <w:szCs w:val="21"/>
              </w:rPr>
              <w:t>1</w:t>
            </w:r>
          </w:p>
        </w:tc>
        <w:tc>
          <w:tcPr>
            <w:tcW w:w="1504" w:type="dxa"/>
            <w:vAlign w:val="center"/>
          </w:tcPr>
          <w:p w:rsidR="00AA7B34" w:rsidRDefault="001F2798">
            <w:pPr>
              <w:jc w:val="center"/>
            </w:pPr>
            <w:r>
              <w:rPr>
                <w:rFonts w:eastAsiaTheme="minorEastAsia"/>
                <w:color w:val="000000" w:themeColor="text1"/>
                <w:szCs w:val="21"/>
              </w:rPr>
              <w:t>019656</w:t>
            </w:r>
          </w:p>
        </w:tc>
        <w:tc>
          <w:tcPr>
            <w:tcW w:w="1504" w:type="dxa"/>
            <w:vAlign w:val="center"/>
          </w:tcPr>
          <w:p w:rsidR="00AA7B34" w:rsidRDefault="001F2798">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08</w:t>
            </w:r>
          </w:p>
        </w:tc>
        <w:tc>
          <w:tcPr>
            <w:tcW w:w="1503" w:type="dxa"/>
            <w:vAlign w:val="center"/>
          </w:tcPr>
          <w:p w:rsidR="00AA7B34" w:rsidRDefault="001F2798">
            <w:pPr>
              <w:jc w:val="right"/>
            </w:pPr>
            <w:r>
              <w:rPr>
                <w:rFonts w:eastAsiaTheme="minorEastAsia"/>
                <w:color w:val="000000" w:themeColor="text1"/>
                <w:szCs w:val="21"/>
              </w:rPr>
              <w:t>857,000</w:t>
            </w:r>
          </w:p>
        </w:tc>
        <w:tc>
          <w:tcPr>
            <w:tcW w:w="1503" w:type="dxa"/>
            <w:vAlign w:val="center"/>
          </w:tcPr>
          <w:p w:rsidR="00AA7B34" w:rsidRDefault="001F2798">
            <w:pPr>
              <w:jc w:val="right"/>
            </w:pPr>
            <w:r>
              <w:rPr>
                <w:rFonts w:eastAsiaTheme="minorEastAsia"/>
                <w:color w:val="000000" w:themeColor="text1"/>
                <w:szCs w:val="21"/>
              </w:rPr>
              <w:t>87,658,233.26</w:t>
            </w:r>
          </w:p>
        </w:tc>
        <w:tc>
          <w:tcPr>
            <w:tcW w:w="1503" w:type="dxa"/>
            <w:vAlign w:val="center"/>
          </w:tcPr>
          <w:p w:rsidR="00AA7B34" w:rsidRDefault="001F2798">
            <w:pPr>
              <w:jc w:val="right"/>
            </w:pPr>
            <w:r>
              <w:rPr>
                <w:rFonts w:eastAsiaTheme="minorEastAsia"/>
                <w:color w:val="000000" w:themeColor="text1"/>
                <w:szCs w:val="21"/>
              </w:rPr>
              <w:t>10.54</w:t>
            </w:r>
          </w:p>
        </w:tc>
      </w:tr>
      <w:tr w:rsidR="00AA7B34">
        <w:tc>
          <w:tcPr>
            <w:tcW w:w="1504" w:type="dxa"/>
            <w:vAlign w:val="center"/>
          </w:tcPr>
          <w:p w:rsidR="00AA7B34" w:rsidRDefault="001F2798">
            <w:pPr>
              <w:jc w:val="center"/>
            </w:pPr>
            <w:r>
              <w:rPr>
                <w:rFonts w:eastAsiaTheme="minorEastAsia"/>
                <w:color w:val="000000" w:themeColor="text1"/>
                <w:szCs w:val="21"/>
              </w:rPr>
              <w:t>2</w:t>
            </w:r>
          </w:p>
        </w:tc>
        <w:tc>
          <w:tcPr>
            <w:tcW w:w="1504" w:type="dxa"/>
            <w:vAlign w:val="center"/>
          </w:tcPr>
          <w:p w:rsidR="00AA7B34" w:rsidRDefault="001F2798">
            <w:pPr>
              <w:jc w:val="center"/>
            </w:pPr>
            <w:r>
              <w:rPr>
                <w:rFonts w:eastAsiaTheme="minorEastAsia"/>
                <w:color w:val="000000" w:themeColor="text1"/>
                <w:szCs w:val="21"/>
              </w:rPr>
              <w:t>200207</w:t>
            </w:r>
          </w:p>
        </w:tc>
        <w:tc>
          <w:tcPr>
            <w:tcW w:w="1504" w:type="dxa"/>
            <w:vAlign w:val="center"/>
          </w:tcPr>
          <w:p w:rsidR="00AA7B34" w:rsidRDefault="001F2798">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07</w:t>
            </w:r>
          </w:p>
        </w:tc>
        <w:tc>
          <w:tcPr>
            <w:tcW w:w="1503" w:type="dxa"/>
            <w:vAlign w:val="center"/>
          </w:tcPr>
          <w:p w:rsidR="00AA7B34" w:rsidRDefault="001F2798">
            <w:pPr>
              <w:jc w:val="right"/>
            </w:pPr>
            <w:r>
              <w:rPr>
                <w:rFonts w:eastAsiaTheme="minorEastAsia"/>
                <w:color w:val="000000" w:themeColor="text1"/>
                <w:szCs w:val="21"/>
              </w:rPr>
              <w:t>500,000</w:t>
            </w:r>
          </w:p>
        </w:tc>
        <w:tc>
          <w:tcPr>
            <w:tcW w:w="1503" w:type="dxa"/>
            <w:vAlign w:val="center"/>
          </w:tcPr>
          <w:p w:rsidR="00AA7B34" w:rsidRDefault="001F2798">
            <w:pPr>
              <w:jc w:val="right"/>
            </w:pPr>
            <w:r>
              <w:rPr>
                <w:rFonts w:eastAsiaTheme="minorEastAsia"/>
                <w:color w:val="000000" w:themeColor="text1"/>
                <w:szCs w:val="21"/>
              </w:rPr>
              <w:t>51,108,972.60</w:t>
            </w:r>
          </w:p>
        </w:tc>
        <w:tc>
          <w:tcPr>
            <w:tcW w:w="1503" w:type="dxa"/>
            <w:vAlign w:val="center"/>
          </w:tcPr>
          <w:p w:rsidR="00AA7B34" w:rsidRDefault="001F2798">
            <w:pPr>
              <w:jc w:val="right"/>
            </w:pPr>
            <w:r>
              <w:rPr>
                <w:rFonts w:eastAsiaTheme="minorEastAsia"/>
                <w:color w:val="000000" w:themeColor="text1"/>
                <w:szCs w:val="21"/>
              </w:rPr>
              <w:t>6.15</w:t>
            </w:r>
          </w:p>
        </w:tc>
      </w:tr>
      <w:tr w:rsidR="00AA7B34">
        <w:tc>
          <w:tcPr>
            <w:tcW w:w="1504" w:type="dxa"/>
            <w:vAlign w:val="center"/>
          </w:tcPr>
          <w:p w:rsidR="00AA7B34" w:rsidRDefault="001F2798">
            <w:pPr>
              <w:jc w:val="center"/>
            </w:pPr>
            <w:r>
              <w:rPr>
                <w:rFonts w:eastAsiaTheme="minorEastAsia"/>
                <w:color w:val="000000" w:themeColor="text1"/>
                <w:szCs w:val="21"/>
              </w:rPr>
              <w:t>3</w:t>
            </w:r>
          </w:p>
        </w:tc>
        <w:tc>
          <w:tcPr>
            <w:tcW w:w="1504" w:type="dxa"/>
            <w:vAlign w:val="center"/>
          </w:tcPr>
          <w:p w:rsidR="00AA7B34" w:rsidRDefault="001F2798">
            <w:pPr>
              <w:jc w:val="center"/>
            </w:pPr>
            <w:r>
              <w:rPr>
                <w:rFonts w:eastAsiaTheme="minorEastAsia"/>
                <w:color w:val="000000" w:themeColor="text1"/>
                <w:szCs w:val="21"/>
              </w:rPr>
              <w:t>2120065</w:t>
            </w:r>
          </w:p>
        </w:tc>
        <w:tc>
          <w:tcPr>
            <w:tcW w:w="1504" w:type="dxa"/>
            <w:vAlign w:val="center"/>
          </w:tcPr>
          <w:p w:rsidR="00AA7B34" w:rsidRDefault="001F2798">
            <w:pPr>
              <w:jc w:val="center"/>
            </w:pPr>
            <w:r>
              <w:rPr>
                <w:rFonts w:eastAsiaTheme="minorEastAsia"/>
                <w:color w:val="000000" w:themeColor="text1"/>
                <w:szCs w:val="21"/>
              </w:rPr>
              <w:t>21</w:t>
            </w:r>
            <w:r>
              <w:rPr>
                <w:rFonts w:eastAsiaTheme="minorEastAsia"/>
                <w:color w:val="000000" w:themeColor="text1"/>
                <w:szCs w:val="21"/>
              </w:rPr>
              <w:t>桂林银行三农债</w:t>
            </w:r>
            <w:r>
              <w:rPr>
                <w:rFonts w:eastAsiaTheme="minorEastAsia"/>
                <w:color w:val="000000" w:themeColor="text1"/>
                <w:szCs w:val="21"/>
              </w:rPr>
              <w:t>02</w:t>
            </w:r>
          </w:p>
        </w:tc>
        <w:tc>
          <w:tcPr>
            <w:tcW w:w="1503" w:type="dxa"/>
            <w:vAlign w:val="center"/>
          </w:tcPr>
          <w:p w:rsidR="00AA7B34" w:rsidRDefault="001F2798">
            <w:pPr>
              <w:jc w:val="right"/>
            </w:pPr>
            <w:r>
              <w:rPr>
                <w:rFonts w:eastAsiaTheme="minorEastAsia"/>
                <w:color w:val="000000" w:themeColor="text1"/>
                <w:szCs w:val="21"/>
              </w:rPr>
              <w:t>300,000</w:t>
            </w:r>
          </w:p>
        </w:tc>
        <w:tc>
          <w:tcPr>
            <w:tcW w:w="1503" w:type="dxa"/>
            <w:vAlign w:val="center"/>
          </w:tcPr>
          <w:p w:rsidR="00AA7B34" w:rsidRDefault="001F2798">
            <w:pPr>
              <w:jc w:val="right"/>
            </w:pPr>
            <w:r>
              <w:rPr>
                <w:rFonts w:eastAsiaTheme="minorEastAsia"/>
                <w:color w:val="000000" w:themeColor="text1"/>
                <w:szCs w:val="21"/>
              </w:rPr>
              <w:t>30,901,841.10</w:t>
            </w:r>
          </w:p>
        </w:tc>
        <w:tc>
          <w:tcPr>
            <w:tcW w:w="1503" w:type="dxa"/>
            <w:vAlign w:val="center"/>
          </w:tcPr>
          <w:p w:rsidR="00AA7B34" w:rsidRDefault="001F2798">
            <w:pPr>
              <w:jc w:val="right"/>
            </w:pPr>
            <w:r>
              <w:rPr>
                <w:rFonts w:eastAsiaTheme="minorEastAsia"/>
                <w:color w:val="000000" w:themeColor="text1"/>
                <w:szCs w:val="21"/>
              </w:rPr>
              <w:t>3.72</w:t>
            </w:r>
          </w:p>
        </w:tc>
      </w:tr>
      <w:tr w:rsidR="00AA7B34">
        <w:tc>
          <w:tcPr>
            <w:tcW w:w="1504" w:type="dxa"/>
            <w:vAlign w:val="center"/>
          </w:tcPr>
          <w:p w:rsidR="00AA7B34" w:rsidRDefault="001F2798">
            <w:pPr>
              <w:jc w:val="center"/>
            </w:pPr>
            <w:r>
              <w:rPr>
                <w:rFonts w:eastAsiaTheme="minorEastAsia"/>
                <w:color w:val="000000" w:themeColor="text1"/>
                <w:szCs w:val="21"/>
              </w:rPr>
              <w:t>4</w:t>
            </w:r>
          </w:p>
        </w:tc>
        <w:tc>
          <w:tcPr>
            <w:tcW w:w="1504" w:type="dxa"/>
            <w:vAlign w:val="center"/>
          </w:tcPr>
          <w:p w:rsidR="00AA7B34" w:rsidRDefault="001F2798">
            <w:pPr>
              <w:jc w:val="center"/>
            </w:pPr>
            <w:r>
              <w:rPr>
                <w:rFonts w:eastAsiaTheme="minorEastAsia"/>
                <w:color w:val="000000" w:themeColor="text1"/>
                <w:szCs w:val="21"/>
              </w:rPr>
              <w:t>136767</w:t>
            </w:r>
          </w:p>
        </w:tc>
        <w:tc>
          <w:tcPr>
            <w:tcW w:w="1504" w:type="dxa"/>
            <w:vAlign w:val="center"/>
          </w:tcPr>
          <w:p w:rsidR="00AA7B34" w:rsidRDefault="001F2798">
            <w:pPr>
              <w:jc w:val="center"/>
            </w:pPr>
            <w:r>
              <w:rPr>
                <w:rFonts w:eastAsiaTheme="minorEastAsia"/>
                <w:color w:val="000000" w:themeColor="text1"/>
                <w:szCs w:val="21"/>
              </w:rPr>
              <w:t>16</w:t>
            </w:r>
            <w:r>
              <w:rPr>
                <w:rFonts w:eastAsiaTheme="minorEastAsia"/>
                <w:color w:val="000000" w:themeColor="text1"/>
                <w:szCs w:val="21"/>
              </w:rPr>
              <w:t>油服</w:t>
            </w:r>
            <w:r>
              <w:rPr>
                <w:rFonts w:eastAsiaTheme="minorEastAsia"/>
                <w:color w:val="000000" w:themeColor="text1"/>
                <w:szCs w:val="21"/>
              </w:rPr>
              <w:t>04</w:t>
            </w:r>
          </w:p>
        </w:tc>
        <w:tc>
          <w:tcPr>
            <w:tcW w:w="1503" w:type="dxa"/>
            <w:vAlign w:val="center"/>
          </w:tcPr>
          <w:p w:rsidR="00AA7B34" w:rsidRDefault="001F2798">
            <w:pPr>
              <w:jc w:val="right"/>
            </w:pPr>
            <w:r>
              <w:rPr>
                <w:rFonts w:eastAsiaTheme="minorEastAsia"/>
                <w:color w:val="000000" w:themeColor="text1"/>
                <w:szCs w:val="21"/>
              </w:rPr>
              <w:t>190,000</w:t>
            </w:r>
          </w:p>
        </w:tc>
        <w:tc>
          <w:tcPr>
            <w:tcW w:w="1503" w:type="dxa"/>
            <w:vAlign w:val="center"/>
          </w:tcPr>
          <w:p w:rsidR="00AA7B34" w:rsidRDefault="001F2798">
            <w:pPr>
              <w:jc w:val="right"/>
            </w:pPr>
            <w:r>
              <w:rPr>
                <w:rFonts w:eastAsiaTheme="minorEastAsia"/>
                <w:color w:val="000000" w:themeColor="text1"/>
                <w:szCs w:val="21"/>
              </w:rPr>
              <w:t>19,203,419.73</w:t>
            </w:r>
          </w:p>
        </w:tc>
        <w:tc>
          <w:tcPr>
            <w:tcW w:w="1503" w:type="dxa"/>
            <w:vAlign w:val="center"/>
          </w:tcPr>
          <w:p w:rsidR="00AA7B34" w:rsidRDefault="001F2798">
            <w:pPr>
              <w:jc w:val="right"/>
            </w:pPr>
            <w:r>
              <w:rPr>
                <w:rFonts w:eastAsiaTheme="minorEastAsia"/>
                <w:color w:val="000000" w:themeColor="text1"/>
                <w:szCs w:val="21"/>
              </w:rPr>
              <w:t>2.31</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55,721.81</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lastRenderedPageBreak/>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456,130.27</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40,694.68</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552,546.76</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H</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C</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1,024,939,179.53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2,167,519.56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4,069.46</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7,135,139.68</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3,655.72</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6,113.68</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15,601,880.97</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3,420.46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2,519.66</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lastRenderedPageBreak/>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1,016,472,438.24</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2,167,754.82</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7,663.48</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摩根双息平衡混合型证券投资基金基金合同</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摩根双息平衡混合型证券投资基金托管协议</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AA7B34" w:rsidRDefault="001F279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w:t>
      </w:r>
      <w:r w:rsidRPr="0073597F">
        <w:rPr>
          <w:rFonts w:eastAsiaTheme="minorEastAsia"/>
          <w:color w:val="000000" w:themeColor="text1"/>
          <w:szCs w:val="21"/>
        </w:rPr>
        <w:t>八</w:t>
      </w:r>
      <w:r w:rsidRPr="0073597F">
        <w:rPr>
          <w:rFonts w:eastAsiaTheme="minorEastAsia"/>
          <w:color w:val="000000" w:themeColor="text1"/>
          <w:szCs w:val="21"/>
        </w:rPr>
        <w:t xml:space="preserve">) </w:t>
      </w:r>
      <w:r w:rsidRPr="0073597F">
        <w:rPr>
          <w:rFonts w:eastAsiaTheme="minorEastAsia"/>
          <w:color w:val="000000" w:themeColor="text1"/>
          <w:szCs w:val="21"/>
        </w:rPr>
        <w:t>中国证监会要求的其他文件</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二〇二三年四月二十一日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EA9" w:rsidRDefault="006C0EA9">
      <w:r>
        <w:separator/>
      </w:r>
    </w:p>
  </w:endnote>
  <w:endnote w:type="continuationSeparator" w:id="0">
    <w:p w:rsidR="006C0EA9" w:rsidRDefault="006C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F279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F2798">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F2798">
      <w:rPr>
        <w:rStyle w:val="af6"/>
        <w:noProof/>
      </w:rPr>
      <w:t>10</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EA9" w:rsidRDefault="006C0EA9">
      <w:r>
        <w:separator/>
      </w:r>
    </w:p>
  </w:footnote>
  <w:footnote w:type="continuationSeparator" w:id="0">
    <w:p w:rsidR="006C0EA9" w:rsidRDefault="006C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摩根双息平衡混合型证券投资基金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798"/>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B34"/>
    <w:rsid w:val="00AA7EBD"/>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11606-F406-4DD4-9179-15A9615E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179</TotalTime>
  <Pages>15</Pages>
  <Words>1316</Words>
  <Characters>7507</Characters>
  <Application>Microsoft Office Word</Application>
  <DocSecurity>0</DocSecurity>
  <Lines>62</Lines>
  <Paragraphs>17</Paragraphs>
  <ScaleCrop>false</ScaleCrop>
  <Company>TRT. Ltd. Co.</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235</cp:revision>
  <cp:lastPrinted>2007-07-19T00:46:00Z</cp:lastPrinted>
  <dcterms:created xsi:type="dcterms:W3CDTF">2013-06-21T06:56:00Z</dcterms:created>
  <dcterms:modified xsi:type="dcterms:W3CDTF">2023-04-20T05:28:00Z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