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bookmarkStart w:id="0" w:name="_GoBack"/>
      <w:bookmarkEnd w:id="0"/>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C671B">
      <w:pPr>
        <w:spacing w:line="360" w:lineRule="auto"/>
        <w:jc w:val="center"/>
        <w:rPr>
          <w:rFonts w:eastAsiaTheme="minorEastAsia"/>
          <w:b/>
          <w:color w:val="000000" w:themeColor="text1"/>
          <w:sz w:val="36"/>
          <w:szCs w:val="36"/>
        </w:rPr>
      </w:pPr>
      <w:r w:rsidRPr="00B27A29">
        <w:rPr>
          <w:rFonts w:eastAsiaTheme="minorEastAsia"/>
          <w:b/>
          <w:color w:val="000000" w:themeColor="text1"/>
          <w:sz w:val="36"/>
          <w:szCs w:val="36"/>
        </w:rPr>
        <w:t>上投摩根双息平衡混合型证券投资基金</w:t>
      </w:r>
    </w:p>
    <w:p w:rsidR="005E6DF3" w:rsidRPr="00B27A29" w:rsidRDefault="005C671B">
      <w:pPr>
        <w:spacing w:line="360" w:lineRule="auto"/>
        <w:jc w:val="center"/>
        <w:rPr>
          <w:rFonts w:eastAsiaTheme="minorEastAsia"/>
          <w:b/>
          <w:color w:val="000000" w:themeColor="text1"/>
          <w:sz w:val="36"/>
          <w:szCs w:val="36"/>
        </w:rPr>
      </w:pPr>
      <w:r w:rsidRPr="00B27A29">
        <w:rPr>
          <w:rFonts w:eastAsiaTheme="minorEastAsia"/>
          <w:b/>
          <w:color w:val="000000" w:themeColor="text1"/>
          <w:sz w:val="36"/>
          <w:szCs w:val="36"/>
        </w:rPr>
        <w:t>2021</w:t>
      </w:r>
      <w:r w:rsidRPr="00B27A29">
        <w:rPr>
          <w:rFonts w:eastAsiaTheme="minorEastAsia"/>
          <w:b/>
          <w:color w:val="000000" w:themeColor="text1"/>
          <w:sz w:val="36"/>
          <w:szCs w:val="36"/>
        </w:rPr>
        <w:t>年第</w:t>
      </w:r>
      <w:r w:rsidRPr="00B27A29">
        <w:rPr>
          <w:rFonts w:eastAsiaTheme="minorEastAsia"/>
          <w:b/>
          <w:color w:val="000000" w:themeColor="text1"/>
          <w:sz w:val="36"/>
          <w:szCs w:val="36"/>
        </w:rPr>
        <w:t>3</w:t>
      </w:r>
      <w:r w:rsidRPr="00B27A29">
        <w:rPr>
          <w:rFonts w:eastAsiaTheme="minorEastAsia"/>
          <w:b/>
          <w:color w:val="000000" w:themeColor="text1"/>
          <w:sz w:val="36"/>
          <w:szCs w:val="36"/>
        </w:rPr>
        <w:t>季度报告</w:t>
      </w:r>
    </w:p>
    <w:p w:rsidR="005E6DF3" w:rsidRPr="00B27A29" w:rsidRDefault="005C671B">
      <w:pPr>
        <w:spacing w:line="360" w:lineRule="auto"/>
        <w:jc w:val="center"/>
        <w:rPr>
          <w:rFonts w:eastAsiaTheme="minorEastAsia"/>
          <w:b/>
          <w:color w:val="000000" w:themeColor="text1"/>
          <w:szCs w:val="21"/>
        </w:rPr>
      </w:pPr>
      <w:r w:rsidRPr="00B27A29">
        <w:rPr>
          <w:rFonts w:eastAsiaTheme="minorEastAsia"/>
          <w:b/>
          <w:color w:val="000000" w:themeColor="text1"/>
          <w:sz w:val="36"/>
          <w:szCs w:val="36"/>
        </w:rPr>
        <w:t>2021</w:t>
      </w:r>
      <w:r w:rsidRPr="00B27A29">
        <w:rPr>
          <w:rFonts w:eastAsiaTheme="minorEastAsia"/>
          <w:b/>
          <w:color w:val="000000" w:themeColor="text1"/>
          <w:sz w:val="36"/>
          <w:szCs w:val="36"/>
        </w:rPr>
        <w:t>年</w:t>
      </w:r>
      <w:r w:rsidRPr="00B27A29">
        <w:rPr>
          <w:rFonts w:eastAsiaTheme="minorEastAsia"/>
          <w:b/>
          <w:color w:val="000000" w:themeColor="text1"/>
          <w:sz w:val="36"/>
          <w:szCs w:val="36"/>
        </w:rPr>
        <w:t>9</w:t>
      </w:r>
      <w:r w:rsidRPr="00B27A29">
        <w:rPr>
          <w:rFonts w:eastAsiaTheme="minorEastAsia"/>
          <w:b/>
          <w:color w:val="000000" w:themeColor="text1"/>
          <w:sz w:val="36"/>
          <w:szCs w:val="36"/>
        </w:rPr>
        <w:t>月</w:t>
      </w:r>
      <w:r w:rsidRPr="00B27A29">
        <w:rPr>
          <w:rFonts w:eastAsiaTheme="minorEastAsia"/>
          <w:b/>
          <w:color w:val="000000" w:themeColor="text1"/>
          <w:sz w:val="36"/>
          <w:szCs w:val="36"/>
        </w:rPr>
        <w:t>30</w:t>
      </w:r>
      <w:r w:rsidRPr="00B27A29">
        <w:rPr>
          <w:rFonts w:eastAsiaTheme="minorEastAsia"/>
          <w:b/>
          <w:color w:val="000000" w:themeColor="text1"/>
          <w:sz w:val="36"/>
          <w:szCs w:val="36"/>
        </w:rPr>
        <w:t>日</w:t>
      </w: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rPr>
          <w:rFonts w:eastAsiaTheme="minorEastAsia"/>
          <w:b/>
          <w:color w:val="000000" w:themeColor="text1"/>
          <w:szCs w:val="21"/>
        </w:rPr>
      </w:pPr>
    </w:p>
    <w:p w:rsidR="005E6DF3" w:rsidRPr="00B27A29" w:rsidRDefault="005C671B">
      <w:pPr>
        <w:spacing w:line="360" w:lineRule="auto"/>
        <w:ind w:firstLineChars="900" w:firstLine="2168"/>
        <w:rPr>
          <w:rFonts w:eastAsiaTheme="minorEastAsia"/>
          <w:b/>
          <w:color w:val="000000" w:themeColor="text1"/>
          <w:sz w:val="24"/>
        </w:rPr>
      </w:pPr>
      <w:r w:rsidRPr="00B27A29">
        <w:rPr>
          <w:rFonts w:eastAsiaTheme="minorEastAsia"/>
          <w:b/>
          <w:color w:val="000000" w:themeColor="text1"/>
          <w:sz w:val="24"/>
        </w:rPr>
        <w:t>基金管理人：上投摩根基金管理有限公司</w:t>
      </w:r>
    </w:p>
    <w:p w:rsidR="005E6DF3" w:rsidRPr="00B27A29" w:rsidRDefault="005C671B">
      <w:pPr>
        <w:spacing w:line="360" w:lineRule="auto"/>
        <w:ind w:firstLineChars="900" w:firstLine="2168"/>
        <w:rPr>
          <w:rFonts w:eastAsiaTheme="minorEastAsia"/>
          <w:b/>
          <w:color w:val="000000" w:themeColor="text1"/>
          <w:sz w:val="24"/>
        </w:rPr>
      </w:pPr>
      <w:r w:rsidRPr="00B27A29">
        <w:rPr>
          <w:rFonts w:eastAsiaTheme="minorEastAsia"/>
          <w:b/>
          <w:color w:val="000000" w:themeColor="text1"/>
          <w:sz w:val="24"/>
        </w:rPr>
        <w:t>基金托管人：中国建设银行股份有限公司</w:t>
      </w:r>
    </w:p>
    <w:p w:rsidR="005E6DF3" w:rsidRPr="00B27A29" w:rsidRDefault="005C671B">
      <w:pPr>
        <w:spacing w:line="360" w:lineRule="auto"/>
        <w:ind w:firstLineChars="900" w:firstLine="2168"/>
        <w:rPr>
          <w:rFonts w:eastAsiaTheme="minorEastAsia"/>
          <w:color w:val="000000" w:themeColor="text1"/>
          <w:szCs w:val="21"/>
        </w:rPr>
        <w:sectPr w:rsidR="005E6DF3" w:rsidRPr="00B27A29">
          <w:headerReference w:type="default" r:id="rId8"/>
          <w:footerReference w:type="default" r:id="rId9"/>
          <w:pgSz w:w="11926" w:h="15840"/>
          <w:pgMar w:top="1418" w:right="1418" w:bottom="851" w:left="1418" w:header="851" w:footer="992" w:gutter="0"/>
          <w:cols w:space="720"/>
        </w:sectPr>
      </w:pPr>
      <w:r w:rsidRPr="00B27A29">
        <w:rPr>
          <w:rFonts w:eastAsiaTheme="minorEastAsia"/>
          <w:b/>
          <w:color w:val="000000" w:themeColor="text1"/>
          <w:sz w:val="24"/>
        </w:rPr>
        <w:t>报告送出日期：二〇二一年十月二十七日</w:t>
      </w:r>
    </w:p>
    <w:p w:rsidR="005E6DF3" w:rsidRPr="00B27A29" w:rsidRDefault="005C671B">
      <w:pPr>
        <w:pStyle w:val="1"/>
        <w:spacing w:beforeLines="100" w:before="312" w:afterLines="100" w:after="312" w:line="360" w:lineRule="auto"/>
        <w:jc w:val="center"/>
        <w:rPr>
          <w:rFonts w:eastAsiaTheme="minorEastAsia"/>
          <w:b w:val="0"/>
          <w:color w:val="000000" w:themeColor="text1"/>
          <w:kern w:val="0"/>
          <w:sz w:val="21"/>
          <w:szCs w:val="21"/>
        </w:rPr>
      </w:pPr>
      <w:r w:rsidRPr="00B27A29">
        <w:rPr>
          <w:rFonts w:eastAsiaTheme="minorEastAsia"/>
          <w:color w:val="000000" w:themeColor="text1"/>
          <w:kern w:val="0"/>
          <w:sz w:val="21"/>
          <w:szCs w:val="21"/>
        </w:rPr>
        <w:lastRenderedPageBreak/>
        <w:t xml:space="preserve">§1  </w:t>
      </w:r>
      <w:r w:rsidRPr="00B27A29">
        <w:rPr>
          <w:rFonts w:eastAsiaTheme="minorEastAsia"/>
          <w:color w:val="000000" w:themeColor="text1"/>
          <w:kern w:val="0"/>
          <w:sz w:val="21"/>
          <w:szCs w:val="21"/>
        </w:rPr>
        <w:t>重要提示</w:t>
      </w:r>
    </w:p>
    <w:p w:rsidR="00247969" w:rsidRDefault="00B60399">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基金管理人的董事会及董事保证本报告所载资料不存在虚假记载、误导性陈述或重大遗漏，并对其内容的真实性、准确性和完整性承担个别及连带责任。</w:t>
      </w:r>
      <w:r>
        <w:rPr>
          <w:rFonts w:eastAsiaTheme="minorEastAsia"/>
          <w:color w:val="000000" w:themeColor="text1"/>
          <w:szCs w:val="21"/>
        </w:rPr>
        <w:t xml:space="preserve"> </w:t>
      </w:r>
    </w:p>
    <w:p w:rsidR="00247969" w:rsidRDefault="00B60399">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基金托管人中国建设银行股份有限公司根据本基金合同规定，于</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10</w:t>
      </w:r>
      <w:r>
        <w:rPr>
          <w:rFonts w:eastAsiaTheme="minorEastAsia"/>
          <w:color w:val="000000" w:themeColor="text1"/>
          <w:szCs w:val="21"/>
        </w:rPr>
        <w:t>月</w:t>
      </w:r>
      <w:r>
        <w:rPr>
          <w:rFonts w:eastAsiaTheme="minorEastAsia"/>
          <w:color w:val="000000" w:themeColor="text1"/>
          <w:szCs w:val="21"/>
        </w:rPr>
        <w:t>26</w:t>
      </w:r>
      <w:r>
        <w:rPr>
          <w:rFonts w:eastAsiaTheme="minorEastAsia"/>
          <w:color w:val="000000" w:themeColor="text1"/>
          <w:szCs w:val="21"/>
        </w:rPr>
        <w:t>日复核了本报告中的财务指标、净值表现和投资组合报告等内容，保证复核内容不存在虚假记载、误导性陈述或者重大遗漏。</w:t>
      </w:r>
      <w:r>
        <w:rPr>
          <w:rFonts w:eastAsiaTheme="minorEastAsia"/>
          <w:color w:val="000000" w:themeColor="text1"/>
          <w:szCs w:val="21"/>
        </w:rPr>
        <w:t xml:space="preserve"> </w:t>
      </w:r>
    </w:p>
    <w:p w:rsidR="00247969" w:rsidRDefault="00B60399">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基金管理人承诺以诚实信用、勤勉尽责的原则管理和运用基金资产，但不保证基金一定盈利。</w:t>
      </w:r>
      <w:r>
        <w:rPr>
          <w:rFonts w:eastAsiaTheme="minorEastAsia"/>
          <w:color w:val="000000" w:themeColor="text1"/>
          <w:szCs w:val="21"/>
        </w:rPr>
        <w:t xml:space="preserve"> </w:t>
      </w:r>
    </w:p>
    <w:p w:rsidR="00247969" w:rsidRDefault="00B60399">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基金的过往业绩并不代表其未来表现。投资有风险，投资者在作出投资决策前应仔细阅读本基金的招募说明书。</w:t>
      </w:r>
      <w:r>
        <w:rPr>
          <w:rFonts w:eastAsiaTheme="minorEastAsia"/>
          <w:color w:val="000000" w:themeColor="text1"/>
          <w:szCs w:val="21"/>
        </w:rPr>
        <w:t xml:space="preserve"> </w:t>
      </w:r>
    </w:p>
    <w:p w:rsidR="00247969" w:rsidRDefault="00B60399">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本报告中财务资料未经审计。</w:t>
      </w:r>
    </w:p>
    <w:p w:rsidR="00247969" w:rsidRDefault="00B60399">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本基金乃依据中港基金互认安排已获香港证券及期货事务监察委员会（下称</w:t>
      </w:r>
      <w:r>
        <w:rPr>
          <w:rFonts w:eastAsiaTheme="minorEastAsia"/>
          <w:color w:val="000000" w:themeColor="text1"/>
          <w:szCs w:val="21"/>
        </w:rPr>
        <w:t>“</w:t>
      </w:r>
      <w:r>
        <w:rPr>
          <w:rFonts w:eastAsiaTheme="minorEastAsia"/>
          <w:color w:val="000000" w:themeColor="text1"/>
          <w:szCs w:val="21"/>
        </w:rPr>
        <w:t>香港证监会</w:t>
      </w:r>
      <w:r>
        <w:rPr>
          <w:rFonts w:eastAsiaTheme="minorEastAsia"/>
          <w:color w:val="000000" w:themeColor="text1"/>
          <w:szCs w:val="21"/>
        </w:rPr>
        <w:t>”</w:t>
      </w:r>
      <w:r>
        <w:rPr>
          <w:rFonts w:eastAsiaTheme="minorEastAsia"/>
          <w:color w:val="000000" w:themeColor="text1"/>
          <w:szCs w:val="21"/>
        </w:rPr>
        <w:t>）之认可在香港公开发售的内地基金。香港证监会认可不等于对该产品作出推介或认许，亦不是对该产品的商业利弊或表现作出保证，更不代表该产品适合所有投资者，或认许该产品适合任何个别投资者或任何类别的投资者。</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本报告期自</w:t>
      </w:r>
      <w:r w:rsidRPr="00B27A29">
        <w:rPr>
          <w:rFonts w:eastAsiaTheme="minorEastAsia"/>
          <w:color w:val="000000" w:themeColor="text1"/>
          <w:szCs w:val="21"/>
        </w:rPr>
        <w:t>2021</w:t>
      </w:r>
      <w:r w:rsidRPr="00B27A29">
        <w:rPr>
          <w:rFonts w:eastAsiaTheme="minorEastAsia"/>
          <w:color w:val="000000" w:themeColor="text1"/>
          <w:szCs w:val="21"/>
        </w:rPr>
        <w:t>年</w:t>
      </w:r>
      <w:r w:rsidRPr="00B27A29">
        <w:rPr>
          <w:rFonts w:eastAsiaTheme="minorEastAsia"/>
          <w:color w:val="000000" w:themeColor="text1"/>
          <w:szCs w:val="21"/>
        </w:rPr>
        <w:t>7</w:t>
      </w:r>
      <w:r w:rsidRPr="00B27A29">
        <w:rPr>
          <w:rFonts w:eastAsiaTheme="minorEastAsia"/>
          <w:color w:val="000000" w:themeColor="text1"/>
          <w:szCs w:val="21"/>
        </w:rPr>
        <w:t>月</w:t>
      </w:r>
      <w:r w:rsidRPr="00B27A29">
        <w:rPr>
          <w:rFonts w:eastAsiaTheme="minorEastAsia"/>
          <w:color w:val="000000" w:themeColor="text1"/>
          <w:szCs w:val="21"/>
        </w:rPr>
        <w:t>1</w:t>
      </w:r>
      <w:r w:rsidRPr="00B27A29">
        <w:rPr>
          <w:rFonts w:eastAsiaTheme="minorEastAsia"/>
          <w:color w:val="000000" w:themeColor="text1"/>
          <w:szCs w:val="21"/>
        </w:rPr>
        <w:t>日起至</w:t>
      </w:r>
      <w:r w:rsidRPr="00B27A29">
        <w:rPr>
          <w:rFonts w:eastAsiaTheme="minorEastAsia"/>
          <w:color w:val="000000" w:themeColor="text1"/>
          <w:szCs w:val="21"/>
        </w:rPr>
        <w:t>9</w:t>
      </w:r>
      <w:r w:rsidRPr="00B27A29">
        <w:rPr>
          <w:rFonts w:eastAsiaTheme="minorEastAsia"/>
          <w:color w:val="000000" w:themeColor="text1"/>
          <w:szCs w:val="21"/>
        </w:rPr>
        <w:t>月</w:t>
      </w:r>
      <w:r w:rsidRPr="00B27A29">
        <w:rPr>
          <w:rFonts w:eastAsiaTheme="minorEastAsia"/>
          <w:color w:val="000000" w:themeColor="text1"/>
          <w:szCs w:val="21"/>
        </w:rPr>
        <w:t>30</w:t>
      </w:r>
      <w:r w:rsidRPr="00B27A29">
        <w:rPr>
          <w:rFonts w:eastAsiaTheme="minorEastAsia"/>
          <w:color w:val="000000" w:themeColor="text1"/>
          <w:szCs w:val="21"/>
        </w:rPr>
        <w:t>日止。</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§2  </w:t>
      </w:r>
      <w:r w:rsidRPr="00B27A29">
        <w:rPr>
          <w:rFonts w:eastAsiaTheme="minorEastAsia"/>
          <w:color w:val="000000" w:themeColor="text1"/>
          <w:kern w:val="0"/>
          <w:sz w:val="21"/>
          <w:szCs w:val="21"/>
        </w:rPr>
        <w:t>基金产品概况</w:t>
      </w:r>
    </w:p>
    <w:tbl>
      <w:tblPr>
        <w:tblW w:w="8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2739"/>
        <w:gridCol w:w="2740"/>
      </w:tblGrid>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基金简称</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上投摩根双息平衡混合</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基金主代码</w:t>
            </w:r>
          </w:p>
        </w:tc>
        <w:tc>
          <w:tcPr>
            <w:tcW w:w="5479" w:type="dxa"/>
            <w:gridSpan w:val="2"/>
            <w:tcBorders>
              <w:bottom w:val="single" w:sz="4" w:space="0" w:color="auto"/>
            </w:tcBorders>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373010</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基金运作方式</w:t>
            </w:r>
          </w:p>
        </w:tc>
        <w:tc>
          <w:tcPr>
            <w:tcW w:w="5479" w:type="dxa"/>
            <w:gridSpan w:val="2"/>
            <w:tcBorders>
              <w:top w:val="single" w:sz="4" w:space="0" w:color="auto"/>
            </w:tcBorders>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契约型开放式</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基金合同生效日</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2006</w:t>
            </w:r>
            <w:r w:rsidRPr="00B27A29">
              <w:rPr>
                <w:rFonts w:eastAsiaTheme="minorEastAsia"/>
                <w:color w:val="000000" w:themeColor="text1"/>
                <w:kern w:val="0"/>
                <w:szCs w:val="21"/>
              </w:rPr>
              <w:t>年</w:t>
            </w:r>
            <w:r w:rsidRPr="00B27A29">
              <w:rPr>
                <w:rFonts w:eastAsiaTheme="minorEastAsia"/>
                <w:color w:val="000000" w:themeColor="text1"/>
                <w:kern w:val="0"/>
                <w:szCs w:val="21"/>
              </w:rPr>
              <w:t>4</w:t>
            </w:r>
            <w:r w:rsidRPr="00B27A29">
              <w:rPr>
                <w:rFonts w:eastAsiaTheme="minorEastAsia"/>
                <w:color w:val="000000" w:themeColor="text1"/>
                <w:kern w:val="0"/>
                <w:szCs w:val="21"/>
              </w:rPr>
              <w:t>月</w:t>
            </w:r>
            <w:r w:rsidRPr="00B27A29">
              <w:rPr>
                <w:rFonts w:eastAsiaTheme="minorEastAsia"/>
                <w:color w:val="000000" w:themeColor="text1"/>
                <w:kern w:val="0"/>
                <w:szCs w:val="21"/>
              </w:rPr>
              <w:t>26</w:t>
            </w:r>
            <w:r w:rsidRPr="00B27A29">
              <w:rPr>
                <w:rFonts w:eastAsiaTheme="minorEastAsia"/>
                <w:color w:val="000000" w:themeColor="text1"/>
                <w:kern w:val="0"/>
                <w:szCs w:val="21"/>
              </w:rPr>
              <w:t>日</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报告期末基金份额总额</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1,085,582,495.69</w:t>
            </w:r>
            <w:r w:rsidRPr="00B27A29">
              <w:rPr>
                <w:rFonts w:eastAsiaTheme="minorEastAsia"/>
                <w:color w:val="000000" w:themeColor="text1"/>
                <w:kern w:val="0"/>
                <w:szCs w:val="21"/>
              </w:rPr>
              <w:t>份</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投资目标</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本基金重点投资高股息、高债息品种，获得稳定的股息与债息收入，同时把握资本利得机会以争取完全收益，力求为投资者创造绝对回报。</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投资策略</w:t>
            </w:r>
          </w:p>
        </w:tc>
        <w:tc>
          <w:tcPr>
            <w:tcW w:w="5479" w:type="dxa"/>
            <w:gridSpan w:val="2"/>
            <w:vAlign w:val="center"/>
          </w:tcPr>
          <w:p w:rsidR="00247969" w:rsidRDefault="00B60399">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本基金兼具红利与平衡基金特色，在借鉴</w:t>
            </w:r>
            <w:r>
              <w:rPr>
                <w:rFonts w:eastAsiaTheme="minorEastAsia"/>
                <w:color w:val="000000" w:themeColor="text1"/>
                <w:kern w:val="0"/>
                <w:szCs w:val="21"/>
              </w:rPr>
              <w:t>JP</w:t>
            </w:r>
            <w:r>
              <w:rPr>
                <w:rFonts w:eastAsiaTheme="minorEastAsia"/>
                <w:color w:val="000000" w:themeColor="text1"/>
                <w:kern w:val="0"/>
                <w:szCs w:val="21"/>
              </w:rPr>
              <w:t>摩根资产管理集团全球行之有效的投资理念基础上，充分结合国内资本</w:t>
            </w:r>
            <w:r>
              <w:rPr>
                <w:rFonts w:eastAsiaTheme="minorEastAsia"/>
                <w:color w:val="000000" w:themeColor="text1"/>
                <w:kern w:val="0"/>
                <w:szCs w:val="21"/>
              </w:rPr>
              <w:lastRenderedPageBreak/>
              <w:t>市场的实际特征，通过严格的证券选择，深入挖掘股息与债息的获利机会，并积极运用战略资产配置（</w:t>
            </w:r>
            <w:r>
              <w:rPr>
                <w:rFonts w:eastAsiaTheme="minorEastAsia"/>
                <w:color w:val="000000" w:themeColor="text1"/>
                <w:kern w:val="0"/>
                <w:szCs w:val="21"/>
              </w:rPr>
              <w:t>SAA</w:t>
            </w:r>
            <w:r>
              <w:rPr>
                <w:rFonts w:eastAsiaTheme="minorEastAsia"/>
                <w:color w:val="000000" w:themeColor="text1"/>
                <w:kern w:val="0"/>
                <w:szCs w:val="21"/>
              </w:rPr>
              <w:t>）和战术资产配置（</w:t>
            </w:r>
            <w:r>
              <w:rPr>
                <w:rFonts w:eastAsiaTheme="minorEastAsia"/>
                <w:color w:val="000000" w:themeColor="text1"/>
                <w:kern w:val="0"/>
                <w:szCs w:val="21"/>
              </w:rPr>
              <w:t>TAA</w:t>
            </w:r>
            <w:r>
              <w:rPr>
                <w:rFonts w:eastAsiaTheme="minorEastAsia"/>
                <w:color w:val="000000" w:themeColor="text1"/>
                <w:kern w:val="0"/>
                <w:szCs w:val="21"/>
              </w:rPr>
              <w:t>）策略，动态优化投资组合，以实现进可攻、退可守的投资布局。在达到预期投资回报后，本基金会适度锁定投资收益，及时调整资产配置比例以保证基金表现持续平稳。</w:t>
            </w:r>
          </w:p>
          <w:p w:rsidR="00247969" w:rsidRDefault="00B60399">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1</w:t>
            </w:r>
            <w:r>
              <w:rPr>
                <w:rFonts w:eastAsiaTheme="minorEastAsia"/>
                <w:color w:val="000000" w:themeColor="text1"/>
                <w:kern w:val="0"/>
                <w:szCs w:val="21"/>
              </w:rPr>
              <w:t>、股票选择策略</w:t>
            </w:r>
          </w:p>
          <w:p w:rsidR="00247969" w:rsidRDefault="00B60399">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w:t>
            </w:r>
            <w:r>
              <w:rPr>
                <w:rFonts w:eastAsiaTheme="minorEastAsia"/>
                <w:color w:val="000000" w:themeColor="text1"/>
                <w:kern w:val="0"/>
                <w:szCs w:val="21"/>
              </w:rPr>
              <w:t>1</w:t>
            </w:r>
            <w:r>
              <w:rPr>
                <w:rFonts w:eastAsiaTheme="minorEastAsia"/>
                <w:color w:val="000000" w:themeColor="text1"/>
                <w:kern w:val="0"/>
                <w:szCs w:val="21"/>
              </w:rPr>
              <w:t>）红利股预筛选。注意考察公司持续盈利能力和分红能力，特别剔除</w:t>
            </w:r>
            <w:r>
              <w:rPr>
                <w:rFonts w:eastAsiaTheme="minorEastAsia"/>
                <w:color w:val="000000" w:themeColor="text1"/>
                <w:kern w:val="0"/>
                <w:szCs w:val="21"/>
              </w:rPr>
              <w:t>“</w:t>
            </w:r>
            <w:r>
              <w:rPr>
                <w:rFonts w:eastAsiaTheme="minorEastAsia"/>
                <w:color w:val="000000" w:themeColor="text1"/>
                <w:kern w:val="0"/>
                <w:szCs w:val="21"/>
              </w:rPr>
              <w:t>超能力现金分红</w:t>
            </w:r>
            <w:r>
              <w:rPr>
                <w:rFonts w:eastAsiaTheme="minorEastAsia"/>
                <w:color w:val="000000" w:themeColor="text1"/>
                <w:kern w:val="0"/>
                <w:szCs w:val="21"/>
              </w:rPr>
              <w:t>”</w:t>
            </w:r>
            <w:r>
              <w:rPr>
                <w:rFonts w:eastAsiaTheme="minorEastAsia"/>
                <w:color w:val="000000" w:themeColor="text1"/>
                <w:kern w:val="0"/>
                <w:szCs w:val="21"/>
              </w:rPr>
              <w:t>的公司。</w:t>
            </w:r>
          </w:p>
          <w:p w:rsidR="00247969" w:rsidRDefault="00B60399">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w:t>
            </w:r>
            <w:r>
              <w:rPr>
                <w:rFonts w:eastAsiaTheme="minorEastAsia"/>
                <w:color w:val="000000" w:themeColor="text1"/>
                <w:kern w:val="0"/>
                <w:szCs w:val="21"/>
              </w:rPr>
              <w:t>2</w:t>
            </w:r>
            <w:r>
              <w:rPr>
                <w:rFonts w:eastAsiaTheme="minorEastAsia"/>
                <w:color w:val="000000" w:themeColor="text1"/>
                <w:kern w:val="0"/>
                <w:szCs w:val="21"/>
              </w:rPr>
              <w:t>）红利股甄别。筛选出现金</w:t>
            </w:r>
            <w:r>
              <w:rPr>
                <w:rFonts w:eastAsiaTheme="minorEastAsia"/>
                <w:color w:val="000000" w:themeColor="text1"/>
                <w:kern w:val="0"/>
                <w:szCs w:val="21"/>
              </w:rPr>
              <w:t>股息率高、分红稳定、行业布局合理的高品质上市公司，最终形成本基金的备选股票池。</w:t>
            </w:r>
          </w:p>
          <w:p w:rsidR="00247969" w:rsidRDefault="00B60399">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w:t>
            </w:r>
            <w:r>
              <w:rPr>
                <w:rFonts w:eastAsiaTheme="minorEastAsia"/>
                <w:color w:val="000000" w:themeColor="text1"/>
                <w:kern w:val="0"/>
                <w:szCs w:val="21"/>
              </w:rPr>
              <w:t>3</w:t>
            </w:r>
            <w:r>
              <w:rPr>
                <w:rFonts w:eastAsiaTheme="minorEastAsia"/>
                <w:color w:val="000000" w:themeColor="text1"/>
                <w:kern w:val="0"/>
                <w:szCs w:val="21"/>
              </w:rPr>
              <w:t>）红利股再调整。为构建核心股票池，以增加投资品种的长期稳定效益。</w:t>
            </w:r>
          </w:p>
          <w:p w:rsidR="00247969" w:rsidRDefault="00B60399">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2</w:t>
            </w:r>
            <w:r>
              <w:rPr>
                <w:rFonts w:eastAsiaTheme="minorEastAsia"/>
                <w:color w:val="000000" w:themeColor="text1"/>
                <w:kern w:val="0"/>
                <w:szCs w:val="21"/>
              </w:rPr>
              <w:t>、固定收益类投资策略</w:t>
            </w:r>
          </w:p>
          <w:p w:rsidR="00247969" w:rsidRDefault="00B60399">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为有效控制股票投资风险，优化组合流动性管理，并显著提高投资组合债息收益，本基金将考虑稳健性资产配置，进行债券、货币市场工具等品种的投资，并主要通过类属配置与券种选择两个层次进行投资管理。</w:t>
            </w:r>
          </w:p>
          <w:p w:rsidR="00247969" w:rsidRDefault="00B60399">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3</w:t>
            </w:r>
            <w:r>
              <w:rPr>
                <w:rFonts w:eastAsiaTheme="minorEastAsia"/>
                <w:color w:val="000000" w:themeColor="text1"/>
                <w:kern w:val="0"/>
                <w:szCs w:val="21"/>
              </w:rPr>
              <w:t>、资产配置策略</w:t>
            </w:r>
          </w:p>
          <w:p w:rsidR="00247969" w:rsidRDefault="00B60399">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本基金将以</w:t>
            </w:r>
            <w:r>
              <w:rPr>
                <w:rFonts w:eastAsiaTheme="minorEastAsia"/>
                <w:color w:val="000000" w:themeColor="text1"/>
                <w:kern w:val="0"/>
                <w:szCs w:val="21"/>
              </w:rPr>
              <w:t>SAA</w:t>
            </w:r>
            <w:r>
              <w:rPr>
                <w:rFonts w:eastAsiaTheme="minorEastAsia"/>
                <w:color w:val="000000" w:themeColor="text1"/>
                <w:kern w:val="0"/>
                <w:szCs w:val="21"/>
              </w:rPr>
              <w:t>资产配置策略为基准，更侧重运用</w:t>
            </w:r>
            <w:r>
              <w:rPr>
                <w:rFonts w:eastAsiaTheme="minorEastAsia"/>
                <w:color w:val="000000" w:themeColor="text1"/>
                <w:kern w:val="0"/>
                <w:szCs w:val="21"/>
              </w:rPr>
              <w:t>TAA</w:t>
            </w:r>
            <w:r>
              <w:rPr>
                <w:rFonts w:eastAsiaTheme="minorEastAsia"/>
                <w:color w:val="000000" w:themeColor="text1"/>
                <w:kern w:val="0"/>
                <w:szCs w:val="21"/>
              </w:rPr>
              <w:t>资产配置策略，积极构建稳健型投资组合。</w:t>
            </w:r>
          </w:p>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4</w:t>
            </w:r>
            <w:r w:rsidRPr="00B27A29">
              <w:rPr>
                <w:rFonts w:eastAsiaTheme="minorEastAsia"/>
                <w:color w:val="000000" w:themeColor="text1"/>
                <w:kern w:val="0"/>
                <w:szCs w:val="21"/>
              </w:rPr>
              <w:t>、其他投资策略：包括存托凭证投资策略。</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lastRenderedPageBreak/>
              <w:t>业绩比较基准</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中证红利指数收益率</w:t>
            </w:r>
            <w:r w:rsidRPr="00B27A29">
              <w:rPr>
                <w:rFonts w:eastAsiaTheme="minorEastAsia"/>
                <w:color w:val="000000" w:themeColor="text1"/>
                <w:kern w:val="0"/>
                <w:szCs w:val="21"/>
              </w:rPr>
              <w:t>×45%+</w:t>
            </w:r>
            <w:r w:rsidRPr="00B27A29">
              <w:rPr>
                <w:rFonts w:eastAsiaTheme="minorEastAsia"/>
                <w:color w:val="000000" w:themeColor="text1"/>
                <w:kern w:val="0"/>
                <w:szCs w:val="21"/>
              </w:rPr>
              <w:t>中债总指数收益率</w:t>
            </w:r>
            <w:r w:rsidRPr="00B27A29">
              <w:rPr>
                <w:rFonts w:eastAsiaTheme="minorEastAsia"/>
                <w:color w:val="000000" w:themeColor="text1"/>
                <w:kern w:val="0"/>
                <w:szCs w:val="21"/>
              </w:rPr>
              <w:t>×55%</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风险收益特征</w:t>
            </w:r>
          </w:p>
        </w:tc>
        <w:tc>
          <w:tcPr>
            <w:tcW w:w="5479" w:type="dxa"/>
            <w:gridSpan w:val="2"/>
            <w:vAlign w:val="center"/>
          </w:tcPr>
          <w:p w:rsidR="00247969" w:rsidRDefault="00B60399">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本基金是混合型证券投资基金，主要投资于红利股及相似条件下到期收益率较高的优良债券品种，风险高于债券基金和货币市场基金，低于股票基金，属于中低风险的证券投资基金产品。</w:t>
            </w:r>
          </w:p>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lastRenderedPageBreak/>
              <w:t>根据</w:t>
            </w:r>
            <w:r w:rsidRPr="00B27A29">
              <w:rPr>
                <w:rFonts w:eastAsiaTheme="minorEastAsia"/>
                <w:color w:val="000000" w:themeColor="text1"/>
                <w:kern w:val="0"/>
                <w:szCs w:val="21"/>
              </w:rPr>
              <w:t>2017</w:t>
            </w:r>
            <w:r w:rsidRPr="00B27A29">
              <w:rPr>
                <w:rFonts w:eastAsiaTheme="minorEastAsia"/>
                <w:color w:val="000000" w:themeColor="text1"/>
                <w:kern w:val="0"/>
                <w:szCs w:val="21"/>
              </w:rPr>
              <w:t>年</w:t>
            </w:r>
            <w:r w:rsidRPr="00B27A29">
              <w:rPr>
                <w:rFonts w:eastAsiaTheme="minorEastAsia"/>
                <w:color w:val="000000" w:themeColor="text1"/>
                <w:kern w:val="0"/>
                <w:szCs w:val="21"/>
              </w:rPr>
              <w:t>7</w:t>
            </w:r>
            <w:r w:rsidRPr="00B27A29">
              <w:rPr>
                <w:rFonts w:eastAsiaTheme="minorEastAsia"/>
                <w:color w:val="000000" w:themeColor="text1"/>
                <w:kern w:val="0"/>
                <w:szCs w:val="21"/>
              </w:rPr>
              <w:t>月</w:t>
            </w:r>
            <w:r w:rsidRPr="00B27A29">
              <w:rPr>
                <w:rFonts w:eastAsiaTheme="minorEastAsia"/>
                <w:color w:val="000000" w:themeColor="text1"/>
                <w:kern w:val="0"/>
                <w:szCs w:val="21"/>
              </w:rPr>
              <w:t>1</w:t>
            </w:r>
            <w:r w:rsidRPr="00B27A29">
              <w:rPr>
                <w:rFonts w:eastAsiaTheme="minorEastAsia"/>
                <w:color w:val="000000" w:themeColor="text1"/>
                <w:kern w:val="0"/>
                <w:szCs w:val="21"/>
              </w:rPr>
              <w:t>日施行的《证券期货投资者适当性管理办法》，基金管理人和相关销售机构已对本基金重新进行风险评级，风险评级行为不改变本基金的实质性风险收益特征，但由于风险等级分类标准的变化，本基金的风险等级表述可能有相应变化，具体风险评级结果应以基金管理人和销售机构提供的评级结果为准。</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lastRenderedPageBreak/>
              <w:t>基金管理人</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上投摩根基金管理有限公司</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基金托管人</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中国建设银行股份有限公司</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szCs w:val="21"/>
              </w:rPr>
              <w:t>下属分级基金的基金简称</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上投摩根双息平衡混合</w:t>
            </w:r>
            <w:r w:rsidRPr="00B27A29">
              <w:rPr>
                <w:rFonts w:eastAsiaTheme="minorEastAsia"/>
                <w:color w:val="000000" w:themeColor="text1"/>
                <w:szCs w:val="21"/>
              </w:rPr>
              <w:t>A</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上投摩根双息平衡混合</w:t>
            </w:r>
            <w:r w:rsidRPr="00B27A29">
              <w:rPr>
                <w:rFonts w:eastAsiaTheme="minorEastAsia"/>
                <w:color w:val="000000" w:themeColor="text1"/>
                <w:szCs w:val="21"/>
              </w:rPr>
              <w:t>H</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szCs w:val="21"/>
              </w:rPr>
              <w:t>下属分级基金的交易代码</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373010</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960005</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szCs w:val="21"/>
              </w:rPr>
              <w:t>报告期末下属分级基金的份额总额</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1,084,717,643.97</w:t>
            </w:r>
            <w:r w:rsidRPr="00B27A29">
              <w:rPr>
                <w:rFonts w:eastAsiaTheme="minorEastAsia"/>
                <w:color w:val="000000" w:themeColor="text1"/>
                <w:kern w:val="0"/>
                <w:szCs w:val="21"/>
              </w:rPr>
              <w:t>份</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864,851.72</w:t>
            </w:r>
            <w:r w:rsidRPr="00B27A29">
              <w:rPr>
                <w:rFonts w:eastAsiaTheme="minorEastAsia"/>
                <w:color w:val="000000" w:themeColor="text1"/>
                <w:kern w:val="0"/>
                <w:szCs w:val="21"/>
              </w:rPr>
              <w:t>份</w:t>
            </w:r>
          </w:p>
        </w:tc>
      </w:tr>
    </w:tbl>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§3  </w:t>
      </w:r>
      <w:r w:rsidRPr="00B27A29">
        <w:rPr>
          <w:rFonts w:eastAsiaTheme="minorEastAsia"/>
          <w:color w:val="000000" w:themeColor="text1"/>
          <w:kern w:val="0"/>
          <w:sz w:val="21"/>
          <w:szCs w:val="21"/>
        </w:rPr>
        <w:t>主要财务指标和基金净值表现</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3.1 </w:t>
      </w:r>
      <w:r w:rsidRPr="00B27A29">
        <w:rPr>
          <w:rFonts w:eastAsiaTheme="minorEastAsia"/>
          <w:b/>
          <w:color w:val="000000" w:themeColor="text1"/>
          <w:kern w:val="0"/>
          <w:szCs w:val="21"/>
        </w:rPr>
        <w:t>主要财务指标</w:t>
      </w:r>
    </w:p>
    <w:p w:rsidR="005E6DF3" w:rsidRPr="00B27A29" w:rsidRDefault="005C671B">
      <w:pPr>
        <w:autoSpaceDE w:val="0"/>
        <w:autoSpaceDN w:val="0"/>
        <w:adjustRightInd w:val="0"/>
        <w:spacing w:before="29" w:line="288" w:lineRule="auto"/>
        <w:ind w:left="15" w:right="480"/>
        <w:jc w:val="right"/>
        <w:rPr>
          <w:rFonts w:eastAsiaTheme="minorEastAsia"/>
          <w:color w:val="000000" w:themeColor="text1"/>
          <w:kern w:val="0"/>
          <w:szCs w:val="21"/>
        </w:rPr>
      </w:pPr>
      <w:r w:rsidRPr="00B27A29">
        <w:rPr>
          <w:rFonts w:eastAsiaTheme="minorEastAsia"/>
          <w:color w:val="000000" w:themeColor="text1"/>
          <w:kern w:val="0"/>
          <w:szCs w:val="21"/>
        </w:rPr>
        <w:t>单位：人民币元</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2481"/>
        <w:gridCol w:w="2481"/>
      </w:tblGrid>
      <w:tr w:rsidR="005E6DF3" w:rsidRPr="00B27A29">
        <w:tc>
          <w:tcPr>
            <w:tcW w:w="3402" w:type="dxa"/>
            <w:vMerge w:val="restart"/>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主要财务指标</w:t>
            </w:r>
          </w:p>
        </w:tc>
        <w:tc>
          <w:tcPr>
            <w:tcW w:w="4962" w:type="dxa"/>
            <w:gridSpan w:val="2"/>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报告期</w:t>
            </w:r>
          </w:p>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(2021</w:t>
            </w:r>
            <w:r w:rsidRPr="00B27A29">
              <w:rPr>
                <w:rFonts w:eastAsiaTheme="minorEastAsia"/>
                <w:color w:val="000000" w:themeColor="text1"/>
                <w:szCs w:val="21"/>
              </w:rPr>
              <w:t>年</w:t>
            </w:r>
            <w:r w:rsidRPr="00B27A29">
              <w:rPr>
                <w:rFonts w:eastAsiaTheme="minorEastAsia"/>
                <w:color w:val="000000" w:themeColor="text1"/>
                <w:szCs w:val="21"/>
              </w:rPr>
              <w:t>7</w:t>
            </w:r>
            <w:r w:rsidRPr="00B27A29">
              <w:rPr>
                <w:rFonts w:eastAsiaTheme="minorEastAsia"/>
                <w:color w:val="000000" w:themeColor="text1"/>
                <w:szCs w:val="21"/>
              </w:rPr>
              <w:t>月</w:t>
            </w:r>
            <w:r w:rsidRPr="00B27A29">
              <w:rPr>
                <w:rFonts w:eastAsiaTheme="minorEastAsia"/>
                <w:color w:val="000000" w:themeColor="text1"/>
                <w:szCs w:val="21"/>
              </w:rPr>
              <w:t>1</w:t>
            </w:r>
            <w:r w:rsidRPr="00B27A29">
              <w:rPr>
                <w:rFonts w:eastAsiaTheme="minorEastAsia"/>
                <w:color w:val="000000" w:themeColor="text1"/>
                <w:szCs w:val="21"/>
              </w:rPr>
              <w:t>日</w:t>
            </w:r>
            <w:r w:rsidRPr="00B27A29">
              <w:rPr>
                <w:rFonts w:eastAsiaTheme="minorEastAsia"/>
                <w:color w:val="000000" w:themeColor="text1"/>
                <w:szCs w:val="21"/>
              </w:rPr>
              <w:t>-2021</w:t>
            </w:r>
            <w:r w:rsidRPr="00B27A29">
              <w:rPr>
                <w:rFonts w:eastAsiaTheme="minorEastAsia"/>
                <w:color w:val="000000" w:themeColor="text1"/>
                <w:szCs w:val="21"/>
              </w:rPr>
              <w:t>年</w:t>
            </w:r>
            <w:r w:rsidRPr="00B27A29">
              <w:rPr>
                <w:rFonts w:eastAsiaTheme="minorEastAsia"/>
                <w:color w:val="000000" w:themeColor="text1"/>
                <w:szCs w:val="21"/>
              </w:rPr>
              <w:t>9</w:t>
            </w:r>
            <w:r w:rsidRPr="00B27A29">
              <w:rPr>
                <w:rFonts w:eastAsiaTheme="minorEastAsia"/>
                <w:color w:val="000000" w:themeColor="text1"/>
                <w:szCs w:val="21"/>
              </w:rPr>
              <w:t>月</w:t>
            </w:r>
            <w:r w:rsidRPr="00B27A29">
              <w:rPr>
                <w:rFonts w:eastAsiaTheme="minorEastAsia"/>
                <w:color w:val="000000" w:themeColor="text1"/>
                <w:szCs w:val="21"/>
              </w:rPr>
              <w:t>30</w:t>
            </w:r>
            <w:r w:rsidRPr="00B27A29">
              <w:rPr>
                <w:rFonts w:eastAsiaTheme="minorEastAsia"/>
                <w:color w:val="000000" w:themeColor="text1"/>
                <w:szCs w:val="21"/>
              </w:rPr>
              <w:t>日</w:t>
            </w:r>
            <w:r w:rsidRPr="00B27A29">
              <w:rPr>
                <w:rFonts w:eastAsiaTheme="minorEastAsia"/>
                <w:color w:val="000000" w:themeColor="text1"/>
                <w:szCs w:val="21"/>
              </w:rPr>
              <w:t>)</w:t>
            </w:r>
          </w:p>
        </w:tc>
      </w:tr>
      <w:tr w:rsidR="005E6DF3" w:rsidRPr="00B27A29">
        <w:tc>
          <w:tcPr>
            <w:tcW w:w="3402" w:type="dxa"/>
            <w:vMerge/>
            <w:vAlign w:val="center"/>
          </w:tcPr>
          <w:p w:rsidR="005E6DF3" w:rsidRPr="00B27A29" w:rsidRDefault="005E6DF3">
            <w:pPr>
              <w:adjustRightInd w:val="0"/>
              <w:spacing w:before="29" w:line="360" w:lineRule="auto"/>
              <w:ind w:left="17"/>
              <w:rPr>
                <w:rFonts w:eastAsiaTheme="minorEastAsia"/>
                <w:color w:val="000000" w:themeColor="text1"/>
                <w:kern w:val="0"/>
                <w:szCs w:val="21"/>
              </w:rPr>
            </w:pPr>
          </w:p>
        </w:tc>
        <w:tc>
          <w:tcPr>
            <w:tcW w:w="2481" w:type="dxa"/>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上投摩根双息平衡混合</w:t>
            </w:r>
            <w:r w:rsidRPr="00B27A29">
              <w:rPr>
                <w:rFonts w:eastAsiaTheme="minorEastAsia"/>
                <w:color w:val="000000" w:themeColor="text1"/>
                <w:szCs w:val="21"/>
              </w:rPr>
              <w:t>A</w:t>
            </w:r>
          </w:p>
        </w:tc>
        <w:tc>
          <w:tcPr>
            <w:tcW w:w="2481" w:type="dxa"/>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上投摩根双息平衡混合</w:t>
            </w:r>
            <w:r w:rsidRPr="00B27A29">
              <w:rPr>
                <w:rFonts w:eastAsiaTheme="minorEastAsia"/>
                <w:color w:val="000000" w:themeColor="text1"/>
                <w:szCs w:val="21"/>
              </w:rPr>
              <w:t>H</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1.</w:t>
            </w:r>
            <w:r w:rsidRPr="00B27A29">
              <w:rPr>
                <w:rFonts w:eastAsiaTheme="minorEastAsia"/>
                <w:color w:val="000000" w:themeColor="text1"/>
                <w:kern w:val="0"/>
                <w:szCs w:val="21"/>
              </w:rPr>
              <w:t>本期已实现收益</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27,832,340.12</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19,642.27</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2.</w:t>
            </w:r>
            <w:r w:rsidRPr="00B27A29">
              <w:rPr>
                <w:rFonts w:eastAsiaTheme="minorEastAsia"/>
                <w:color w:val="000000" w:themeColor="text1"/>
                <w:kern w:val="0"/>
                <w:szCs w:val="21"/>
              </w:rPr>
              <w:t>本期利润</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33,233,966.00</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10,074.15</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3.</w:t>
            </w:r>
            <w:r w:rsidRPr="00B27A29">
              <w:rPr>
                <w:rFonts w:eastAsiaTheme="minorEastAsia"/>
                <w:color w:val="000000" w:themeColor="text1"/>
                <w:kern w:val="0"/>
                <w:szCs w:val="21"/>
              </w:rPr>
              <w:t>加权平均基金份额本期利润</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0.0299</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0.0158</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4.</w:t>
            </w:r>
            <w:r w:rsidRPr="00B27A29">
              <w:rPr>
                <w:rFonts w:eastAsiaTheme="minorEastAsia"/>
                <w:color w:val="000000" w:themeColor="text1"/>
                <w:kern w:val="0"/>
                <w:szCs w:val="21"/>
              </w:rPr>
              <w:t>期末基金资产净值</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1,040,718,523.59</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833,788.67</w:t>
            </w:r>
          </w:p>
        </w:tc>
      </w:tr>
      <w:tr w:rsidR="005E6DF3" w:rsidRPr="00B27A29">
        <w:trPr>
          <w:trHeight w:val="158"/>
        </w:trPr>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5.</w:t>
            </w:r>
            <w:r w:rsidRPr="00B27A29">
              <w:rPr>
                <w:rFonts w:eastAsiaTheme="minorEastAsia"/>
                <w:color w:val="000000" w:themeColor="text1"/>
                <w:kern w:val="0"/>
                <w:szCs w:val="21"/>
              </w:rPr>
              <w:t>期末基金份额净值</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0.9594</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0.9641</w:t>
            </w:r>
          </w:p>
        </w:tc>
      </w:tr>
    </w:tbl>
    <w:p w:rsidR="00247969" w:rsidRDefault="00B60399">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注：本期已实现收益指基金本期利息收入、投资收益、其他收入</w:t>
      </w:r>
      <w:r>
        <w:rPr>
          <w:rFonts w:eastAsiaTheme="minorEastAsia"/>
          <w:color w:val="000000" w:themeColor="text1"/>
          <w:szCs w:val="21"/>
        </w:rPr>
        <w:t>(</w:t>
      </w:r>
      <w:r>
        <w:rPr>
          <w:rFonts w:eastAsiaTheme="minorEastAsia"/>
          <w:color w:val="000000" w:themeColor="text1"/>
          <w:szCs w:val="21"/>
        </w:rPr>
        <w:t>不含公允价值变动收益</w:t>
      </w:r>
      <w:r>
        <w:rPr>
          <w:rFonts w:eastAsiaTheme="minorEastAsia"/>
          <w:color w:val="000000" w:themeColor="text1"/>
          <w:szCs w:val="21"/>
        </w:rPr>
        <w:t>)</w:t>
      </w:r>
      <w:r>
        <w:rPr>
          <w:rFonts w:eastAsiaTheme="minorEastAsia"/>
          <w:color w:val="000000" w:themeColor="text1"/>
          <w:szCs w:val="21"/>
        </w:rPr>
        <w:t>扣除相关费用后的余额，本期利润为本期已实现收益加上本期公允价值变动收益。</w:t>
      </w:r>
      <w:r>
        <w:rPr>
          <w:rFonts w:eastAsiaTheme="minorEastAsia"/>
          <w:color w:val="000000" w:themeColor="text1"/>
          <w:szCs w:val="21"/>
        </w:rPr>
        <w:t xml:space="preserve"> </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上述基金业绩指标不包括持有人认购或交易基金的各项费用（例如，开放式基金的申购赎回</w:t>
      </w:r>
      <w:r w:rsidRPr="00B27A29">
        <w:rPr>
          <w:rFonts w:eastAsiaTheme="minorEastAsia"/>
          <w:color w:val="000000" w:themeColor="text1"/>
          <w:szCs w:val="21"/>
        </w:rPr>
        <w:lastRenderedPageBreak/>
        <w:t>费、红利再投资费、基金转换费等），计入费用后实际收益水平要低于所列数字。</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3.2 </w:t>
      </w:r>
      <w:r w:rsidRPr="00B27A29">
        <w:rPr>
          <w:rFonts w:eastAsiaTheme="minorEastAsia"/>
          <w:b/>
          <w:color w:val="000000" w:themeColor="text1"/>
          <w:kern w:val="0"/>
          <w:szCs w:val="21"/>
        </w:rPr>
        <w:t>基金净值表现</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3.2.1</w:t>
      </w:r>
      <w:r w:rsidRPr="00B27A29">
        <w:rPr>
          <w:rFonts w:eastAsiaTheme="minorEastAsia"/>
          <w:b/>
          <w:color w:val="000000" w:themeColor="text1"/>
          <w:kern w:val="0"/>
          <w:szCs w:val="21"/>
        </w:rPr>
        <w:t>本报告期基金份额净值增长率及其与同期业绩比较基准收益率的比较</w:t>
      </w:r>
    </w:p>
    <w:p w:rsidR="005E6DF3" w:rsidRPr="00B27A29" w:rsidRDefault="005C671B">
      <w:pPr>
        <w:spacing w:line="360" w:lineRule="auto"/>
        <w:rPr>
          <w:rFonts w:eastAsiaTheme="minorEastAsia"/>
          <w:b/>
          <w:color w:val="000000" w:themeColor="text1"/>
          <w:szCs w:val="21"/>
        </w:rPr>
      </w:pPr>
      <w:r w:rsidRPr="00B27A29">
        <w:rPr>
          <w:rFonts w:eastAsiaTheme="minorEastAsia"/>
          <w:b/>
          <w:color w:val="000000" w:themeColor="text1"/>
          <w:szCs w:val="21"/>
        </w:rPr>
        <w:t>1</w:t>
      </w:r>
      <w:r w:rsidRPr="00B27A29">
        <w:rPr>
          <w:rFonts w:eastAsiaTheme="minorEastAsia"/>
          <w:b/>
          <w:color w:val="000000" w:themeColor="text1"/>
          <w:szCs w:val="21"/>
        </w:rPr>
        <w:t>、</w:t>
      </w:r>
      <w:r w:rsidRPr="00B27A29">
        <w:rPr>
          <w:rFonts w:eastAsiaTheme="minorEastAsia"/>
          <w:b/>
          <w:color w:val="000000" w:themeColor="text1"/>
          <w:kern w:val="0"/>
          <w:szCs w:val="21"/>
        </w:rPr>
        <w:t>上投摩根双息平衡混合</w:t>
      </w:r>
      <w:r w:rsidRPr="00B27A29">
        <w:rPr>
          <w:rFonts w:eastAsiaTheme="minorEastAsia"/>
          <w:b/>
          <w:color w:val="000000" w:themeColor="text1"/>
          <w:kern w:val="0"/>
          <w:szCs w:val="21"/>
        </w:rPr>
        <w:t>A</w:t>
      </w:r>
      <w:r w:rsidRPr="00B27A29">
        <w:rPr>
          <w:rFonts w:eastAsiaTheme="minorEastAsia"/>
          <w:b/>
          <w:color w:val="000000" w:themeColor="text1"/>
          <w:szCs w:val="21"/>
        </w:rPr>
        <w:t>：</w:t>
      </w:r>
    </w:p>
    <w:tbl>
      <w:tblPr>
        <w:tblStyle w:val="afa"/>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5E6DF3" w:rsidRPr="00B27A29">
        <w:tc>
          <w:tcPr>
            <w:tcW w:w="1290"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阶段</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净值增长率</w:t>
            </w:r>
            <w:r w:rsidRPr="00B27A29">
              <w:rPr>
                <w:rFonts w:ascii="宋体" w:hAnsi="宋体" w:cs="宋体" w:hint="eastAsia"/>
                <w:color w:val="000000" w:themeColor="text1"/>
                <w:szCs w:val="21"/>
              </w:rPr>
              <w:t>①</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净值增长率标准差</w:t>
            </w:r>
            <w:r w:rsidRPr="00B27A29">
              <w:rPr>
                <w:rFonts w:ascii="宋体" w:hAnsi="宋体" w:cs="宋体" w:hint="eastAsia"/>
                <w:color w:val="000000" w:themeColor="text1"/>
                <w:szCs w:val="21"/>
              </w:rPr>
              <w:t>②</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业绩比较基准收益率标准差</w:t>
            </w:r>
            <w:r w:rsidRPr="00B27A29">
              <w:rPr>
                <w:rFonts w:ascii="宋体" w:hAnsi="宋体" w:cs="宋体" w:hint="eastAsia"/>
                <w:color w:val="000000" w:themeColor="text1"/>
                <w:szCs w:val="21"/>
              </w:rPr>
              <w:t>④</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①</w:t>
            </w:r>
            <w:r w:rsidRPr="00B27A29">
              <w:rPr>
                <w:rFonts w:eastAsiaTheme="minorEastAsia"/>
                <w:color w:val="000000" w:themeColor="text1"/>
                <w:szCs w:val="21"/>
              </w:rPr>
              <w:t>－</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②</w:t>
            </w:r>
            <w:r w:rsidRPr="00B27A29">
              <w:rPr>
                <w:rFonts w:eastAsiaTheme="minorEastAsia"/>
                <w:color w:val="000000" w:themeColor="text1"/>
                <w:szCs w:val="21"/>
              </w:rPr>
              <w:t>－</w:t>
            </w:r>
            <w:r w:rsidRPr="00B27A29">
              <w:rPr>
                <w:rFonts w:ascii="宋体" w:hAnsi="宋体" w:cs="宋体" w:hint="eastAsia"/>
                <w:color w:val="000000" w:themeColor="text1"/>
                <w:szCs w:val="21"/>
              </w:rPr>
              <w:t>④</w:t>
            </w:r>
          </w:p>
        </w:tc>
      </w:tr>
      <w:tr w:rsidR="00247969">
        <w:tc>
          <w:tcPr>
            <w:tcW w:w="1290" w:type="dxa"/>
            <w:vAlign w:val="center"/>
          </w:tcPr>
          <w:p w:rsidR="00247969" w:rsidRDefault="00B60399">
            <w:pPr>
              <w:jc w:val="left"/>
            </w:pPr>
            <w:r>
              <w:rPr>
                <w:rFonts w:eastAsiaTheme="minorEastAsia"/>
                <w:color w:val="000000" w:themeColor="text1"/>
                <w:szCs w:val="21"/>
              </w:rPr>
              <w:t>过去三个月</w:t>
            </w:r>
          </w:p>
        </w:tc>
        <w:tc>
          <w:tcPr>
            <w:tcW w:w="1291" w:type="dxa"/>
            <w:vAlign w:val="center"/>
          </w:tcPr>
          <w:p w:rsidR="00247969" w:rsidRDefault="00B60399">
            <w:pPr>
              <w:jc w:val="right"/>
            </w:pPr>
            <w:r>
              <w:rPr>
                <w:rFonts w:eastAsiaTheme="minorEastAsia"/>
                <w:color w:val="000000" w:themeColor="text1"/>
                <w:szCs w:val="21"/>
              </w:rPr>
              <w:t>2.98%</w:t>
            </w:r>
          </w:p>
        </w:tc>
        <w:tc>
          <w:tcPr>
            <w:tcW w:w="1291" w:type="dxa"/>
            <w:vAlign w:val="center"/>
          </w:tcPr>
          <w:p w:rsidR="00247969" w:rsidRDefault="00B60399">
            <w:pPr>
              <w:jc w:val="right"/>
            </w:pPr>
            <w:r>
              <w:rPr>
                <w:rFonts w:eastAsiaTheme="minorEastAsia"/>
                <w:color w:val="000000" w:themeColor="text1"/>
                <w:szCs w:val="21"/>
              </w:rPr>
              <w:t>1.29%</w:t>
            </w:r>
          </w:p>
        </w:tc>
        <w:tc>
          <w:tcPr>
            <w:tcW w:w="1291" w:type="dxa"/>
            <w:vAlign w:val="center"/>
          </w:tcPr>
          <w:p w:rsidR="00247969" w:rsidRDefault="00B60399">
            <w:pPr>
              <w:jc w:val="right"/>
            </w:pPr>
            <w:r>
              <w:rPr>
                <w:rFonts w:eastAsiaTheme="minorEastAsia"/>
                <w:color w:val="000000" w:themeColor="text1"/>
                <w:szCs w:val="21"/>
              </w:rPr>
              <w:t>1.49%</w:t>
            </w:r>
          </w:p>
        </w:tc>
        <w:tc>
          <w:tcPr>
            <w:tcW w:w="1291" w:type="dxa"/>
            <w:vAlign w:val="center"/>
          </w:tcPr>
          <w:p w:rsidR="00247969" w:rsidRDefault="00B60399">
            <w:pPr>
              <w:jc w:val="right"/>
            </w:pPr>
            <w:r>
              <w:rPr>
                <w:rFonts w:eastAsiaTheme="minorEastAsia"/>
                <w:color w:val="000000" w:themeColor="text1"/>
                <w:szCs w:val="21"/>
              </w:rPr>
              <w:t>0.60%</w:t>
            </w:r>
          </w:p>
        </w:tc>
        <w:tc>
          <w:tcPr>
            <w:tcW w:w="1291" w:type="dxa"/>
            <w:vAlign w:val="center"/>
          </w:tcPr>
          <w:p w:rsidR="00247969" w:rsidRDefault="00B60399">
            <w:pPr>
              <w:jc w:val="right"/>
            </w:pPr>
            <w:r>
              <w:rPr>
                <w:rFonts w:eastAsiaTheme="minorEastAsia"/>
                <w:color w:val="000000" w:themeColor="text1"/>
                <w:szCs w:val="21"/>
              </w:rPr>
              <w:t>1.49%</w:t>
            </w:r>
          </w:p>
        </w:tc>
        <w:tc>
          <w:tcPr>
            <w:tcW w:w="1291" w:type="dxa"/>
            <w:vAlign w:val="center"/>
          </w:tcPr>
          <w:p w:rsidR="00247969" w:rsidRDefault="00B60399">
            <w:pPr>
              <w:jc w:val="right"/>
            </w:pPr>
            <w:r>
              <w:rPr>
                <w:rFonts w:eastAsiaTheme="minorEastAsia"/>
                <w:color w:val="000000" w:themeColor="text1"/>
                <w:szCs w:val="21"/>
              </w:rPr>
              <w:t>0.69%</w:t>
            </w:r>
          </w:p>
        </w:tc>
      </w:tr>
      <w:tr w:rsidR="00247969">
        <w:tc>
          <w:tcPr>
            <w:tcW w:w="1290" w:type="dxa"/>
            <w:vAlign w:val="center"/>
          </w:tcPr>
          <w:p w:rsidR="00247969" w:rsidRDefault="00B60399">
            <w:pPr>
              <w:jc w:val="left"/>
            </w:pPr>
            <w:r>
              <w:rPr>
                <w:rFonts w:eastAsiaTheme="minorEastAsia"/>
                <w:color w:val="000000" w:themeColor="text1"/>
                <w:szCs w:val="21"/>
              </w:rPr>
              <w:t>过去六个月</w:t>
            </w:r>
          </w:p>
        </w:tc>
        <w:tc>
          <w:tcPr>
            <w:tcW w:w="1291" w:type="dxa"/>
            <w:vAlign w:val="center"/>
          </w:tcPr>
          <w:p w:rsidR="00247969" w:rsidRDefault="00B60399">
            <w:pPr>
              <w:jc w:val="right"/>
            </w:pPr>
            <w:r>
              <w:rPr>
                <w:rFonts w:eastAsiaTheme="minorEastAsia"/>
                <w:color w:val="000000" w:themeColor="text1"/>
                <w:szCs w:val="21"/>
              </w:rPr>
              <w:t>4.66%</w:t>
            </w:r>
          </w:p>
        </w:tc>
        <w:tc>
          <w:tcPr>
            <w:tcW w:w="1291" w:type="dxa"/>
            <w:vAlign w:val="center"/>
          </w:tcPr>
          <w:p w:rsidR="00247969" w:rsidRDefault="00B60399">
            <w:pPr>
              <w:jc w:val="right"/>
            </w:pPr>
            <w:r>
              <w:rPr>
                <w:rFonts w:eastAsiaTheme="minorEastAsia"/>
                <w:color w:val="000000" w:themeColor="text1"/>
                <w:szCs w:val="21"/>
              </w:rPr>
              <w:t>1.02%</w:t>
            </w:r>
          </w:p>
        </w:tc>
        <w:tc>
          <w:tcPr>
            <w:tcW w:w="1291" w:type="dxa"/>
            <w:vAlign w:val="center"/>
          </w:tcPr>
          <w:p w:rsidR="00247969" w:rsidRDefault="00B60399">
            <w:pPr>
              <w:jc w:val="right"/>
            </w:pPr>
            <w:r>
              <w:rPr>
                <w:rFonts w:eastAsiaTheme="minorEastAsia"/>
                <w:color w:val="000000" w:themeColor="text1"/>
                <w:szCs w:val="21"/>
              </w:rPr>
              <w:t>4.84%</w:t>
            </w:r>
          </w:p>
        </w:tc>
        <w:tc>
          <w:tcPr>
            <w:tcW w:w="1291" w:type="dxa"/>
            <w:vAlign w:val="center"/>
          </w:tcPr>
          <w:p w:rsidR="00247969" w:rsidRDefault="00B60399">
            <w:pPr>
              <w:jc w:val="right"/>
            </w:pPr>
            <w:r>
              <w:rPr>
                <w:rFonts w:eastAsiaTheme="minorEastAsia"/>
                <w:color w:val="000000" w:themeColor="text1"/>
                <w:szCs w:val="21"/>
              </w:rPr>
              <w:t>0.48%</w:t>
            </w:r>
          </w:p>
        </w:tc>
        <w:tc>
          <w:tcPr>
            <w:tcW w:w="1291" w:type="dxa"/>
            <w:vAlign w:val="center"/>
          </w:tcPr>
          <w:p w:rsidR="00247969" w:rsidRDefault="00B60399">
            <w:pPr>
              <w:jc w:val="right"/>
            </w:pPr>
            <w:r>
              <w:rPr>
                <w:rFonts w:eastAsiaTheme="minorEastAsia"/>
                <w:color w:val="000000" w:themeColor="text1"/>
                <w:szCs w:val="21"/>
              </w:rPr>
              <w:t>-0.18%</w:t>
            </w:r>
          </w:p>
        </w:tc>
        <w:tc>
          <w:tcPr>
            <w:tcW w:w="1291" w:type="dxa"/>
            <w:vAlign w:val="center"/>
          </w:tcPr>
          <w:p w:rsidR="00247969" w:rsidRDefault="00B60399">
            <w:pPr>
              <w:jc w:val="right"/>
            </w:pPr>
            <w:r>
              <w:rPr>
                <w:rFonts w:eastAsiaTheme="minorEastAsia"/>
                <w:color w:val="000000" w:themeColor="text1"/>
                <w:szCs w:val="21"/>
              </w:rPr>
              <w:t>0.54%</w:t>
            </w:r>
          </w:p>
        </w:tc>
      </w:tr>
      <w:tr w:rsidR="00247969">
        <w:tc>
          <w:tcPr>
            <w:tcW w:w="1290" w:type="dxa"/>
            <w:vAlign w:val="center"/>
          </w:tcPr>
          <w:p w:rsidR="00247969" w:rsidRDefault="00B60399">
            <w:pPr>
              <w:jc w:val="left"/>
            </w:pPr>
            <w:r>
              <w:rPr>
                <w:rFonts w:eastAsiaTheme="minorEastAsia"/>
                <w:color w:val="000000" w:themeColor="text1"/>
                <w:szCs w:val="21"/>
              </w:rPr>
              <w:t>过去一年</w:t>
            </w:r>
          </w:p>
        </w:tc>
        <w:tc>
          <w:tcPr>
            <w:tcW w:w="1291" w:type="dxa"/>
            <w:vAlign w:val="center"/>
          </w:tcPr>
          <w:p w:rsidR="00247969" w:rsidRDefault="00B60399">
            <w:pPr>
              <w:jc w:val="right"/>
            </w:pPr>
            <w:r>
              <w:rPr>
                <w:rFonts w:eastAsiaTheme="minorEastAsia"/>
                <w:color w:val="000000" w:themeColor="text1"/>
                <w:szCs w:val="21"/>
              </w:rPr>
              <w:t>14.20%</w:t>
            </w:r>
          </w:p>
        </w:tc>
        <w:tc>
          <w:tcPr>
            <w:tcW w:w="1291" w:type="dxa"/>
            <w:vAlign w:val="center"/>
          </w:tcPr>
          <w:p w:rsidR="00247969" w:rsidRDefault="00B60399">
            <w:pPr>
              <w:jc w:val="right"/>
            </w:pPr>
            <w:r>
              <w:rPr>
                <w:rFonts w:eastAsiaTheme="minorEastAsia"/>
                <w:color w:val="000000" w:themeColor="text1"/>
                <w:szCs w:val="21"/>
              </w:rPr>
              <w:t>1.03%</w:t>
            </w:r>
          </w:p>
        </w:tc>
        <w:tc>
          <w:tcPr>
            <w:tcW w:w="1291" w:type="dxa"/>
            <w:vAlign w:val="center"/>
          </w:tcPr>
          <w:p w:rsidR="00247969" w:rsidRDefault="00B60399">
            <w:pPr>
              <w:jc w:val="right"/>
            </w:pPr>
            <w:r>
              <w:rPr>
                <w:rFonts w:eastAsiaTheme="minorEastAsia"/>
                <w:color w:val="000000" w:themeColor="text1"/>
                <w:szCs w:val="21"/>
              </w:rPr>
              <w:t>10.10%</w:t>
            </w:r>
          </w:p>
        </w:tc>
        <w:tc>
          <w:tcPr>
            <w:tcW w:w="1291" w:type="dxa"/>
            <w:vAlign w:val="center"/>
          </w:tcPr>
          <w:p w:rsidR="00247969" w:rsidRDefault="00B60399">
            <w:pPr>
              <w:jc w:val="right"/>
            </w:pPr>
            <w:r>
              <w:rPr>
                <w:rFonts w:eastAsiaTheme="minorEastAsia"/>
                <w:color w:val="000000" w:themeColor="text1"/>
                <w:szCs w:val="21"/>
              </w:rPr>
              <w:t>0.46%</w:t>
            </w:r>
          </w:p>
        </w:tc>
        <w:tc>
          <w:tcPr>
            <w:tcW w:w="1291" w:type="dxa"/>
            <w:vAlign w:val="center"/>
          </w:tcPr>
          <w:p w:rsidR="00247969" w:rsidRDefault="00B60399">
            <w:pPr>
              <w:jc w:val="right"/>
            </w:pPr>
            <w:r>
              <w:rPr>
                <w:rFonts w:eastAsiaTheme="minorEastAsia"/>
                <w:color w:val="000000" w:themeColor="text1"/>
                <w:szCs w:val="21"/>
              </w:rPr>
              <w:t>4.10%</w:t>
            </w:r>
          </w:p>
        </w:tc>
        <w:tc>
          <w:tcPr>
            <w:tcW w:w="1291" w:type="dxa"/>
            <w:vAlign w:val="center"/>
          </w:tcPr>
          <w:p w:rsidR="00247969" w:rsidRDefault="00B60399">
            <w:pPr>
              <w:jc w:val="right"/>
            </w:pPr>
            <w:r>
              <w:rPr>
                <w:rFonts w:eastAsiaTheme="minorEastAsia"/>
                <w:color w:val="000000" w:themeColor="text1"/>
                <w:szCs w:val="21"/>
              </w:rPr>
              <w:t>0.57%</w:t>
            </w:r>
          </w:p>
        </w:tc>
      </w:tr>
      <w:tr w:rsidR="00247969">
        <w:tc>
          <w:tcPr>
            <w:tcW w:w="1290" w:type="dxa"/>
            <w:vAlign w:val="center"/>
          </w:tcPr>
          <w:p w:rsidR="00247969" w:rsidRDefault="00B60399">
            <w:pPr>
              <w:jc w:val="left"/>
            </w:pPr>
            <w:r>
              <w:rPr>
                <w:rFonts w:eastAsiaTheme="minorEastAsia"/>
                <w:color w:val="000000" w:themeColor="text1"/>
                <w:szCs w:val="21"/>
              </w:rPr>
              <w:t>过去三年</w:t>
            </w:r>
          </w:p>
        </w:tc>
        <w:tc>
          <w:tcPr>
            <w:tcW w:w="1291" w:type="dxa"/>
            <w:vAlign w:val="center"/>
          </w:tcPr>
          <w:p w:rsidR="00247969" w:rsidRDefault="00B60399">
            <w:pPr>
              <w:jc w:val="right"/>
            </w:pPr>
            <w:r>
              <w:rPr>
                <w:rFonts w:eastAsiaTheme="minorEastAsia"/>
                <w:color w:val="000000" w:themeColor="text1"/>
                <w:szCs w:val="21"/>
              </w:rPr>
              <w:t>32.16%</w:t>
            </w:r>
          </w:p>
        </w:tc>
        <w:tc>
          <w:tcPr>
            <w:tcW w:w="1291" w:type="dxa"/>
            <w:vAlign w:val="center"/>
          </w:tcPr>
          <w:p w:rsidR="00247969" w:rsidRDefault="00B60399">
            <w:pPr>
              <w:jc w:val="right"/>
            </w:pPr>
            <w:r>
              <w:rPr>
                <w:rFonts w:eastAsiaTheme="minorEastAsia"/>
                <w:color w:val="000000" w:themeColor="text1"/>
                <w:szCs w:val="21"/>
              </w:rPr>
              <w:t>0.99%</w:t>
            </w:r>
          </w:p>
        </w:tc>
        <w:tc>
          <w:tcPr>
            <w:tcW w:w="1291" w:type="dxa"/>
            <w:vAlign w:val="center"/>
          </w:tcPr>
          <w:p w:rsidR="00247969" w:rsidRDefault="00B60399">
            <w:pPr>
              <w:jc w:val="right"/>
            </w:pPr>
            <w:r>
              <w:rPr>
                <w:rFonts w:eastAsiaTheme="minorEastAsia"/>
                <w:color w:val="000000" w:themeColor="text1"/>
                <w:szCs w:val="21"/>
              </w:rPr>
              <w:t>15.43%</w:t>
            </w:r>
          </w:p>
        </w:tc>
        <w:tc>
          <w:tcPr>
            <w:tcW w:w="1291" w:type="dxa"/>
            <w:vAlign w:val="center"/>
          </w:tcPr>
          <w:p w:rsidR="00247969" w:rsidRDefault="00B60399">
            <w:pPr>
              <w:jc w:val="right"/>
            </w:pPr>
            <w:r>
              <w:rPr>
                <w:rFonts w:eastAsiaTheme="minorEastAsia"/>
                <w:color w:val="000000" w:themeColor="text1"/>
                <w:szCs w:val="21"/>
              </w:rPr>
              <w:t>0.53%</w:t>
            </w:r>
          </w:p>
        </w:tc>
        <w:tc>
          <w:tcPr>
            <w:tcW w:w="1291" w:type="dxa"/>
            <w:vAlign w:val="center"/>
          </w:tcPr>
          <w:p w:rsidR="00247969" w:rsidRDefault="00B60399">
            <w:pPr>
              <w:jc w:val="right"/>
            </w:pPr>
            <w:r>
              <w:rPr>
                <w:rFonts w:eastAsiaTheme="minorEastAsia"/>
                <w:color w:val="000000" w:themeColor="text1"/>
                <w:szCs w:val="21"/>
              </w:rPr>
              <w:t>16.73%</w:t>
            </w:r>
          </w:p>
        </w:tc>
        <w:tc>
          <w:tcPr>
            <w:tcW w:w="1291" w:type="dxa"/>
            <w:vAlign w:val="center"/>
          </w:tcPr>
          <w:p w:rsidR="00247969" w:rsidRDefault="00B60399">
            <w:pPr>
              <w:jc w:val="right"/>
            </w:pPr>
            <w:r>
              <w:rPr>
                <w:rFonts w:eastAsiaTheme="minorEastAsia"/>
                <w:color w:val="000000" w:themeColor="text1"/>
                <w:szCs w:val="21"/>
              </w:rPr>
              <w:t>0.46%</w:t>
            </w:r>
          </w:p>
        </w:tc>
      </w:tr>
      <w:tr w:rsidR="00247969">
        <w:tc>
          <w:tcPr>
            <w:tcW w:w="1290" w:type="dxa"/>
            <w:vAlign w:val="center"/>
          </w:tcPr>
          <w:p w:rsidR="00247969" w:rsidRDefault="00B60399">
            <w:pPr>
              <w:jc w:val="left"/>
            </w:pPr>
            <w:r>
              <w:rPr>
                <w:rFonts w:eastAsiaTheme="minorEastAsia"/>
                <w:color w:val="000000" w:themeColor="text1"/>
                <w:szCs w:val="21"/>
              </w:rPr>
              <w:t>过去五年</w:t>
            </w:r>
          </w:p>
        </w:tc>
        <w:tc>
          <w:tcPr>
            <w:tcW w:w="1291" w:type="dxa"/>
            <w:vAlign w:val="center"/>
          </w:tcPr>
          <w:p w:rsidR="00247969" w:rsidRDefault="00B60399">
            <w:pPr>
              <w:jc w:val="right"/>
            </w:pPr>
            <w:r>
              <w:rPr>
                <w:rFonts w:eastAsiaTheme="minorEastAsia"/>
                <w:color w:val="000000" w:themeColor="text1"/>
                <w:szCs w:val="21"/>
              </w:rPr>
              <w:t>18.59%</w:t>
            </w:r>
          </w:p>
        </w:tc>
        <w:tc>
          <w:tcPr>
            <w:tcW w:w="1291" w:type="dxa"/>
            <w:vAlign w:val="center"/>
          </w:tcPr>
          <w:p w:rsidR="00247969" w:rsidRDefault="00B60399">
            <w:pPr>
              <w:jc w:val="right"/>
            </w:pPr>
            <w:r>
              <w:rPr>
                <w:rFonts w:eastAsiaTheme="minorEastAsia"/>
                <w:color w:val="000000" w:themeColor="text1"/>
                <w:szCs w:val="21"/>
              </w:rPr>
              <w:t>0.94%</w:t>
            </w:r>
          </w:p>
        </w:tc>
        <w:tc>
          <w:tcPr>
            <w:tcW w:w="1291" w:type="dxa"/>
            <w:vAlign w:val="center"/>
          </w:tcPr>
          <w:p w:rsidR="00247969" w:rsidRDefault="00B60399">
            <w:pPr>
              <w:jc w:val="right"/>
            </w:pPr>
            <w:r>
              <w:rPr>
                <w:rFonts w:eastAsiaTheme="minorEastAsia"/>
                <w:color w:val="000000" w:themeColor="text1"/>
                <w:szCs w:val="21"/>
              </w:rPr>
              <w:t>15.94%</w:t>
            </w:r>
          </w:p>
        </w:tc>
        <w:tc>
          <w:tcPr>
            <w:tcW w:w="1291" w:type="dxa"/>
            <w:vAlign w:val="center"/>
          </w:tcPr>
          <w:p w:rsidR="00247969" w:rsidRDefault="00B60399">
            <w:pPr>
              <w:jc w:val="right"/>
            </w:pPr>
            <w:r>
              <w:rPr>
                <w:rFonts w:eastAsiaTheme="minorEastAsia"/>
                <w:color w:val="000000" w:themeColor="text1"/>
                <w:szCs w:val="21"/>
              </w:rPr>
              <w:t>0.48%</w:t>
            </w:r>
          </w:p>
        </w:tc>
        <w:tc>
          <w:tcPr>
            <w:tcW w:w="1291" w:type="dxa"/>
            <w:vAlign w:val="center"/>
          </w:tcPr>
          <w:p w:rsidR="00247969" w:rsidRDefault="00B60399">
            <w:pPr>
              <w:jc w:val="right"/>
            </w:pPr>
            <w:r>
              <w:rPr>
                <w:rFonts w:eastAsiaTheme="minorEastAsia"/>
                <w:color w:val="000000" w:themeColor="text1"/>
                <w:szCs w:val="21"/>
              </w:rPr>
              <w:t>2.65%</w:t>
            </w:r>
          </w:p>
        </w:tc>
        <w:tc>
          <w:tcPr>
            <w:tcW w:w="1291" w:type="dxa"/>
            <w:vAlign w:val="center"/>
          </w:tcPr>
          <w:p w:rsidR="00247969" w:rsidRDefault="00B60399">
            <w:pPr>
              <w:jc w:val="right"/>
            </w:pPr>
            <w:r>
              <w:rPr>
                <w:rFonts w:eastAsiaTheme="minorEastAsia"/>
                <w:color w:val="000000" w:themeColor="text1"/>
                <w:szCs w:val="21"/>
              </w:rPr>
              <w:t>0.46%</w:t>
            </w:r>
          </w:p>
        </w:tc>
      </w:tr>
      <w:tr w:rsidR="00247969">
        <w:tc>
          <w:tcPr>
            <w:tcW w:w="1290" w:type="dxa"/>
            <w:vAlign w:val="center"/>
          </w:tcPr>
          <w:p w:rsidR="00247969" w:rsidRDefault="00B60399">
            <w:pPr>
              <w:jc w:val="left"/>
            </w:pPr>
            <w:r>
              <w:rPr>
                <w:rFonts w:eastAsiaTheme="minorEastAsia"/>
                <w:color w:val="000000" w:themeColor="text1"/>
                <w:szCs w:val="21"/>
              </w:rPr>
              <w:t>自基金合同生效起至今</w:t>
            </w:r>
          </w:p>
        </w:tc>
        <w:tc>
          <w:tcPr>
            <w:tcW w:w="1291" w:type="dxa"/>
            <w:vAlign w:val="center"/>
          </w:tcPr>
          <w:p w:rsidR="00247969" w:rsidRDefault="00B60399">
            <w:pPr>
              <w:jc w:val="right"/>
            </w:pPr>
            <w:r>
              <w:rPr>
                <w:rFonts w:eastAsiaTheme="minorEastAsia"/>
                <w:color w:val="000000" w:themeColor="text1"/>
                <w:szCs w:val="21"/>
              </w:rPr>
              <w:t>337.36%</w:t>
            </w:r>
          </w:p>
        </w:tc>
        <w:tc>
          <w:tcPr>
            <w:tcW w:w="1291" w:type="dxa"/>
            <w:vAlign w:val="center"/>
          </w:tcPr>
          <w:p w:rsidR="00247969" w:rsidRDefault="00B60399">
            <w:pPr>
              <w:jc w:val="right"/>
            </w:pPr>
            <w:r>
              <w:rPr>
                <w:rFonts w:eastAsiaTheme="minorEastAsia"/>
                <w:color w:val="000000" w:themeColor="text1"/>
                <w:szCs w:val="21"/>
              </w:rPr>
              <w:t>1.29%</w:t>
            </w:r>
          </w:p>
        </w:tc>
        <w:tc>
          <w:tcPr>
            <w:tcW w:w="1291" w:type="dxa"/>
            <w:vAlign w:val="center"/>
          </w:tcPr>
          <w:p w:rsidR="00247969" w:rsidRDefault="00B60399">
            <w:pPr>
              <w:jc w:val="right"/>
            </w:pPr>
            <w:r>
              <w:rPr>
                <w:rFonts w:eastAsiaTheme="minorEastAsia"/>
                <w:color w:val="000000" w:themeColor="text1"/>
                <w:szCs w:val="21"/>
              </w:rPr>
              <w:t>199.64%</w:t>
            </w:r>
          </w:p>
        </w:tc>
        <w:tc>
          <w:tcPr>
            <w:tcW w:w="1291" w:type="dxa"/>
            <w:vAlign w:val="center"/>
          </w:tcPr>
          <w:p w:rsidR="00247969" w:rsidRDefault="00B60399">
            <w:pPr>
              <w:jc w:val="right"/>
            </w:pPr>
            <w:r>
              <w:rPr>
                <w:rFonts w:eastAsiaTheme="minorEastAsia"/>
                <w:color w:val="000000" w:themeColor="text1"/>
                <w:szCs w:val="21"/>
              </w:rPr>
              <w:t>0.79%</w:t>
            </w:r>
          </w:p>
        </w:tc>
        <w:tc>
          <w:tcPr>
            <w:tcW w:w="1291" w:type="dxa"/>
            <w:vAlign w:val="center"/>
          </w:tcPr>
          <w:p w:rsidR="00247969" w:rsidRDefault="00B60399">
            <w:pPr>
              <w:jc w:val="right"/>
            </w:pPr>
            <w:r>
              <w:rPr>
                <w:rFonts w:eastAsiaTheme="minorEastAsia"/>
                <w:color w:val="000000" w:themeColor="text1"/>
                <w:szCs w:val="21"/>
              </w:rPr>
              <w:t>137.72%</w:t>
            </w:r>
          </w:p>
        </w:tc>
        <w:tc>
          <w:tcPr>
            <w:tcW w:w="1291" w:type="dxa"/>
            <w:vAlign w:val="center"/>
          </w:tcPr>
          <w:p w:rsidR="00247969" w:rsidRDefault="00B60399">
            <w:pPr>
              <w:jc w:val="right"/>
            </w:pPr>
            <w:r>
              <w:rPr>
                <w:rFonts w:eastAsiaTheme="minorEastAsia"/>
                <w:color w:val="000000" w:themeColor="text1"/>
                <w:szCs w:val="21"/>
              </w:rPr>
              <w:t>0.50%</w:t>
            </w:r>
          </w:p>
        </w:tc>
      </w:tr>
    </w:tbl>
    <w:p w:rsidR="005E6DF3" w:rsidRPr="00B27A29" w:rsidRDefault="005C671B">
      <w:pPr>
        <w:adjustRightInd w:val="0"/>
        <w:spacing w:beforeLines="100" w:before="312" w:line="360" w:lineRule="auto"/>
        <w:rPr>
          <w:rFonts w:eastAsiaTheme="minorEastAsia"/>
          <w:b/>
          <w:color w:val="000000" w:themeColor="text1"/>
          <w:kern w:val="0"/>
          <w:szCs w:val="21"/>
        </w:rPr>
      </w:pPr>
      <w:r w:rsidRPr="00B27A29">
        <w:rPr>
          <w:rFonts w:eastAsiaTheme="minorEastAsia"/>
          <w:b/>
          <w:color w:val="000000" w:themeColor="text1"/>
          <w:szCs w:val="21"/>
        </w:rPr>
        <w:t>2</w:t>
      </w:r>
      <w:r w:rsidRPr="00B27A29">
        <w:rPr>
          <w:rFonts w:eastAsiaTheme="minorEastAsia"/>
          <w:b/>
          <w:color w:val="000000" w:themeColor="text1"/>
          <w:szCs w:val="21"/>
        </w:rPr>
        <w:t>、</w:t>
      </w:r>
      <w:r w:rsidRPr="00B27A29">
        <w:rPr>
          <w:rFonts w:eastAsiaTheme="minorEastAsia"/>
          <w:b/>
          <w:color w:val="000000" w:themeColor="text1"/>
          <w:kern w:val="0"/>
          <w:szCs w:val="21"/>
        </w:rPr>
        <w:t>上投摩根双息平衡混合</w:t>
      </w:r>
      <w:r w:rsidRPr="00B27A29">
        <w:rPr>
          <w:rFonts w:eastAsiaTheme="minorEastAsia"/>
          <w:b/>
          <w:color w:val="000000" w:themeColor="text1"/>
          <w:kern w:val="0"/>
          <w:szCs w:val="21"/>
        </w:rPr>
        <w:t>H</w:t>
      </w:r>
      <w:r w:rsidRPr="00B27A29">
        <w:rPr>
          <w:rFonts w:eastAsiaTheme="minorEastAsia"/>
          <w:b/>
          <w:color w:val="000000" w:themeColor="text1"/>
          <w:kern w:val="0"/>
          <w:szCs w:val="21"/>
        </w:rPr>
        <w:t>：</w:t>
      </w:r>
    </w:p>
    <w:tbl>
      <w:tblPr>
        <w:tblStyle w:val="afa"/>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5E6DF3" w:rsidRPr="00B27A29">
        <w:tc>
          <w:tcPr>
            <w:tcW w:w="1290"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阶段</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highlight w:val="green"/>
              </w:rPr>
            </w:pPr>
            <w:r w:rsidRPr="00B27A29">
              <w:rPr>
                <w:rFonts w:eastAsiaTheme="minorEastAsia"/>
                <w:color w:val="000000" w:themeColor="text1"/>
                <w:szCs w:val="21"/>
              </w:rPr>
              <w:t>净值增长率</w:t>
            </w:r>
            <w:r w:rsidRPr="00B27A29">
              <w:rPr>
                <w:rFonts w:ascii="宋体" w:hAnsi="宋体" w:cs="宋体" w:hint="eastAsia"/>
                <w:color w:val="000000" w:themeColor="text1"/>
                <w:szCs w:val="21"/>
              </w:rPr>
              <w:t>①</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highlight w:val="green"/>
              </w:rPr>
            </w:pPr>
            <w:r w:rsidRPr="00B27A29">
              <w:rPr>
                <w:rFonts w:eastAsiaTheme="minorEastAsia"/>
                <w:color w:val="000000" w:themeColor="text1"/>
                <w:szCs w:val="21"/>
              </w:rPr>
              <w:t>净值增长率标准差</w:t>
            </w:r>
            <w:r w:rsidRPr="00B27A29">
              <w:rPr>
                <w:rFonts w:ascii="宋体" w:hAnsi="宋体" w:cs="宋体" w:hint="eastAsia"/>
                <w:color w:val="000000" w:themeColor="text1"/>
                <w:szCs w:val="21"/>
              </w:rPr>
              <w:t>②</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业绩比较基准收益率标准差</w:t>
            </w:r>
            <w:r w:rsidRPr="00B27A29">
              <w:rPr>
                <w:rFonts w:ascii="宋体" w:hAnsi="宋体" w:cs="宋体" w:hint="eastAsia"/>
                <w:color w:val="000000" w:themeColor="text1"/>
                <w:szCs w:val="21"/>
              </w:rPr>
              <w:t>④</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①</w:t>
            </w:r>
            <w:r w:rsidRPr="00B27A29">
              <w:rPr>
                <w:rFonts w:eastAsiaTheme="minorEastAsia"/>
                <w:color w:val="000000" w:themeColor="text1"/>
                <w:szCs w:val="21"/>
              </w:rPr>
              <w:t>－</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②</w:t>
            </w:r>
            <w:r w:rsidRPr="00B27A29">
              <w:rPr>
                <w:rFonts w:eastAsiaTheme="minorEastAsia"/>
                <w:color w:val="000000" w:themeColor="text1"/>
                <w:szCs w:val="21"/>
              </w:rPr>
              <w:t>－</w:t>
            </w:r>
            <w:r w:rsidRPr="00B27A29">
              <w:rPr>
                <w:rFonts w:ascii="宋体" w:hAnsi="宋体" w:cs="宋体" w:hint="eastAsia"/>
                <w:color w:val="000000" w:themeColor="text1"/>
                <w:szCs w:val="21"/>
              </w:rPr>
              <w:t>④</w:t>
            </w:r>
          </w:p>
        </w:tc>
      </w:tr>
      <w:tr w:rsidR="00247969">
        <w:tc>
          <w:tcPr>
            <w:tcW w:w="1290" w:type="dxa"/>
            <w:vAlign w:val="center"/>
          </w:tcPr>
          <w:p w:rsidR="00247969" w:rsidRDefault="00B60399">
            <w:pPr>
              <w:jc w:val="left"/>
            </w:pPr>
            <w:r>
              <w:rPr>
                <w:rFonts w:eastAsiaTheme="minorEastAsia"/>
                <w:color w:val="000000" w:themeColor="text1"/>
                <w:szCs w:val="21"/>
              </w:rPr>
              <w:t>过去三个月</w:t>
            </w:r>
          </w:p>
        </w:tc>
        <w:tc>
          <w:tcPr>
            <w:tcW w:w="1291" w:type="dxa"/>
            <w:vAlign w:val="center"/>
          </w:tcPr>
          <w:p w:rsidR="00247969" w:rsidRDefault="00B60399">
            <w:pPr>
              <w:jc w:val="right"/>
            </w:pPr>
            <w:r>
              <w:rPr>
                <w:rFonts w:eastAsiaTheme="minorEastAsia"/>
                <w:color w:val="000000" w:themeColor="text1"/>
                <w:szCs w:val="21"/>
              </w:rPr>
              <w:t>2.93%</w:t>
            </w:r>
          </w:p>
        </w:tc>
        <w:tc>
          <w:tcPr>
            <w:tcW w:w="1291" w:type="dxa"/>
            <w:vAlign w:val="center"/>
          </w:tcPr>
          <w:p w:rsidR="00247969" w:rsidRDefault="00B60399">
            <w:pPr>
              <w:jc w:val="right"/>
            </w:pPr>
            <w:r>
              <w:rPr>
                <w:rFonts w:eastAsiaTheme="minorEastAsia"/>
                <w:color w:val="000000" w:themeColor="text1"/>
                <w:szCs w:val="21"/>
              </w:rPr>
              <w:t>1.29%</w:t>
            </w:r>
          </w:p>
        </w:tc>
        <w:tc>
          <w:tcPr>
            <w:tcW w:w="1291" w:type="dxa"/>
            <w:vAlign w:val="center"/>
          </w:tcPr>
          <w:p w:rsidR="00247969" w:rsidRDefault="00B60399">
            <w:pPr>
              <w:jc w:val="right"/>
            </w:pPr>
            <w:r>
              <w:rPr>
                <w:rFonts w:eastAsiaTheme="minorEastAsia"/>
                <w:color w:val="000000" w:themeColor="text1"/>
                <w:szCs w:val="21"/>
              </w:rPr>
              <w:t>1.49%</w:t>
            </w:r>
          </w:p>
        </w:tc>
        <w:tc>
          <w:tcPr>
            <w:tcW w:w="1291" w:type="dxa"/>
            <w:vAlign w:val="center"/>
          </w:tcPr>
          <w:p w:rsidR="00247969" w:rsidRDefault="00B60399">
            <w:pPr>
              <w:jc w:val="right"/>
            </w:pPr>
            <w:r>
              <w:rPr>
                <w:rFonts w:eastAsiaTheme="minorEastAsia"/>
                <w:color w:val="000000" w:themeColor="text1"/>
                <w:szCs w:val="21"/>
              </w:rPr>
              <w:t>0.60%</w:t>
            </w:r>
          </w:p>
        </w:tc>
        <w:tc>
          <w:tcPr>
            <w:tcW w:w="1291" w:type="dxa"/>
            <w:vAlign w:val="center"/>
          </w:tcPr>
          <w:p w:rsidR="00247969" w:rsidRDefault="00B60399">
            <w:pPr>
              <w:jc w:val="right"/>
            </w:pPr>
            <w:r>
              <w:rPr>
                <w:rFonts w:eastAsiaTheme="minorEastAsia"/>
                <w:color w:val="000000" w:themeColor="text1"/>
                <w:szCs w:val="21"/>
              </w:rPr>
              <w:t>1.44%</w:t>
            </w:r>
          </w:p>
        </w:tc>
        <w:tc>
          <w:tcPr>
            <w:tcW w:w="1291" w:type="dxa"/>
            <w:vAlign w:val="center"/>
          </w:tcPr>
          <w:p w:rsidR="00247969" w:rsidRDefault="00B60399">
            <w:pPr>
              <w:jc w:val="right"/>
            </w:pPr>
            <w:r>
              <w:rPr>
                <w:rFonts w:eastAsiaTheme="minorEastAsia"/>
                <w:color w:val="000000" w:themeColor="text1"/>
                <w:szCs w:val="21"/>
              </w:rPr>
              <w:t>0.69%</w:t>
            </w:r>
          </w:p>
        </w:tc>
      </w:tr>
      <w:tr w:rsidR="00247969">
        <w:tc>
          <w:tcPr>
            <w:tcW w:w="1290" w:type="dxa"/>
            <w:vAlign w:val="center"/>
          </w:tcPr>
          <w:p w:rsidR="00247969" w:rsidRDefault="00B60399">
            <w:pPr>
              <w:jc w:val="left"/>
            </w:pPr>
            <w:r>
              <w:rPr>
                <w:rFonts w:eastAsiaTheme="minorEastAsia"/>
                <w:color w:val="000000" w:themeColor="text1"/>
                <w:szCs w:val="21"/>
              </w:rPr>
              <w:t>过去六个月</w:t>
            </w:r>
          </w:p>
        </w:tc>
        <w:tc>
          <w:tcPr>
            <w:tcW w:w="1291" w:type="dxa"/>
            <w:vAlign w:val="center"/>
          </w:tcPr>
          <w:p w:rsidR="00247969" w:rsidRDefault="00B60399">
            <w:pPr>
              <w:jc w:val="right"/>
            </w:pPr>
            <w:r>
              <w:rPr>
                <w:rFonts w:eastAsiaTheme="minorEastAsia"/>
                <w:color w:val="000000" w:themeColor="text1"/>
                <w:szCs w:val="21"/>
              </w:rPr>
              <w:t>4.53%</w:t>
            </w:r>
          </w:p>
        </w:tc>
        <w:tc>
          <w:tcPr>
            <w:tcW w:w="1291" w:type="dxa"/>
            <w:vAlign w:val="center"/>
          </w:tcPr>
          <w:p w:rsidR="00247969" w:rsidRDefault="00B60399">
            <w:pPr>
              <w:jc w:val="right"/>
            </w:pPr>
            <w:r>
              <w:rPr>
                <w:rFonts w:eastAsiaTheme="minorEastAsia"/>
                <w:color w:val="000000" w:themeColor="text1"/>
                <w:szCs w:val="21"/>
              </w:rPr>
              <w:t>1.02%</w:t>
            </w:r>
          </w:p>
        </w:tc>
        <w:tc>
          <w:tcPr>
            <w:tcW w:w="1291" w:type="dxa"/>
            <w:vAlign w:val="center"/>
          </w:tcPr>
          <w:p w:rsidR="00247969" w:rsidRDefault="00B60399">
            <w:pPr>
              <w:jc w:val="right"/>
            </w:pPr>
            <w:r>
              <w:rPr>
                <w:rFonts w:eastAsiaTheme="minorEastAsia"/>
                <w:color w:val="000000" w:themeColor="text1"/>
                <w:szCs w:val="21"/>
              </w:rPr>
              <w:t>4.84%</w:t>
            </w:r>
          </w:p>
        </w:tc>
        <w:tc>
          <w:tcPr>
            <w:tcW w:w="1291" w:type="dxa"/>
            <w:vAlign w:val="center"/>
          </w:tcPr>
          <w:p w:rsidR="00247969" w:rsidRDefault="00B60399">
            <w:pPr>
              <w:jc w:val="right"/>
            </w:pPr>
            <w:r>
              <w:rPr>
                <w:rFonts w:eastAsiaTheme="minorEastAsia"/>
                <w:color w:val="000000" w:themeColor="text1"/>
                <w:szCs w:val="21"/>
              </w:rPr>
              <w:t>0.48%</w:t>
            </w:r>
          </w:p>
        </w:tc>
        <w:tc>
          <w:tcPr>
            <w:tcW w:w="1291" w:type="dxa"/>
            <w:vAlign w:val="center"/>
          </w:tcPr>
          <w:p w:rsidR="00247969" w:rsidRDefault="00B60399">
            <w:pPr>
              <w:jc w:val="right"/>
            </w:pPr>
            <w:r>
              <w:rPr>
                <w:rFonts w:eastAsiaTheme="minorEastAsia"/>
                <w:color w:val="000000" w:themeColor="text1"/>
                <w:szCs w:val="21"/>
              </w:rPr>
              <w:t>-0.31%</w:t>
            </w:r>
          </w:p>
        </w:tc>
        <w:tc>
          <w:tcPr>
            <w:tcW w:w="1291" w:type="dxa"/>
            <w:vAlign w:val="center"/>
          </w:tcPr>
          <w:p w:rsidR="00247969" w:rsidRDefault="00B60399">
            <w:pPr>
              <w:jc w:val="right"/>
            </w:pPr>
            <w:r>
              <w:rPr>
                <w:rFonts w:eastAsiaTheme="minorEastAsia"/>
                <w:color w:val="000000" w:themeColor="text1"/>
                <w:szCs w:val="21"/>
              </w:rPr>
              <w:t>0.54%</w:t>
            </w:r>
          </w:p>
        </w:tc>
      </w:tr>
      <w:tr w:rsidR="00247969">
        <w:tc>
          <w:tcPr>
            <w:tcW w:w="1290" w:type="dxa"/>
            <w:vAlign w:val="center"/>
          </w:tcPr>
          <w:p w:rsidR="00247969" w:rsidRDefault="00B60399">
            <w:pPr>
              <w:jc w:val="left"/>
            </w:pPr>
            <w:r>
              <w:rPr>
                <w:rFonts w:eastAsiaTheme="minorEastAsia"/>
                <w:color w:val="000000" w:themeColor="text1"/>
                <w:szCs w:val="21"/>
              </w:rPr>
              <w:t>过去一年</w:t>
            </w:r>
          </w:p>
        </w:tc>
        <w:tc>
          <w:tcPr>
            <w:tcW w:w="1291" w:type="dxa"/>
            <w:vAlign w:val="center"/>
          </w:tcPr>
          <w:p w:rsidR="00247969" w:rsidRDefault="00B60399">
            <w:pPr>
              <w:jc w:val="right"/>
            </w:pPr>
            <w:r>
              <w:rPr>
                <w:rFonts w:eastAsiaTheme="minorEastAsia"/>
                <w:color w:val="000000" w:themeColor="text1"/>
                <w:szCs w:val="21"/>
              </w:rPr>
              <w:t>14.07%</w:t>
            </w:r>
          </w:p>
        </w:tc>
        <w:tc>
          <w:tcPr>
            <w:tcW w:w="1291" w:type="dxa"/>
            <w:vAlign w:val="center"/>
          </w:tcPr>
          <w:p w:rsidR="00247969" w:rsidRDefault="00B60399">
            <w:pPr>
              <w:jc w:val="right"/>
            </w:pPr>
            <w:r>
              <w:rPr>
                <w:rFonts w:eastAsiaTheme="minorEastAsia"/>
                <w:color w:val="000000" w:themeColor="text1"/>
                <w:szCs w:val="21"/>
              </w:rPr>
              <w:t>1.03%</w:t>
            </w:r>
          </w:p>
        </w:tc>
        <w:tc>
          <w:tcPr>
            <w:tcW w:w="1291" w:type="dxa"/>
            <w:vAlign w:val="center"/>
          </w:tcPr>
          <w:p w:rsidR="00247969" w:rsidRDefault="00B60399">
            <w:pPr>
              <w:jc w:val="right"/>
            </w:pPr>
            <w:r>
              <w:rPr>
                <w:rFonts w:eastAsiaTheme="minorEastAsia"/>
                <w:color w:val="000000" w:themeColor="text1"/>
                <w:szCs w:val="21"/>
              </w:rPr>
              <w:t>10.10%</w:t>
            </w:r>
          </w:p>
        </w:tc>
        <w:tc>
          <w:tcPr>
            <w:tcW w:w="1291" w:type="dxa"/>
            <w:vAlign w:val="center"/>
          </w:tcPr>
          <w:p w:rsidR="00247969" w:rsidRDefault="00B60399">
            <w:pPr>
              <w:jc w:val="right"/>
            </w:pPr>
            <w:r>
              <w:rPr>
                <w:rFonts w:eastAsiaTheme="minorEastAsia"/>
                <w:color w:val="000000" w:themeColor="text1"/>
                <w:szCs w:val="21"/>
              </w:rPr>
              <w:t>0.46%</w:t>
            </w:r>
          </w:p>
        </w:tc>
        <w:tc>
          <w:tcPr>
            <w:tcW w:w="1291" w:type="dxa"/>
            <w:vAlign w:val="center"/>
          </w:tcPr>
          <w:p w:rsidR="00247969" w:rsidRDefault="00B60399">
            <w:pPr>
              <w:jc w:val="right"/>
            </w:pPr>
            <w:r>
              <w:rPr>
                <w:rFonts w:eastAsiaTheme="minorEastAsia"/>
                <w:color w:val="000000" w:themeColor="text1"/>
                <w:szCs w:val="21"/>
              </w:rPr>
              <w:t>3.97%</w:t>
            </w:r>
          </w:p>
        </w:tc>
        <w:tc>
          <w:tcPr>
            <w:tcW w:w="1291" w:type="dxa"/>
            <w:vAlign w:val="center"/>
          </w:tcPr>
          <w:p w:rsidR="00247969" w:rsidRDefault="00B60399">
            <w:pPr>
              <w:jc w:val="right"/>
            </w:pPr>
            <w:r>
              <w:rPr>
                <w:rFonts w:eastAsiaTheme="minorEastAsia"/>
                <w:color w:val="000000" w:themeColor="text1"/>
                <w:szCs w:val="21"/>
              </w:rPr>
              <w:t>0.57%</w:t>
            </w:r>
          </w:p>
        </w:tc>
      </w:tr>
      <w:tr w:rsidR="00247969">
        <w:tc>
          <w:tcPr>
            <w:tcW w:w="1290" w:type="dxa"/>
            <w:vAlign w:val="center"/>
          </w:tcPr>
          <w:p w:rsidR="00247969" w:rsidRDefault="00B60399">
            <w:pPr>
              <w:jc w:val="left"/>
            </w:pPr>
            <w:r>
              <w:rPr>
                <w:rFonts w:eastAsiaTheme="minorEastAsia"/>
                <w:color w:val="000000" w:themeColor="text1"/>
                <w:szCs w:val="21"/>
              </w:rPr>
              <w:t>过去三年</w:t>
            </w:r>
          </w:p>
        </w:tc>
        <w:tc>
          <w:tcPr>
            <w:tcW w:w="1291" w:type="dxa"/>
            <w:vAlign w:val="center"/>
          </w:tcPr>
          <w:p w:rsidR="00247969" w:rsidRDefault="00B60399">
            <w:pPr>
              <w:jc w:val="right"/>
            </w:pPr>
            <w:r>
              <w:rPr>
                <w:rFonts w:eastAsiaTheme="minorEastAsia"/>
                <w:color w:val="000000" w:themeColor="text1"/>
                <w:szCs w:val="21"/>
              </w:rPr>
              <w:t>32.15%</w:t>
            </w:r>
          </w:p>
        </w:tc>
        <w:tc>
          <w:tcPr>
            <w:tcW w:w="1291" w:type="dxa"/>
            <w:vAlign w:val="center"/>
          </w:tcPr>
          <w:p w:rsidR="00247969" w:rsidRDefault="00B60399">
            <w:pPr>
              <w:jc w:val="right"/>
            </w:pPr>
            <w:r>
              <w:rPr>
                <w:rFonts w:eastAsiaTheme="minorEastAsia"/>
                <w:color w:val="000000" w:themeColor="text1"/>
                <w:szCs w:val="21"/>
              </w:rPr>
              <w:t>0.99%</w:t>
            </w:r>
          </w:p>
        </w:tc>
        <w:tc>
          <w:tcPr>
            <w:tcW w:w="1291" w:type="dxa"/>
            <w:vAlign w:val="center"/>
          </w:tcPr>
          <w:p w:rsidR="00247969" w:rsidRDefault="00B60399">
            <w:pPr>
              <w:jc w:val="right"/>
            </w:pPr>
            <w:r>
              <w:rPr>
                <w:rFonts w:eastAsiaTheme="minorEastAsia"/>
                <w:color w:val="000000" w:themeColor="text1"/>
                <w:szCs w:val="21"/>
              </w:rPr>
              <w:t>15.43%</w:t>
            </w:r>
          </w:p>
        </w:tc>
        <w:tc>
          <w:tcPr>
            <w:tcW w:w="1291" w:type="dxa"/>
            <w:vAlign w:val="center"/>
          </w:tcPr>
          <w:p w:rsidR="00247969" w:rsidRDefault="00B60399">
            <w:pPr>
              <w:jc w:val="right"/>
            </w:pPr>
            <w:r>
              <w:rPr>
                <w:rFonts w:eastAsiaTheme="minorEastAsia"/>
                <w:color w:val="000000" w:themeColor="text1"/>
                <w:szCs w:val="21"/>
              </w:rPr>
              <w:t>0.53%</w:t>
            </w:r>
          </w:p>
        </w:tc>
        <w:tc>
          <w:tcPr>
            <w:tcW w:w="1291" w:type="dxa"/>
            <w:vAlign w:val="center"/>
          </w:tcPr>
          <w:p w:rsidR="00247969" w:rsidRDefault="00B60399">
            <w:pPr>
              <w:jc w:val="right"/>
            </w:pPr>
            <w:r>
              <w:rPr>
                <w:rFonts w:eastAsiaTheme="minorEastAsia"/>
                <w:color w:val="000000" w:themeColor="text1"/>
                <w:szCs w:val="21"/>
              </w:rPr>
              <w:t>16.72%</w:t>
            </w:r>
          </w:p>
        </w:tc>
        <w:tc>
          <w:tcPr>
            <w:tcW w:w="1291" w:type="dxa"/>
            <w:vAlign w:val="center"/>
          </w:tcPr>
          <w:p w:rsidR="00247969" w:rsidRDefault="00B60399">
            <w:pPr>
              <w:jc w:val="right"/>
            </w:pPr>
            <w:r>
              <w:rPr>
                <w:rFonts w:eastAsiaTheme="minorEastAsia"/>
                <w:color w:val="000000" w:themeColor="text1"/>
                <w:szCs w:val="21"/>
              </w:rPr>
              <w:t>0.46%</w:t>
            </w:r>
          </w:p>
        </w:tc>
      </w:tr>
      <w:tr w:rsidR="00247969">
        <w:tc>
          <w:tcPr>
            <w:tcW w:w="1290" w:type="dxa"/>
            <w:vAlign w:val="center"/>
          </w:tcPr>
          <w:p w:rsidR="00247969" w:rsidRDefault="00B60399">
            <w:pPr>
              <w:jc w:val="left"/>
            </w:pPr>
            <w:r>
              <w:rPr>
                <w:rFonts w:eastAsiaTheme="minorEastAsia"/>
                <w:color w:val="000000" w:themeColor="text1"/>
                <w:szCs w:val="21"/>
              </w:rPr>
              <w:t>过去五年</w:t>
            </w:r>
          </w:p>
        </w:tc>
        <w:tc>
          <w:tcPr>
            <w:tcW w:w="1291" w:type="dxa"/>
            <w:vAlign w:val="center"/>
          </w:tcPr>
          <w:p w:rsidR="00247969" w:rsidRDefault="00B60399">
            <w:pPr>
              <w:jc w:val="right"/>
            </w:pPr>
            <w:r>
              <w:rPr>
                <w:rFonts w:eastAsiaTheme="minorEastAsia"/>
                <w:color w:val="000000" w:themeColor="text1"/>
                <w:szCs w:val="21"/>
              </w:rPr>
              <w:t>18.98%</w:t>
            </w:r>
          </w:p>
        </w:tc>
        <w:tc>
          <w:tcPr>
            <w:tcW w:w="1291" w:type="dxa"/>
            <w:vAlign w:val="center"/>
          </w:tcPr>
          <w:p w:rsidR="00247969" w:rsidRDefault="00B60399">
            <w:pPr>
              <w:jc w:val="right"/>
            </w:pPr>
            <w:r>
              <w:rPr>
                <w:rFonts w:eastAsiaTheme="minorEastAsia"/>
                <w:color w:val="000000" w:themeColor="text1"/>
                <w:szCs w:val="21"/>
              </w:rPr>
              <w:t>0.94%</w:t>
            </w:r>
          </w:p>
        </w:tc>
        <w:tc>
          <w:tcPr>
            <w:tcW w:w="1291" w:type="dxa"/>
            <w:vAlign w:val="center"/>
          </w:tcPr>
          <w:p w:rsidR="00247969" w:rsidRDefault="00B60399">
            <w:pPr>
              <w:jc w:val="right"/>
            </w:pPr>
            <w:r>
              <w:rPr>
                <w:rFonts w:eastAsiaTheme="minorEastAsia"/>
                <w:color w:val="000000" w:themeColor="text1"/>
                <w:szCs w:val="21"/>
              </w:rPr>
              <w:t>15.94%</w:t>
            </w:r>
          </w:p>
        </w:tc>
        <w:tc>
          <w:tcPr>
            <w:tcW w:w="1291" w:type="dxa"/>
            <w:vAlign w:val="center"/>
          </w:tcPr>
          <w:p w:rsidR="00247969" w:rsidRDefault="00B60399">
            <w:pPr>
              <w:jc w:val="right"/>
            </w:pPr>
            <w:r>
              <w:rPr>
                <w:rFonts w:eastAsiaTheme="minorEastAsia"/>
                <w:color w:val="000000" w:themeColor="text1"/>
                <w:szCs w:val="21"/>
              </w:rPr>
              <w:t>0.48%</w:t>
            </w:r>
          </w:p>
        </w:tc>
        <w:tc>
          <w:tcPr>
            <w:tcW w:w="1291" w:type="dxa"/>
            <w:vAlign w:val="center"/>
          </w:tcPr>
          <w:p w:rsidR="00247969" w:rsidRDefault="00B60399">
            <w:pPr>
              <w:jc w:val="right"/>
            </w:pPr>
            <w:r>
              <w:rPr>
                <w:rFonts w:eastAsiaTheme="minorEastAsia"/>
                <w:color w:val="000000" w:themeColor="text1"/>
                <w:szCs w:val="21"/>
              </w:rPr>
              <w:t>3.04%</w:t>
            </w:r>
          </w:p>
        </w:tc>
        <w:tc>
          <w:tcPr>
            <w:tcW w:w="1291" w:type="dxa"/>
            <w:vAlign w:val="center"/>
          </w:tcPr>
          <w:p w:rsidR="00247969" w:rsidRDefault="00B60399">
            <w:pPr>
              <w:jc w:val="right"/>
            </w:pPr>
            <w:r>
              <w:rPr>
                <w:rFonts w:eastAsiaTheme="minorEastAsia"/>
                <w:color w:val="000000" w:themeColor="text1"/>
                <w:szCs w:val="21"/>
              </w:rPr>
              <w:t>0.46%</w:t>
            </w:r>
          </w:p>
        </w:tc>
      </w:tr>
      <w:tr w:rsidR="00247969">
        <w:tc>
          <w:tcPr>
            <w:tcW w:w="1290" w:type="dxa"/>
            <w:vAlign w:val="center"/>
          </w:tcPr>
          <w:p w:rsidR="00247969" w:rsidRDefault="00B60399">
            <w:pPr>
              <w:jc w:val="left"/>
            </w:pPr>
            <w:r>
              <w:rPr>
                <w:rFonts w:eastAsiaTheme="minorEastAsia"/>
                <w:color w:val="000000" w:themeColor="text1"/>
                <w:szCs w:val="21"/>
              </w:rPr>
              <w:t>自基金合同生效起至今</w:t>
            </w:r>
          </w:p>
        </w:tc>
        <w:tc>
          <w:tcPr>
            <w:tcW w:w="1291" w:type="dxa"/>
            <w:vAlign w:val="center"/>
          </w:tcPr>
          <w:p w:rsidR="00247969" w:rsidRDefault="00B60399">
            <w:pPr>
              <w:jc w:val="right"/>
            </w:pPr>
            <w:r>
              <w:rPr>
                <w:rFonts w:eastAsiaTheme="minorEastAsia"/>
                <w:color w:val="000000" w:themeColor="text1"/>
                <w:szCs w:val="21"/>
              </w:rPr>
              <w:t>26.86%</w:t>
            </w:r>
          </w:p>
        </w:tc>
        <w:tc>
          <w:tcPr>
            <w:tcW w:w="1291" w:type="dxa"/>
            <w:vAlign w:val="center"/>
          </w:tcPr>
          <w:p w:rsidR="00247969" w:rsidRDefault="00B60399">
            <w:pPr>
              <w:jc w:val="right"/>
            </w:pPr>
            <w:r>
              <w:rPr>
                <w:rFonts w:eastAsiaTheme="minorEastAsia"/>
                <w:color w:val="000000" w:themeColor="text1"/>
                <w:szCs w:val="21"/>
              </w:rPr>
              <w:t>0.96%</w:t>
            </w:r>
          </w:p>
        </w:tc>
        <w:tc>
          <w:tcPr>
            <w:tcW w:w="1291" w:type="dxa"/>
            <w:vAlign w:val="center"/>
          </w:tcPr>
          <w:p w:rsidR="00247969" w:rsidRDefault="00B60399">
            <w:pPr>
              <w:jc w:val="right"/>
            </w:pPr>
            <w:r>
              <w:rPr>
                <w:rFonts w:eastAsiaTheme="minorEastAsia"/>
                <w:color w:val="000000" w:themeColor="text1"/>
                <w:szCs w:val="21"/>
              </w:rPr>
              <w:t>21.08%</w:t>
            </w:r>
          </w:p>
        </w:tc>
        <w:tc>
          <w:tcPr>
            <w:tcW w:w="1291" w:type="dxa"/>
            <w:vAlign w:val="center"/>
          </w:tcPr>
          <w:p w:rsidR="00247969" w:rsidRDefault="00B60399">
            <w:pPr>
              <w:jc w:val="right"/>
            </w:pPr>
            <w:r>
              <w:rPr>
                <w:rFonts w:eastAsiaTheme="minorEastAsia"/>
                <w:color w:val="000000" w:themeColor="text1"/>
                <w:szCs w:val="21"/>
              </w:rPr>
              <w:t>0.47%</w:t>
            </w:r>
          </w:p>
        </w:tc>
        <w:tc>
          <w:tcPr>
            <w:tcW w:w="1291" w:type="dxa"/>
            <w:vAlign w:val="center"/>
          </w:tcPr>
          <w:p w:rsidR="00247969" w:rsidRDefault="00B60399">
            <w:pPr>
              <w:jc w:val="right"/>
            </w:pPr>
            <w:r>
              <w:rPr>
                <w:rFonts w:eastAsiaTheme="minorEastAsia"/>
                <w:color w:val="000000" w:themeColor="text1"/>
                <w:szCs w:val="21"/>
              </w:rPr>
              <w:t>5.78%</w:t>
            </w:r>
          </w:p>
        </w:tc>
        <w:tc>
          <w:tcPr>
            <w:tcW w:w="1291" w:type="dxa"/>
            <w:vAlign w:val="center"/>
          </w:tcPr>
          <w:p w:rsidR="00247969" w:rsidRDefault="00B60399">
            <w:pPr>
              <w:jc w:val="right"/>
            </w:pPr>
            <w:r>
              <w:rPr>
                <w:rFonts w:eastAsiaTheme="minorEastAsia"/>
                <w:color w:val="000000" w:themeColor="text1"/>
                <w:szCs w:val="21"/>
              </w:rPr>
              <w:t>0.49%</w:t>
            </w:r>
          </w:p>
        </w:tc>
      </w:tr>
    </w:tbl>
    <w:p w:rsidR="005E6DF3" w:rsidRPr="00B27A29" w:rsidRDefault="005C671B">
      <w:pPr>
        <w:spacing w:beforeLines="100" w:before="312" w:line="360" w:lineRule="auto"/>
        <w:rPr>
          <w:rFonts w:eastAsiaTheme="minorEastAsia"/>
          <w:b/>
          <w:color w:val="000000" w:themeColor="text1"/>
          <w:kern w:val="0"/>
          <w:szCs w:val="21"/>
        </w:rPr>
      </w:pPr>
      <w:r w:rsidRPr="00B27A29">
        <w:rPr>
          <w:rFonts w:eastAsiaTheme="minorEastAsia"/>
          <w:b/>
          <w:color w:val="000000" w:themeColor="text1"/>
          <w:kern w:val="0"/>
          <w:szCs w:val="21"/>
        </w:rPr>
        <w:t>3.2.2</w:t>
      </w:r>
      <w:r w:rsidRPr="00B27A29">
        <w:rPr>
          <w:rFonts w:eastAsiaTheme="minorEastAsia"/>
          <w:b/>
          <w:color w:val="000000" w:themeColor="text1"/>
          <w:kern w:val="0"/>
          <w:szCs w:val="21"/>
        </w:rPr>
        <w:t xml:space="preserve">　</w:t>
      </w:r>
      <w:r w:rsidRPr="00B27A29">
        <w:rPr>
          <w:rStyle w:val="af5"/>
          <w:color w:val="000000" w:themeColor="text1"/>
          <w:szCs w:val="21"/>
          <w:shd w:val="clear" w:color="auto" w:fill="FFFFFF"/>
        </w:rPr>
        <w:t>自基金合同生效以来</w:t>
      </w:r>
      <w:r w:rsidRPr="00B27A29">
        <w:rPr>
          <w:rFonts w:eastAsiaTheme="minorEastAsia"/>
          <w:b/>
          <w:color w:val="000000" w:themeColor="text1"/>
          <w:szCs w:val="21"/>
        </w:rPr>
        <w:t>基金累计净值增长率变动及其与同期业绩比较基准收益率变动的比较</w:t>
      </w:r>
    </w:p>
    <w:p w:rsidR="005E6DF3" w:rsidRPr="00B27A29" w:rsidRDefault="005C671B">
      <w:pPr>
        <w:spacing w:line="360" w:lineRule="auto"/>
        <w:jc w:val="center"/>
        <w:rPr>
          <w:rFonts w:eastAsiaTheme="minorEastAsia"/>
          <w:color w:val="000000" w:themeColor="text1"/>
          <w:szCs w:val="21"/>
        </w:rPr>
      </w:pPr>
      <w:r w:rsidRPr="00B27A29">
        <w:rPr>
          <w:rFonts w:eastAsiaTheme="minorEastAsia"/>
          <w:color w:val="000000" w:themeColor="text1"/>
          <w:szCs w:val="21"/>
        </w:rPr>
        <w:t>上投摩根双息平衡混合型证券投资基金</w:t>
      </w:r>
    </w:p>
    <w:p w:rsidR="005E6DF3" w:rsidRPr="00B27A29" w:rsidRDefault="005C671B">
      <w:pPr>
        <w:pStyle w:val="a9"/>
        <w:snapToGrid w:val="0"/>
        <w:spacing w:line="360" w:lineRule="auto"/>
        <w:jc w:val="center"/>
        <w:rPr>
          <w:rFonts w:ascii="Times New Roman" w:eastAsiaTheme="minorEastAsia" w:hAnsi="Times New Roman"/>
          <w:color w:val="000000" w:themeColor="text1"/>
        </w:rPr>
      </w:pPr>
      <w:r w:rsidRPr="00B27A29">
        <w:rPr>
          <w:rFonts w:ascii="Times New Roman" w:eastAsiaTheme="minorEastAsia" w:hAnsi="Times New Roman"/>
          <w:color w:val="000000" w:themeColor="text1"/>
        </w:rPr>
        <w:t>累计净值增长率与业绩比较基准收益率的历史走势对比图</w:t>
      </w:r>
    </w:p>
    <w:p w:rsidR="005E6DF3" w:rsidRPr="00B27A29" w:rsidRDefault="005C671B">
      <w:pPr>
        <w:pStyle w:val="a9"/>
        <w:snapToGrid w:val="0"/>
        <w:spacing w:line="360" w:lineRule="auto"/>
        <w:ind w:firstLine="480"/>
        <w:jc w:val="center"/>
        <w:rPr>
          <w:rFonts w:ascii="Times New Roman" w:eastAsiaTheme="minorEastAsia" w:hAnsi="Times New Roman"/>
          <w:color w:val="000000" w:themeColor="text1"/>
        </w:rPr>
      </w:pPr>
      <w:r w:rsidRPr="00B27A29">
        <w:rPr>
          <w:rFonts w:ascii="Times New Roman" w:eastAsiaTheme="minorEastAsia" w:hAnsi="Times New Roman"/>
          <w:color w:val="000000" w:themeColor="text1"/>
        </w:rPr>
        <w:t>(2006</w:t>
      </w:r>
      <w:r w:rsidRPr="00B27A29">
        <w:rPr>
          <w:rFonts w:ascii="Times New Roman" w:eastAsiaTheme="minorEastAsia" w:hAnsi="Times New Roman"/>
          <w:color w:val="000000" w:themeColor="text1"/>
        </w:rPr>
        <w:t>年</w:t>
      </w:r>
      <w:r w:rsidRPr="00B27A29">
        <w:rPr>
          <w:rFonts w:ascii="Times New Roman" w:eastAsiaTheme="minorEastAsia" w:hAnsi="Times New Roman"/>
          <w:color w:val="000000" w:themeColor="text1"/>
        </w:rPr>
        <w:t>4</w:t>
      </w:r>
      <w:r w:rsidRPr="00B27A29">
        <w:rPr>
          <w:rFonts w:ascii="Times New Roman" w:eastAsiaTheme="minorEastAsia" w:hAnsi="Times New Roman"/>
          <w:color w:val="000000" w:themeColor="text1"/>
        </w:rPr>
        <w:t>月</w:t>
      </w:r>
      <w:r w:rsidRPr="00B27A29">
        <w:rPr>
          <w:rFonts w:ascii="Times New Roman" w:eastAsiaTheme="minorEastAsia" w:hAnsi="Times New Roman"/>
          <w:color w:val="000000" w:themeColor="text1"/>
        </w:rPr>
        <w:t>26</w:t>
      </w:r>
      <w:r w:rsidRPr="00B27A29">
        <w:rPr>
          <w:rFonts w:ascii="Times New Roman" w:eastAsiaTheme="minorEastAsia" w:hAnsi="Times New Roman"/>
          <w:color w:val="000000" w:themeColor="text1"/>
        </w:rPr>
        <w:t>日至</w:t>
      </w:r>
      <w:r w:rsidRPr="00B27A29">
        <w:rPr>
          <w:rFonts w:ascii="Times New Roman" w:eastAsiaTheme="minorEastAsia" w:hAnsi="Times New Roman"/>
          <w:color w:val="000000" w:themeColor="text1"/>
        </w:rPr>
        <w:t>2021</w:t>
      </w:r>
      <w:r w:rsidRPr="00B27A29">
        <w:rPr>
          <w:rFonts w:ascii="Times New Roman" w:eastAsiaTheme="minorEastAsia" w:hAnsi="Times New Roman"/>
          <w:color w:val="000000" w:themeColor="text1"/>
        </w:rPr>
        <w:t>年</w:t>
      </w:r>
      <w:r w:rsidRPr="00B27A29">
        <w:rPr>
          <w:rFonts w:ascii="Times New Roman" w:eastAsiaTheme="minorEastAsia" w:hAnsi="Times New Roman"/>
          <w:color w:val="000000" w:themeColor="text1"/>
        </w:rPr>
        <w:t>9</w:t>
      </w:r>
      <w:r w:rsidRPr="00B27A29">
        <w:rPr>
          <w:rFonts w:ascii="Times New Roman" w:eastAsiaTheme="minorEastAsia" w:hAnsi="Times New Roman"/>
          <w:color w:val="000000" w:themeColor="text1"/>
        </w:rPr>
        <w:t>月</w:t>
      </w:r>
      <w:r w:rsidRPr="00B27A29">
        <w:rPr>
          <w:rFonts w:ascii="Times New Roman" w:eastAsiaTheme="minorEastAsia" w:hAnsi="Times New Roman"/>
          <w:color w:val="000000" w:themeColor="text1"/>
        </w:rPr>
        <w:t>30</w:t>
      </w:r>
      <w:r w:rsidRPr="00B27A29">
        <w:rPr>
          <w:rFonts w:ascii="Times New Roman" w:eastAsiaTheme="minorEastAsia" w:hAnsi="Times New Roman"/>
          <w:color w:val="000000" w:themeColor="text1"/>
        </w:rPr>
        <w:t>日</w:t>
      </w:r>
      <w:r w:rsidRPr="00B27A29">
        <w:rPr>
          <w:rFonts w:ascii="Times New Roman" w:eastAsiaTheme="minorEastAsia" w:hAnsi="Times New Roman"/>
          <w:color w:val="000000" w:themeColor="text1"/>
        </w:rPr>
        <w:t>)</w:t>
      </w:r>
    </w:p>
    <w:p w:rsidR="005E6DF3" w:rsidRPr="00B27A29" w:rsidRDefault="005C671B">
      <w:pPr>
        <w:snapToGrid w:val="0"/>
        <w:spacing w:line="360" w:lineRule="auto"/>
        <w:rPr>
          <w:rFonts w:eastAsiaTheme="minorEastAsia"/>
          <w:color w:val="000000" w:themeColor="text1"/>
          <w:szCs w:val="21"/>
        </w:rPr>
      </w:pPr>
      <w:r w:rsidRPr="00B27A29">
        <w:rPr>
          <w:rFonts w:eastAsiaTheme="minorEastAsia"/>
          <w:color w:val="000000" w:themeColor="text1"/>
          <w:szCs w:val="21"/>
        </w:rPr>
        <w:t>1</w:t>
      </w:r>
      <w:r w:rsidRPr="00B27A29">
        <w:rPr>
          <w:rFonts w:eastAsiaTheme="minorEastAsia"/>
          <w:color w:val="000000" w:themeColor="text1"/>
          <w:szCs w:val="21"/>
        </w:rPr>
        <w:t>．上投摩根双息平衡混合</w:t>
      </w:r>
      <w:r w:rsidRPr="00B27A29">
        <w:rPr>
          <w:rFonts w:eastAsiaTheme="minorEastAsia"/>
          <w:color w:val="000000" w:themeColor="text1"/>
          <w:szCs w:val="21"/>
        </w:rPr>
        <w:t>A</w:t>
      </w:r>
      <w:r w:rsidRPr="00B27A29">
        <w:rPr>
          <w:rFonts w:eastAsiaTheme="minorEastAsia"/>
          <w:color w:val="000000" w:themeColor="text1"/>
          <w:szCs w:val="21"/>
        </w:rPr>
        <w:t>：</w:t>
      </w:r>
    </w:p>
    <w:p w:rsidR="005E6DF3" w:rsidRPr="00B27A29" w:rsidRDefault="005C671B">
      <w:pPr>
        <w:pStyle w:val="20"/>
        <w:spacing w:line="288" w:lineRule="auto"/>
        <w:ind w:firstLineChars="0" w:firstLine="0"/>
        <w:jc w:val="center"/>
        <w:rPr>
          <w:rFonts w:ascii="Times New Roman" w:eastAsiaTheme="minorEastAsia" w:hAnsi="Times New Roman"/>
          <w:color w:val="000000" w:themeColor="text1"/>
          <w:sz w:val="21"/>
          <w:szCs w:val="21"/>
        </w:rPr>
      </w:pPr>
      <w:r w:rsidRPr="00B27A29">
        <w:rPr>
          <w:rFonts w:ascii="Times New Roman" w:eastAsiaTheme="minorEastAsia" w:hAnsi="Times New Roman"/>
          <w:noProof/>
          <w:color w:val="000000" w:themeColor="text1"/>
          <w:sz w:val="21"/>
          <w:szCs w:val="21"/>
        </w:rPr>
        <w:lastRenderedPageBreak/>
        <w:drawing>
          <wp:inline distT="0" distB="0" distL="0" distR="0" wp14:anchorId="5E1D8726" wp14:editId="2DD6A0AF">
            <wp:extent cx="5591175" cy="3276600"/>
            <wp:effectExtent l="0" t="0" r="0" b="0"/>
            <wp:docPr id="2" name="图片 2"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浏览器下载\走势图柱状图\走势图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247969" w:rsidRDefault="00B60399">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注：本基金合同生效日为</w:t>
      </w:r>
      <w:r>
        <w:rPr>
          <w:rFonts w:eastAsiaTheme="minorEastAsia"/>
          <w:color w:val="000000" w:themeColor="text1"/>
          <w:szCs w:val="21"/>
        </w:rPr>
        <w:t>2006</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w:t>
      </w:r>
      <w:r>
        <w:rPr>
          <w:rFonts w:eastAsiaTheme="minorEastAsia"/>
          <w:color w:val="000000" w:themeColor="text1"/>
          <w:szCs w:val="21"/>
        </w:rPr>
        <w:t>26</w:t>
      </w:r>
      <w:r>
        <w:rPr>
          <w:rFonts w:eastAsiaTheme="minorEastAsia"/>
          <w:color w:val="000000" w:themeColor="text1"/>
          <w:szCs w:val="21"/>
        </w:rPr>
        <w:t>日，图示的时间段为合同生效日至本报告期末。</w:t>
      </w:r>
    </w:p>
    <w:p w:rsidR="00247969" w:rsidRDefault="00B60399">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本基金建仓期为本基金合同生效日起</w:t>
      </w:r>
      <w:r>
        <w:rPr>
          <w:rFonts w:eastAsiaTheme="minorEastAsia"/>
          <w:color w:val="000000" w:themeColor="text1"/>
          <w:szCs w:val="21"/>
        </w:rPr>
        <w:t>6</w:t>
      </w:r>
      <w:r>
        <w:rPr>
          <w:rFonts w:eastAsiaTheme="minorEastAsia"/>
          <w:color w:val="000000" w:themeColor="text1"/>
          <w:szCs w:val="21"/>
        </w:rPr>
        <w:t>个月，建仓期结束时资产配置比例符合本基金基金合同规定。</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本基金自</w:t>
      </w:r>
      <w:r w:rsidRPr="00B27A29">
        <w:rPr>
          <w:rFonts w:eastAsiaTheme="minorEastAsia"/>
          <w:color w:val="000000" w:themeColor="text1"/>
          <w:szCs w:val="21"/>
        </w:rPr>
        <w:t>2013</w:t>
      </w:r>
      <w:r w:rsidRPr="00B27A29">
        <w:rPr>
          <w:rFonts w:eastAsiaTheme="minorEastAsia"/>
          <w:color w:val="000000" w:themeColor="text1"/>
          <w:szCs w:val="21"/>
        </w:rPr>
        <w:t>年</w:t>
      </w:r>
      <w:r w:rsidRPr="00B27A29">
        <w:rPr>
          <w:rFonts w:eastAsiaTheme="minorEastAsia"/>
          <w:color w:val="000000" w:themeColor="text1"/>
          <w:szCs w:val="21"/>
        </w:rPr>
        <w:t>12</w:t>
      </w:r>
      <w:r w:rsidRPr="00B27A29">
        <w:rPr>
          <w:rFonts w:eastAsiaTheme="minorEastAsia"/>
          <w:color w:val="000000" w:themeColor="text1"/>
          <w:szCs w:val="21"/>
        </w:rPr>
        <w:t>月</w:t>
      </w:r>
      <w:r w:rsidRPr="00B27A29">
        <w:rPr>
          <w:rFonts w:eastAsiaTheme="minorEastAsia"/>
          <w:color w:val="000000" w:themeColor="text1"/>
          <w:szCs w:val="21"/>
        </w:rPr>
        <w:t>7</w:t>
      </w:r>
      <w:r w:rsidRPr="00B27A29">
        <w:rPr>
          <w:rFonts w:eastAsiaTheme="minorEastAsia"/>
          <w:color w:val="000000" w:themeColor="text1"/>
          <w:szCs w:val="21"/>
        </w:rPr>
        <w:t>日起，将基金业绩比较基准由</w:t>
      </w:r>
      <w:r w:rsidRPr="00B27A29">
        <w:rPr>
          <w:rFonts w:eastAsiaTheme="minorEastAsia"/>
          <w:color w:val="000000" w:themeColor="text1"/>
          <w:szCs w:val="21"/>
        </w:rPr>
        <w:t>“</w:t>
      </w:r>
      <w:r w:rsidRPr="00B27A29">
        <w:rPr>
          <w:rFonts w:eastAsiaTheme="minorEastAsia"/>
          <w:color w:val="000000" w:themeColor="text1"/>
          <w:szCs w:val="21"/>
        </w:rPr>
        <w:t>富时中国</w:t>
      </w:r>
      <w:r w:rsidRPr="00B27A29">
        <w:rPr>
          <w:rFonts w:eastAsiaTheme="minorEastAsia"/>
          <w:color w:val="000000" w:themeColor="text1"/>
          <w:szCs w:val="21"/>
        </w:rPr>
        <w:t>150</w:t>
      </w:r>
      <w:r w:rsidRPr="00B27A29">
        <w:rPr>
          <w:rFonts w:eastAsiaTheme="minorEastAsia"/>
          <w:color w:val="000000" w:themeColor="text1"/>
          <w:szCs w:val="21"/>
        </w:rPr>
        <w:t>红利指数收益率</w:t>
      </w:r>
      <w:r w:rsidRPr="00B27A29">
        <w:rPr>
          <w:rFonts w:eastAsiaTheme="minorEastAsia"/>
          <w:color w:val="000000" w:themeColor="text1"/>
          <w:szCs w:val="21"/>
        </w:rPr>
        <w:t>×45%+</w:t>
      </w:r>
      <w:r w:rsidRPr="00B27A29">
        <w:rPr>
          <w:rFonts w:eastAsiaTheme="minorEastAsia"/>
          <w:color w:val="000000" w:themeColor="text1"/>
          <w:szCs w:val="21"/>
        </w:rPr>
        <w:t>富时中国国债指数收益率</w:t>
      </w:r>
      <w:r w:rsidRPr="00B27A29">
        <w:rPr>
          <w:rFonts w:eastAsiaTheme="minorEastAsia"/>
          <w:color w:val="000000" w:themeColor="text1"/>
          <w:szCs w:val="21"/>
        </w:rPr>
        <w:t>×45%+</w:t>
      </w:r>
      <w:r w:rsidRPr="00B27A29">
        <w:rPr>
          <w:rFonts w:eastAsiaTheme="minorEastAsia"/>
          <w:color w:val="000000" w:themeColor="text1"/>
          <w:szCs w:val="21"/>
        </w:rPr>
        <w:t>同业存款利率</w:t>
      </w:r>
      <w:r w:rsidRPr="00B27A29">
        <w:rPr>
          <w:rFonts w:eastAsiaTheme="minorEastAsia"/>
          <w:color w:val="000000" w:themeColor="text1"/>
          <w:szCs w:val="21"/>
        </w:rPr>
        <w:t>×10%”</w:t>
      </w:r>
      <w:r w:rsidRPr="00B27A29">
        <w:rPr>
          <w:rFonts w:eastAsiaTheme="minorEastAsia"/>
          <w:color w:val="000000" w:themeColor="text1"/>
          <w:szCs w:val="21"/>
        </w:rPr>
        <w:t>变更为</w:t>
      </w:r>
      <w:r w:rsidRPr="00B27A29">
        <w:rPr>
          <w:rFonts w:eastAsiaTheme="minorEastAsia"/>
          <w:color w:val="000000" w:themeColor="text1"/>
          <w:szCs w:val="21"/>
        </w:rPr>
        <w:t>“</w:t>
      </w:r>
      <w:r w:rsidRPr="00B27A29">
        <w:rPr>
          <w:rFonts w:eastAsiaTheme="minorEastAsia"/>
          <w:color w:val="000000" w:themeColor="text1"/>
          <w:szCs w:val="21"/>
        </w:rPr>
        <w:t>中证红利指数收益率</w:t>
      </w:r>
      <w:r w:rsidRPr="00B27A29">
        <w:rPr>
          <w:rFonts w:eastAsiaTheme="minorEastAsia"/>
          <w:color w:val="000000" w:themeColor="text1"/>
          <w:szCs w:val="21"/>
        </w:rPr>
        <w:t>×45%+</w:t>
      </w:r>
      <w:r w:rsidRPr="00B27A29">
        <w:rPr>
          <w:rFonts w:eastAsiaTheme="minorEastAsia"/>
          <w:color w:val="000000" w:themeColor="text1"/>
          <w:szCs w:val="21"/>
        </w:rPr>
        <w:t>中债总指数收益率</w:t>
      </w:r>
      <w:r w:rsidRPr="00B27A29">
        <w:rPr>
          <w:rFonts w:eastAsiaTheme="minorEastAsia"/>
          <w:color w:val="000000" w:themeColor="text1"/>
          <w:szCs w:val="21"/>
        </w:rPr>
        <w:t>×55%”</w:t>
      </w:r>
      <w:r w:rsidRPr="00B27A29">
        <w:rPr>
          <w:rFonts w:eastAsiaTheme="minorEastAsia"/>
          <w:color w:val="000000" w:themeColor="text1"/>
          <w:szCs w:val="21"/>
        </w:rPr>
        <w:t>。</w:t>
      </w:r>
    </w:p>
    <w:p w:rsidR="005E6DF3" w:rsidRPr="00B27A29" w:rsidRDefault="005C671B">
      <w:pPr>
        <w:snapToGrid w:val="0"/>
        <w:spacing w:beforeLines="100" w:before="312" w:line="360" w:lineRule="auto"/>
        <w:rPr>
          <w:rFonts w:eastAsiaTheme="minorEastAsia"/>
          <w:color w:val="000000" w:themeColor="text1"/>
          <w:szCs w:val="21"/>
        </w:rPr>
      </w:pPr>
      <w:r w:rsidRPr="00B27A29">
        <w:rPr>
          <w:rFonts w:eastAsiaTheme="minorEastAsia"/>
          <w:color w:val="000000" w:themeColor="text1"/>
          <w:szCs w:val="21"/>
        </w:rPr>
        <w:t>2</w:t>
      </w:r>
      <w:r w:rsidRPr="00B27A29">
        <w:rPr>
          <w:rFonts w:eastAsiaTheme="minorEastAsia"/>
          <w:color w:val="000000" w:themeColor="text1"/>
          <w:szCs w:val="21"/>
        </w:rPr>
        <w:t>．上投摩根双息平衡混合</w:t>
      </w:r>
      <w:r w:rsidRPr="00B27A29">
        <w:rPr>
          <w:rFonts w:eastAsiaTheme="minorEastAsia"/>
          <w:color w:val="000000" w:themeColor="text1"/>
          <w:szCs w:val="21"/>
        </w:rPr>
        <w:t>H</w:t>
      </w:r>
      <w:r w:rsidRPr="00B27A29">
        <w:rPr>
          <w:rFonts w:eastAsiaTheme="minorEastAsia"/>
          <w:color w:val="000000" w:themeColor="text1"/>
          <w:szCs w:val="21"/>
        </w:rPr>
        <w:t>：</w:t>
      </w:r>
    </w:p>
    <w:p w:rsidR="005E6DF3" w:rsidRPr="00B27A29" w:rsidRDefault="005C671B">
      <w:pPr>
        <w:pStyle w:val="20"/>
        <w:spacing w:line="288" w:lineRule="auto"/>
        <w:ind w:firstLineChars="0" w:firstLine="0"/>
        <w:jc w:val="center"/>
        <w:rPr>
          <w:rFonts w:ascii="Times New Roman" w:eastAsiaTheme="minorEastAsia" w:hAnsi="Times New Roman"/>
          <w:color w:val="000000" w:themeColor="text1"/>
          <w:sz w:val="21"/>
          <w:szCs w:val="21"/>
        </w:rPr>
      </w:pPr>
      <w:r w:rsidRPr="00B27A29">
        <w:rPr>
          <w:rFonts w:ascii="Times New Roman" w:eastAsiaTheme="minorEastAsia" w:hAnsi="Times New Roman"/>
          <w:noProof/>
          <w:color w:val="000000" w:themeColor="text1"/>
          <w:sz w:val="21"/>
          <w:szCs w:val="21"/>
        </w:rPr>
        <w:lastRenderedPageBreak/>
        <w:drawing>
          <wp:inline distT="0" distB="0" distL="0" distR="0" wp14:anchorId="1DDF3849" wp14:editId="177F12C7">
            <wp:extent cx="5591175" cy="3276600"/>
            <wp:effectExtent l="0" t="0" r="0" b="0"/>
            <wp:docPr id="3" name="图片 3" descr="D:\浏览器下载\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D:\浏览器下载\走势图柱状图\走势图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247969" w:rsidRDefault="00B60399">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注：本基金建仓期为本基金合同生效日起</w:t>
      </w:r>
      <w:r>
        <w:rPr>
          <w:rFonts w:eastAsiaTheme="minorEastAsia"/>
          <w:color w:val="000000" w:themeColor="text1"/>
          <w:szCs w:val="21"/>
        </w:rPr>
        <w:t>6</w:t>
      </w:r>
      <w:r>
        <w:rPr>
          <w:rFonts w:eastAsiaTheme="minorEastAsia"/>
          <w:color w:val="000000" w:themeColor="text1"/>
          <w:szCs w:val="21"/>
        </w:rPr>
        <w:t>个月，建仓期结束时资产配置比例符合本基金基金合同规定。本类份额生效日为</w:t>
      </w:r>
      <w:r>
        <w:rPr>
          <w:rFonts w:eastAsiaTheme="minorEastAsia"/>
          <w:color w:val="000000" w:themeColor="text1"/>
          <w:szCs w:val="21"/>
        </w:rPr>
        <w:t>2016</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w:t>
      </w:r>
      <w:r>
        <w:rPr>
          <w:rFonts w:eastAsiaTheme="minorEastAsia"/>
          <w:color w:val="000000" w:themeColor="text1"/>
          <w:szCs w:val="21"/>
        </w:rPr>
        <w:t>17</w:t>
      </w:r>
      <w:r>
        <w:rPr>
          <w:rFonts w:eastAsiaTheme="minorEastAsia"/>
          <w:color w:val="000000" w:themeColor="text1"/>
          <w:szCs w:val="21"/>
        </w:rPr>
        <w:t>日，图示的时间段为本类份额生效日至本报告期末。</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本基金自</w:t>
      </w:r>
      <w:r w:rsidRPr="00B27A29">
        <w:rPr>
          <w:rFonts w:eastAsiaTheme="minorEastAsia"/>
          <w:color w:val="000000" w:themeColor="text1"/>
          <w:szCs w:val="21"/>
        </w:rPr>
        <w:t>2013</w:t>
      </w:r>
      <w:r w:rsidRPr="00B27A29">
        <w:rPr>
          <w:rFonts w:eastAsiaTheme="minorEastAsia"/>
          <w:color w:val="000000" w:themeColor="text1"/>
          <w:szCs w:val="21"/>
        </w:rPr>
        <w:t>年</w:t>
      </w:r>
      <w:r w:rsidRPr="00B27A29">
        <w:rPr>
          <w:rFonts w:eastAsiaTheme="minorEastAsia"/>
          <w:color w:val="000000" w:themeColor="text1"/>
          <w:szCs w:val="21"/>
        </w:rPr>
        <w:t>12</w:t>
      </w:r>
      <w:r w:rsidRPr="00B27A29">
        <w:rPr>
          <w:rFonts w:eastAsiaTheme="minorEastAsia"/>
          <w:color w:val="000000" w:themeColor="text1"/>
          <w:szCs w:val="21"/>
        </w:rPr>
        <w:t>月</w:t>
      </w:r>
      <w:r w:rsidRPr="00B27A29">
        <w:rPr>
          <w:rFonts w:eastAsiaTheme="minorEastAsia"/>
          <w:color w:val="000000" w:themeColor="text1"/>
          <w:szCs w:val="21"/>
        </w:rPr>
        <w:t>7</w:t>
      </w:r>
      <w:r w:rsidRPr="00B27A29">
        <w:rPr>
          <w:rFonts w:eastAsiaTheme="minorEastAsia"/>
          <w:color w:val="000000" w:themeColor="text1"/>
          <w:szCs w:val="21"/>
        </w:rPr>
        <w:t>日起，将基金业绩比较基准由</w:t>
      </w:r>
      <w:r w:rsidRPr="00B27A29">
        <w:rPr>
          <w:rFonts w:eastAsiaTheme="minorEastAsia"/>
          <w:color w:val="000000" w:themeColor="text1"/>
          <w:szCs w:val="21"/>
        </w:rPr>
        <w:t>“</w:t>
      </w:r>
      <w:r w:rsidRPr="00B27A29">
        <w:rPr>
          <w:rFonts w:eastAsiaTheme="minorEastAsia"/>
          <w:color w:val="000000" w:themeColor="text1"/>
          <w:szCs w:val="21"/>
        </w:rPr>
        <w:t>富时中国</w:t>
      </w:r>
      <w:r w:rsidRPr="00B27A29">
        <w:rPr>
          <w:rFonts w:eastAsiaTheme="minorEastAsia"/>
          <w:color w:val="000000" w:themeColor="text1"/>
          <w:szCs w:val="21"/>
        </w:rPr>
        <w:t>150</w:t>
      </w:r>
      <w:r w:rsidRPr="00B27A29">
        <w:rPr>
          <w:rFonts w:eastAsiaTheme="minorEastAsia"/>
          <w:color w:val="000000" w:themeColor="text1"/>
          <w:szCs w:val="21"/>
        </w:rPr>
        <w:t>红利指数收益率</w:t>
      </w:r>
      <w:r w:rsidRPr="00B27A29">
        <w:rPr>
          <w:rFonts w:eastAsiaTheme="minorEastAsia"/>
          <w:color w:val="000000" w:themeColor="text1"/>
          <w:szCs w:val="21"/>
        </w:rPr>
        <w:t>×45%+</w:t>
      </w:r>
      <w:r w:rsidRPr="00B27A29">
        <w:rPr>
          <w:rFonts w:eastAsiaTheme="minorEastAsia"/>
          <w:color w:val="000000" w:themeColor="text1"/>
          <w:szCs w:val="21"/>
        </w:rPr>
        <w:t>富时中国国债指数收益率</w:t>
      </w:r>
      <w:r w:rsidRPr="00B27A29">
        <w:rPr>
          <w:rFonts w:eastAsiaTheme="minorEastAsia"/>
          <w:color w:val="000000" w:themeColor="text1"/>
          <w:szCs w:val="21"/>
        </w:rPr>
        <w:t>×45%+</w:t>
      </w:r>
      <w:r w:rsidRPr="00B27A29">
        <w:rPr>
          <w:rFonts w:eastAsiaTheme="minorEastAsia"/>
          <w:color w:val="000000" w:themeColor="text1"/>
          <w:szCs w:val="21"/>
        </w:rPr>
        <w:t>同业存款利率</w:t>
      </w:r>
      <w:r w:rsidRPr="00B27A29">
        <w:rPr>
          <w:rFonts w:eastAsiaTheme="minorEastAsia"/>
          <w:color w:val="000000" w:themeColor="text1"/>
          <w:szCs w:val="21"/>
        </w:rPr>
        <w:t>×10%”</w:t>
      </w:r>
      <w:r w:rsidRPr="00B27A29">
        <w:rPr>
          <w:rFonts w:eastAsiaTheme="minorEastAsia"/>
          <w:color w:val="000000" w:themeColor="text1"/>
          <w:szCs w:val="21"/>
        </w:rPr>
        <w:t>变更为</w:t>
      </w:r>
      <w:r w:rsidRPr="00B27A29">
        <w:rPr>
          <w:rFonts w:eastAsiaTheme="minorEastAsia"/>
          <w:color w:val="000000" w:themeColor="text1"/>
          <w:szCs w:val="21"/>
        </w:rPr>
        <w:t>“</w:t>
      </w:r>
      <w:r w:rsidRPr="00B27A29">
        <w:rPr>
          <w:rFonts w:eastAsiaTheme="minorEastAsia"/>
          <w:color w:val="000000" w:themeColor="text1"/>
          <w:szCs w:val="21"/>
        </w:rPr>
        <w:t>中证红利指数收益率</w:t>
      </w:r>
      <w:r w:rsidRPr="00B27A29">
        <w:rPr>
          <w:rFonts w:eastAsiaTheme="minorEastAsia"/>
          <w:color w:val="000000" w:themeColor="text1"/>
          <w:szCs w:val="21"/>
        </w:rPr>
        <w:t>×45%+</w:t>
      </w:r>
      <w:r w:rsidRPr="00B27A29">
        <w:rPr>
          <w:rFonts w:eastAsiaTheme="minorEastAsia"/>
          <w:color w:val="000000" w:themeColor="text1"/>
          <w:szCs w:val="21"/>
        </w:rPr>
        <w:t>中债总指数收益率</w:t>
      </w:r>
      <w:r w:rsidRPr="00B27A29">
        <w:rPr>
          <w:rFonts w:eastAsiaTheme="minorEastAsia"/>
          <w:color w:val="000000" w:themeColor="text1"/>
          <w:szCs w:val="21"/>
        </w:rPr>
        <w:t>×55%”</w:t>
      </w:r>
      <w:r w:rsidRPr="00B27A29">
        <w:rPr>
          <w:rFonts w:eastAsiaTheme="minorEastAsia"/>
          <w:color w:val="000000" w:themeColor="text1"/>
          <w:szCs w:val="21"/>
        </w:rPr>
        <w:t>。</w:t>
      </w:r>
    </w:p>
    <w:p w:rsidR="005E6DF3" w:rsidRPr="00B27A29" w:rsidRDefault="005E6DF3">
      <w:pPr>
        <w:tabs>
          <w:tab w:val="left" w:pos="1800"/>
        </w:tabs>
        <w:spacing w:line="288" w:lineRule="auto"/>
        <w:rPr>
          <w:rFonts w:eastAsiaTheme="minorEastAsia"/>
          <w:color w:val="000000" w:themeColor="text1"/>
          <w:szCs w:val="21"/>
        </w:rPr>
      </w:pP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§4  </w:t>
      </w:r>
      <w:r w:rsidRPr="00B27A29">
        <w:rPr>
          <w:rFonts w:eastAsiaTheme="minorEastAsia"/>
          <w:color w:val="000000" w:themeColor="text1"/>
          <w:kern w:val="0"/>
          <w:sz w:val="21"/>
          <w:szCs w:val="21"/>
        </w:rPr>
        <w:t>管理人报告</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4.1 </w:t>
      </w:r>
      <w:r w:rsidRPr="00B27A29">
        <w:rPr>
          <w:rFonts w:eastAsiaTheme="minorEastAsia"/>
          <w:b/>
          <w:color w:val="000000" w:themeColor="text1"/>
          <w:kern w:val="0"/>
          <w:szCs w:val="21"/>
        </w:rPr>
        <w:t>基金经理（或基金经理小组）简介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
        <w:gridCol w:w="930"/>
        <w:gridCol w:w="1210"/>
        <w:gridCol w:w="1309"/>
        <w:gridCol w:w="1254"/>
        <w:gridCol w:w="3276"/>
      </w:tblGrid>
      <w:tr w:rsidR="005E6DF3" w:rsidRPr="00B27A29">
        <w:tc>
          <w:tcPr>
            <w:tcW w:w="952"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姓名</w:t>
            </w:r>
          </w:p>
        </w:tc>
        <w:tc>
          <w:tcPr>
            <w:tcW w:w="930"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职务</w:t>
            </w:r>
          </w:p>
        </w:tc>
        <w:tc>
          <w:tcPr>
            <w:tcW w:w="2519" w:type="dxa"/>
            <w:gridSpan w:val="2"/>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任本基金的基金经理期限</w:t>
            </w:r>
          </w:p>
        </w:tc>
        <w:tc>
          <w:tcPr>
            <w:tcW w:w="1254"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证券从业年限</w:t>
            </w:r>
          </w:p>
        </w:tc>
        <w:tc>
          <w:tcPr>
            <w:tcW w:w="3276"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说明</w:t>
            </w:r>
          </w:p>
        </w:tc>
      </w:tr>
      <w:tr w:rsidR="005E6DF3" w:rsidRPr="00B27A29">
        <w:tc>
          <w:tcPr>
            <w:tcW w:w="952"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930" w:type="dxa"/>
            <w:vMerge/>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1210"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任职日期</w:t>
            </w:r>
          </w:p>
        </w:tc>
        <w:tc>
          <w:tcPr>
            <w:tcW w:w="1309"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离任日期</w:t>
            </w:r>
          </w:p>
        </w:tc>
        <w:tc>
          <w:tcPr>
            <w:tcW w:w="1254"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3276"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r>
      <w:tr w:rsidR="00247969">
        <w:tc>
          <w:tcPr>
            <w:tcW w:w="952" w:type="dxa"/>
            <w:vAlign w:val="center"/>
          </w:tcPr>
          <w:p w:rsidR="00247969" w:rsidRDefault="00B60399">
            <w:pPr>
              <w:jc w:val="center"/>
            </w:pPr>
            <w:r>
              <w:rPr>
                <w:rFonts w:eastAsiaTheme="minorEastAsia"/>
                <w:color w:val="000000" w:themeColor="text1"/>
                <w:szCs w:val="21"/>
              </w:rPr>
              <w:t>孙芳</w:t>
            </w:r>
          </w:p>
        </w:tc>
        <w:tc>
          <w:tcPr>
            <w:tcW w:w="930" w:type="dxa"/>
            <w:vAlign w:val="center"/>
          </w:tcPr>
          <w:p w:rsidR="00247969" w:rsidRDefault="00B60399">
            <w:pPr>
              <w:jc w:val="center"/>
            </w:pPr>
            <w:r>
              <w:rPr>
                <w:rFonts w:eastAsiaTheme="minorEastAsia"/>
                <w:color w:val="000000" w:themeColor="text1"/>
                <w:szCs w:val="21"/>
              </w:rPr>
              <w:t>本基金基金经理、副总经理兼投资副总监</w:t>
            </w:r>
          </w:p>
        </w:tc>
        <w:tc>
          <w:tcPr>
            <w:tcW w:w="1210" w:type="dxa"/>
            <w:vAlign w:val="center"/>
          </w:tcPr>
          <w:p w:rsidR="00247969" w:rsidRDefault="00B60399">
            <w:pPr>
              <w:jc w:val="center"/>
            </w:pPr>
            <w:r>
              <w:rPr>
                <w:rFonts w:eastAsiaTheme="minorEastAsia"/>
                <w:color w:val="000000" w:themeColor="text1"/>
                <w:szCs w:val="21"/>
              </w:rPr>
              <w:t>2011-12-08</w:t>
            </w:r>
          </w:p>
        </w:tc>
        <w:tc>
          <w:tcPr>
            <w:tcW w:w="1309" w:type="dxa"/>
            <w:vAlign w:val="center"/>
          </w:tcPr>
          <w:p w:rsidR="00247969" w:rsidRDefault="00B60399">
            <w:pPr>
              <w:jc w:val="center"/>
            </w:pPr>
            <w:r>
              <w:rPr>
                <w:rFonts w:eastAsiaTheme="minorEastAsia"/>
                <w:color w:val="000000" w:themeColor="text1"/>
                <w:szCs w:val="21"/>
              </w:rPr>
              <w:t>-</w:t>
            </w:r>
          </w:p>
        </w:tc>
        <w:tc>
          <w:tcPr>
            <w:tcW w:w="1254" w:type="dxa"/>
            <w:vAlign w:val="center"/>
          </w:tcPr>
          <w:p w:rsidR="00247969" w:rsidRDefault="00B60399">
            <w:pPr>
              <w:jc w:val="center"/>
            </w:pPr>
            <w:r>
              <w:rPr>
                <w:rFonts w:eastAsiaTheme="minorEastAsia"/>
                <w:color w:val="000000" w:themeColor="text1"/>
                <w:szCs w:val="21"/>
              </w:rPr>
              <w:t>18</w:t>
            </w:r>
            <w:r>
              <w:rPr>
                <w:rFonts w:eastAsiaTheme="minorEastAsia"/>
                <w:color w:val="000000" w:themeColor="text1"/>
                <w:szCs w:val="21"/>
              </w:rPr>
              <w:t>年</w:t>
            </w:r>
          </w:p>
        </w:tc>
        <w:tc>
          <w:tcPr>
            <w:tcW w:w="3276" w:type="dxa"/>
            <w:vAlign w:val="center"/>
          </w:tcPr>
          <w:p w:rsidR="00247969" w:rsidRDefault="00B60399">
            <w:r>
              <w:rPr>
                <w:rFonts w:eastAsiaTheme="minorEastAsia"/>
                <w:color w:val="000000" w:themeColor="text1"/>
                <w:szCs w:val="21"/>
              </w:rPr>
              <w:t>孙芳女士，华东师范大学经济学硕士，</w:t>
            </w:r>
            <w:r>
              <w:rPr>
                <w:rFonts w:eastAsiaTheme="minorEastAsia"/>
                <w:color w:val="000000" w:themeColor="text1"/>
                <w:szCs w:val="21"/>
              </w:rPr>
              <w:t>2003</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月至</w:t>
            </w:r>
            <w:r>
              <w:rPr>
                <w:rFonts w:eastAsiaTheme="minorEastAsia"/>
                <w:color w:val="000000" w:themeColor="text1"/>
                <w:szCs w:val="21"/>
              </w:rPr>
              <w:t>2006</w:t>
            </w:r>
            <w:r>
              <w:rPr>
                <w:rFonts w:eastAsiaTheme="minorEastAsia"/>
                <w:color w:val="000000" w:themeColor="text1"/>
                <w:szCs w:val="21"/>
              </w:rPr>
              <w:t>年</w:t>
            </w:r>
            <w:r>
              <w:rPr>
                <w:rFonts w:eastAsiaTheme="minorEastAsia"/>
                <w:color w:val="000000" w:themeColor="text1"/>
                <w:szCs w:val="21"/>
              </w:rPr>
              <w:t>10</w:t>
            </w:r>
            <w:r>
              <w:rPr>
                <w:rFonts w:eastAsiaTheme="minorEastAsia"/>
                <w:color w:val="000000" w:themeColor="text1"/>
                <w:szCs w:val="21"/>
              </w:rPr>
              <w:t>月任华宝兴业基金行业研究员。</w:t>
            </w:r>
            <w:r>
              <w:rPr>
                <w:rFonts w:eastAsiaTheme="minorEastAsia"/>
                <w:color w:val="000000" w:themeColor="text1"/>
                <w:szCs w:val="21"/>
              </w:rPr>
              <w:t>2006</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月起加入上投摩根基金管理有限公司，先后担任行业专家、基金经理助理、研究部副总监、基金经理、总经理助理</w:t>
            </w:r>
            <w:r>
              <w:rPr>
                <w:rFonts w:eastAsiaTheme="minorEastAsia"/>
                <w:color w:val="000000" w:themeColor="text1"/>
                <w:szCs w:val="21"/>
              </w:rPr>
              <w:t>/</w:t>
            </w:r>
            <w:r>
              <w:rPr>
                <w:rFonts w:eastAsiaTheme="minorEastAsia"/>
                <w:color w:val="000000" w:themeColor="text1"/>
                <w:szCs w:val="21"/>
              </w:rPr>
              <w:t>国内权益投资二部总监兼资深基金经理、副总经</w:t>
            </w:r>
            <w:r>
              <w:rPr>
                <w:rFonts w:eastAsiaTheme="minorEastAsia"/>
                <w:color w:val="000000" w:themeColor="text1"/>
                <w:szCs w:val="21"/>
              </w:rPr>
              <w:lastRenderedPageBreak/>
              <w:t>理兼投资副总监。自</w:t>
            </w:r>
            <w:r>
              <w:rPr>
                <w:rFonts w:eastAsiaTheme="minorEastAsia"/>
                <w:color w:val="000000" w:themeColor="text1"/>
                <w:szCs w:val="21"/>
              </w:rPr>
              <w:t>2011</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月起担任上投摩根双息平衡混合型证券投资基金基金经理，自</w:t>
            </w:r>
            <w:r>
              <w:rPr>
                <w:rFonts w:eastAsiaTheme="minorEastAsia"/>
                <w:color w:val="000000" w:themeColor="text1"/>
                <w:szCs w:val="21"/>
              </w:rPr>
              <w:t>2012</w:t>
            </w:r>
            <w:r>
              <w:rPr>
                <w:rFonts w:eastAsiaTheme="minorEastAsia"/>
                <w:color w:val="000000" w:themeColor="text1"/>
                <w:szCs w:val="21"/>
              </w:rPr>
              <w:t>年</w:t>
            </w:r>
            <w:r>
              <w:rPr>
                <w:rFonts w:eastAsiaTheme="minorEastAsia"/>
                <w:color w:val="000000" w:themeColor="text1"/>
                <w:szCs w:val="21"/>
              </w:rPr>
              <w:t>11</w:t>
            </w:r>
            <w:r>
              <w:rPr>
                <w:rFonts w:eastAsiaTheme="minorEastAsia"/>
                <w:color w:val="000000" w:themeColor="text1"/>
                <w:szCs w:val="21"/>
              </w:rPr>
              <w:t>月起同时担任上投摩根核心优选混合型证券投资基金基金经理，</w:t>
            </w:r>
            <w:r>
              <w:rPr>
                <w:rFonts w:eastAsiaTheme="minorEastAsia"/>
                <w:color w:val="000000" w:themeColor="text1"/>
                <w:szCs w:val="21"/>
              </w:rPr>
              <w:t>2014</w:t>
            </w:r>
            <w:r>
              <w:rPr>
                <w:rFonts w:eastAsiaTheme="minorEastAsia"/>
                <w:color w:val="000000" w:themeColor="text1"/>
                <w:szCs w:val="21"/>
              </w:rPr>
              <w:t>年</w:t>
            </w:r>
            <w:r>
              <w:rPr>
                <w:rFonts w:eastAsiaTheme="minorEastAsia"/>
                <w:color w:val="000000" w:themeColor="text1"/>
                <w:szCs w:val="21"/>
              </w:rPr>
              <w:t>2</w:t>
            </w:r>
            <w:r>
              <w:rPr>
                <w:rFonts w:eastAsiaTheme="minorEastAsia"/>
                <w:color w:val="000000" w:themeColor="text1"/>
                <w:szCs w:val="21"/>
              </w:rPr>
              <w:t>月至</w:t>
            </w: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月同时担任上投摩根核心成长股票型证券投资基金基金经理，自</w:t>
            </w:r>
            <w:r>
              <w:rPr>
                <w:rFonts w:eastAsiaTheme="minorEastAsia"/>
                <w:color w:val="000000" w:themeColor="text1"/>
                <w:szCs w:val="21"/>
              </w:rPr>
              <w:t>2014</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月起同时</w:t>
            </w:r>
            <w:r>
              <w:rPr>
                <w:rFonts w:eastAsiaTheme="minorEastAsia"/>
                <w:color w:val="000000" w:themeColor="text1"/>
                <w:szCs w:val="21"/>
              </w:rPr>
              <w:t>担任上投摩根行业轮动混合型证券投资基金基金经理，自</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2</w:t>
            </w:r>
            <w:r>
              <w:rPr>
                <w:rFonts w:eastAsiaTheme="minorEastAsia"/>
                <w:color w:val="000000" w:themeColor="text1"/>
                <w:szCs w:val="21"/>
              </w:rPr>
              <w:t>月起同时担任上投摩根行业睿选股票型证券投资基金基金经理。</w:t>
            </w:r>
          </w:p>
        </w:tc>
      </w:tr>
      <w:tr w:rsidR="00247969">
        <w:tc>
          <w:tcPr>
            <w:tcW w:w="952" w:type="dxa"/>
            <w:vAlign w:val="center"/>
          </w:tcPr>
          <w:p w:rsidR="00247969" w:rsidRDefault="00B60399">
            <w:pPr>
              <w:jc w:val="center"/>
            </w:pPr>
            <w:r>
              <w:rPr>
                <w:rFonts w:eastAsiaTheme="minorEastAsia"/>
                <w:color w:val="000000" w:themeColor="text1"/>
                <w:szCs w:val="21"/>
              </w:rPr>
              <w:lastRenderedPageBreak/>
              <w:t>李博</w:t>
            </w:r>
          </w:p>
        </w:tc>
        <w:tc>
          <w:tcPr>
            <w:tcW w:w="930" w:type="dxa"/>
            <w:vAlign w:val="center"/>
          </w:tcPr>
          <w:p w:rsidR="00247969" w:rsidRDefault="00B60399">
            <w:pPr>
              <w:jc w:val="center"/>
            </w:pPr>
            <w:r>
              <w:rPr>
                <w:rFonts w:eastAsiaTheme="minorEastAsia"/>
                <w:color w:val="000000" w:themeColor="text1"/>
                <w:szCs w:val="21"/>
              </w:rPr>
              <w:t>本基金基金经理</w:t>
            </w:r>
          </w:p>
        </w:tc>
        <w:tc>
          <w:tcPr>
            <w:tcW w:w="1210" w:type="dxa"/>
            <w:vAlign w:val="center"/>
          </w:tcPr>
          <w:p w:rsidR="00247969" w:rsidRDefault="00B60399">
            <w:pPr>
              <w:jc w:val="center"/>
            </w:pPr>
            <w:r>
              <w:rPr>
                <w:rFonts w:eastAsiaTheme="minorEastAsia"/>
                <w:color w:val="000000" w:themeColor="text1"/>
                <w:szCs w:val="21"/>
              </w:rPr>
              <w:t>2016-10-28</w:t>
            </w:r>
          </w:p>
        </w:tc>
        <w:tc>
          <w:tcPr>
            <w:tcW w:w="1309" w:type="dxa"/>
            <w:vAlign w:val="center"/>
          </w:tcPr>
          <w:p w:rsidR="00247969" w:rsidRDefault="00B60399">
            <w:pPr>
              <w:jc w:val="center"/>
            </w:pPr>
            <w:r>
              <w:rPr>
                <w:rFonts w:eastAsiaTheme="minorEastAsia"/>
                <w:color w:val="000000" w:themeColor="text1"/>
                <w:szCs w:val="21"/>
              </w:rPr>
              <w:t>-</w:t>
            </w:r>
          </w:p>
        </w:tc>
        <w:tc>
          <w:tcPr>
            <w:tcW w:w="1254" w:type="dxa"/>
            <w:vAlign w:val="center"/>
          </w:tcPr>
          <w:p w:rsidR="00247969" w:rsidRDefault="00B60399">
            <w:pPr>
              <w:jc w:val="center"/>
            </w:pPr>
            <w:r>
              <w:rPr>
                <w:rFonts w:eastAsiaTheme="minorEastAsia"/>
                <w:color w:val="000000" w:themeColor="text1"/>
                <w:szCs w:val="21"/>
              </w:rPr>
              <w:t>12</w:t>
            </w:r>
            <w:r>
              <w:rPr>
                <w:rFonts w:eastAsiaTheme="minorEastAsia"/>
                <w:color w:val="000000" w:themeColor="text1"/>
                <w:szCs w:val="21"/>
              </w:rPr>
              <w:t>年</w:t>
            </w:r>
          </w:p>
        </w:tc>
        <w:tc>
          <w:tcPr>
            <w:tcW w:w="3276" w:type="dxa"/>
            <w:vAlign w:val="center"/>
          </w:tcPr>
          <w:p w:rsidR="00247969" w:rsidRDefault="00B60399">
            <w:r>
              <w:rPr>
                <w:rFonts w:eastAsiaTheme="minorEastAsia"/>
                <w:color w:val="000000" w:themeColor="text1"/>
                <w:szCs w:val="21"/>
              </w:rPr>
              <w:t>李博先生，上海交通大学硕士，自</w:t>
            </w:r>
            <w:r>
              <w:rPr>
                <w:rFonts w:eastAsiaTheme="minorEastAsia"/>
                <w:color w:val="000000" w:themeColor="text1"/>
                <w:szCs w:val="21"/>
              </w:rPr>
              <w:t>2009</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月至</w:t>
            </w:r>
            <w:r>
              <w:rPr>
                <w:rFonts w:eastAsiaTheme="minorEastAsia"/>
                <w:color w:val="000000" w:themeColor="text1"/>
                <w:szCs w:val="21"/>
              </w:rPr>
              <w:t>2010</w:t>
            </w:r>
            <w:r>
              <w:rPr>
                <w:rFonts w:eastAsiaTheme="minorEastAsia"/>
                <w:color w:val="000000" w:themeColor="text1"/>
                <w:szCs w:val="21"/>
              </w:rPr>
              <w:t>年</w:t>
            </w:r>
            <w:r>
              <w:rPr>
                <w:rFonts w:eastAsiaTheme="minorEastAsia"/>
                <w:color w:val="000000" w:themeColor="text1"/>
                <w:szCs w:val="21"/>
              </w:rPr>
              <w:t>10</w:t>
            </w:r>
            <w:r>
              <w:rPr>
                <w:rFonts w:eastAsiaTheme="minorEastAsia"/>
                <w:color w:val="000000" w:themeColor="text1"/>
                <w:szCs w:val="21"/>
              </w:rPr>
              <w:t>月在中银国际证券有限公司担任研究员，负责研究方面的工作。自</w:t>
            </w:r>
            <w:r>
              <w:rPr>
                <w:rFonts w:eastAsiaTheme="minorEastAsia"/>
                <w:color w:val="000000" w:themeColor="text1"/>
                <w:szCs w:val="21"/>
              </w:rPr>
              <w:t>2010</w:t>
            </w:r>
            <w:r>
              <w:rPr>
                <w:rFonts w:eastAsiaTheme="minorEastAsia"/>
                <w:color w:val="000000" w:themeColor="text1"/>
                <w:szCs w:val="21"/>
              </w:rPr>
              <w:t>年</w:t>
            </w:r>
            <w:r>
              <w:rPr>
                <w:rFonts w:eastAsiaTheme="minorEastAsia"/>
                <w:color w:val="000000" w:themeColor="text1"/>
                <w:szCs w:val="21"/>
              </w:rPr>
              <w:t>11</w:t>
            </w:r>
            <w:r>
              <w:rPr>
                <w:rFonts w:eastAsiaTheme="minorEastAsia"/>
                <w:color w:val="000000" w:themeColor="text1"/>
                <w:szCs w:val="21"/>
              </w:rPr>
              <w:t>月起加入上投摩根基金管理有限公司，先后担任行业专家、基金经理、资深基金经理、国内权益投资部价值成长组组长兼资深基金经理，自</w:t>
            </w:r>
            <w:r>
              <w:rPr>
                <w:rFonts w:eastAsiaTheme="minorEastAsia"/>
                <w:color w:val="000000" w:themeColor="text1"/>
                <w:szCs w:val="21"/>
              </w:rPr>
              <w:t>2014</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月起担任上投摩根核心成长股票型证券投资基金基金经理，</w:t>
            </w: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月至</w:t>
            </w:r>
            <w:r>
              <w:rPr>
                <w:rFonts w:eastAsiaTheme="minorEastAsia"/>
                <w:color w:val="000000" w:themeColor="text1"/>
                <w:szCs w:val="21"/>
              </w:rPr>
              <w:t>2016</w:t>
            </w:r>
            <w:r>
              <w:rPr>
                <w:rFonts w:eastAsiaTheme="minorEastAsia"/>
                <w:color w:val="000000" w:themeColor="text1"/>
                <w:szCs w:val="21"/>
              </w:rPr>
              <w:t>年</w:t>
            </w:r>
            <w:r>
              <w:rPr>
                <w:rFonts w:eastAsiaTheme="minorEastAsia"/>
                <w:color w:val="000000" w:themeColor="text1"/>
                <w:szCs w:val="21"/>
              </w:rPr>
              <w:t>11</w:t>
            </w:r>
            <w:r>
              <w:rPr>
                <w:rFonts w:eastAsiaTheme="minorEastAsia"/>
                <w:color w:val="000000" w:themeColor="text1"/>
                <w:szCs w:val="21"/>
              </w:rPr>
              <w:t>月同时担任上投摩根科技前沿灵活配置混合型证券投资基金基金经理，自</w:t>
            </w: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月起同时担任上投摩根阿尔法混合型证券投资基金基金经理，自</w:t>
            </w:r>
            <w:r>
              <w:rPr>
                <w:rFonts w:eastAsiaTheme="minorEastAsia"/>
                <w:color w:val="000000" w:themeColor="text1"/>
                <w:szCs w:val="21"/>
              </w:rPr>
              <w:t>2016</w:t>
            </w:r>
            <w:r>
              <w:rPr>
                <w:rFonts w:eastAsiaTheme="minorEastAsia"/>
                <w:color w:val="000000" w:themeColor="text1"/>
                <w:szCs w:val="21"/>
              </w:rPr>
              <w:t>年</w:t>
            </w:r>
            <w:r>
              <w:rPr>
                <w:rFonts w:eastAsiaTheme="minorEastAsia"/>
                <w:color w:val="000000" w:themeColor="text1"/>
                <w:szCs w:val="21"/>
              </w:rPr>
              <w:t>10</w:t>
            </w:r>
            <w:r>
              <w:rPr>
                <w:rFonts w:eastAsiaTheme="minorEastAsia"/>
                <w:color w:val="000000" w:themeColor="text1"/>
                <w:szCs w:val="21"/>
              </w:rPr>
              <w:t>月起同时担任上投</w:t>
            </w:r>
            <w:r>
              <w:rPr>
                <w:rFonts w:eastAsiaTheme="minorEastAsia"/>
                <w:color w:val="000000" w:themeColor="text1"/>
                <w:szCs w:val="21"/>
              </w:rPr>
              <w:t>摩根双息平衡混合型证券投资基金基金经理，自</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11</w:t>
            </w:r>
            <w:r>
              <w:rPr>
                <w:rFonts w:eastAsiaTheme="minorEastAsia"/>
                <w:color w:val="000000" w:themeColor="text1"/>
                <w:szCs w:val="21"/>
              </w:rPr>
              <w:t>月起同时担任上投摩根核心精选股票型证券投资基金基金经理。</w:t>
            </w:r>
          </w:p>
        </w:tc>
      </w:tr>
    </w:tbl>
    <w:p w:rsidR="00247969" w:rsidRDefault="00B60399">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w:t>
      </w:r>
      <w:r>
        <w:rPr>
          <w:rFonts w:eastAsiaTheme="minorEastAsia"/>
          <w:color w:val="000000" w:themeColor="text1"/>
          <w:szCs w:val="21"/>
        </w:rPr>
        <w:t>1</w:t>
      </w:r>
      <w:r>
        <w:rPr>
          <w:rFonts w:eastAsiaTheme="minorEastAsia"/>
          <w:color w:val="000000" w:themeColor="text1"/>
          <w:szCs w:val="21"/>
        </w:rPr>
        <w:t>、任职日期和离任日期均指根据公司决定确定的聘任日期和解聘日期。</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2</w:t>
      </w:r>
      <w:r w:rsidRPr="00B27A29">
        <w:rPr>
          <w:rFonts w:eastAsiaTheme="minorEastAsia"/>
          <w:color w:val="000000" w:themeColor="text1"/>
          <w:szCs w:val="21"/>
        </w:rPr>
        <w:t>、证券从业的含义遵从行业协会《证券业从业人员资格管理办法》的相关规定。</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4.2</w:t>
      </w:r>
      <w:r w:rsidRPr="00B27A29">
        <w:rPr>
          <w:rFonts w:eastAsiaTheme="minorEastAsia"/>
          <w:b/>
          <w:color w:val="000000" w:themeColor="text1"/>
          <w:kern w:val="0"/>
          <w:szCs w:val="21"/>
        </w:rPr>
        <w:t>管理人对报告期内本基金运作遵规守信情况的说明</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在本报告期内，基金管理人不存在损害基金份额持有人利益的行为，勤勉尽责地为基金份额持有人谋求利益。基金管理人遵守了《证券投资基金法》及其他有关法律法规、《上投摩根双息平衡混合型证券投资基金基金合同》的规定。除以下情况外，基金经理对个股和投资组合的比例遵</w:t>
      </w:r>
      <w:r w:rsidRPr="00B27A29">
        <w:rPr>
          <w:rFonts w:eastAsiaTheme="minorEastAsia"/>
          <w:color w:val="000000" w:themeColor="text1"/>
          <w:szCs w:val="21"/>
        </w:rPr>
        <w:lastRenderedPageBreak/>
        <w:t>循了投资决策委员会的授权限制，基金投资比例符合基金合同和法律法规的要求：本基金曾出现个别由于市场原因引起的投资组合的投资指标被动偏离相关比例要求的情形，但已在规定时间内调整完毕。</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4.3 </w:t>
      </w:r>
      <w:r w:rsidRPr="00B27A29">
        <w:rPr>
          <w:rFonts w:eastAsiaTheme="minorEastAsia"/>
          <w:b/>
          <w:color w:val="000000" w:themeColor="text1"/>
          <w:kern w:val="0"/>
          <w:szCs w:val="21"/>
        </w:rPr>
        <w:t>公平交易专项说明</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 xml:space="preserve">4.3.1 </w:t>
      </w:r>
      <w:r w:rsidRPr="00B27A29">
        <w:rPr>
          <w:rFonts w:eastAsiaTheme="minorEastAsia"/>
          <w:color w:val="000000" w:themeColor="text1"/>
          <w:szCs w:val="21"/>
        </w:rPr>
        <w:t>公平交易制度的执行情况</w:t>
      </w:r>
    </w:p>
    <w:p w:rsidR="00247969" w:rsidRDefault="00B60399">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本公司继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247969" w:rsidRDefault="00B60399">
      <w:pPr>
        <w:spacing w:line="360" w:lineRule="auto"/>
        <w:ind w:firstLineChars="200" w:firstLine="420"/>
        <w:rPr>
          <w:rFonts w:eastAsiaTheme="minorEastAsia"/>
          <w:color w:val="000000" w:themeColor="text1"/>
          <w:szCs w:val="21"/>
        </w:rPr>
      </w:pPr>
      <w:r>
        <w:rPr>
          <w:rFonts w:eastAsiaTheme="minorEastAsia"/>
          <w:color w:val="000000" w:themeColor="text1"/>
          <w:szCs w:val="21"/>
        </w:rPr>
        <w:t>对于交易所市场投资活动，本公司执行集中交易制度，确保不同投资组合在买卖同一证券时，按照时间优先、比例分配的原则在各投资组合间公平分配交易量；对于银行间市场投资活动</w:t>
      </w:r>
      <w:r>
        <w:rPr>
          <w:rFonts w:eastAsiaTheme="minorEastAsia"/>
          <w:color w:val="000000" w:themeColor="text1"/>
          <w:szCs w:val="21"/>
        </w:rPr>
        <w:t>，本公司通过对手库控制和交易室询价机制，严格防范对手风险并检查价格公允性；对于申购投资行为，本公司遵循价格优先、比例分配的原则，根据事前独立申报的价格和数量对交易结果进行公平分配。</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报告期内，通过对不同投资组合之间的收益率差异比较、对同向交易和反向交易的交易时机和交易价差监控分析，未发现整体公平交易执行出现异常的情况。</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 xml:space="preserve">4.3.2 </w:t>
      </w:r>
      <w:r w:rsidRPr="00B27A29">
        <w:rPr>
          <w:rFonts w:eastAsiaTheme="minorEastAsia"/>
          <w:color w:val="000000" w:themeColor="text1"/>
          <w:szCs w:val="21"/>
        </w:rPr>
        <w:t>异常交易行为的专项说明</w:t>
      </w:r>
    </w:p>
    <w:p w:rsidR="00247969" w:rsidRDefault="00B60399">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报告期内，通过对交易价格、交易时间、交易方向等的分析，未发现有可能导致不公平交易和利益输送的异常交易行为。</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所有投资组合参与的交易所公开竞价同日反向交易成交较少的单边交易量超过该证券当日成交量的</w:t>
      </w:r>
      <w:r w:rsidRPr="00B27A29">
        <w:rPr>
          <w:rFonts w:eastAsiaTheme="minorEastAsia"/>
          <w:color w:val="000000" w:themeColor="text1"/>
          <w:szCs w:val="21"/>
        </w:rPr>
        <w:t>5%</w:t>
      </w:r>
      <w:r w:rsidRPr="00B27A29">
        <w:rPr>
          <w:rFonts w:eastAsiaTheme="minorEastAsia"/>
          <w:color w:val="000000" w:themeColor="text1"/>
          <w:szCs w:val="21"/>
        </w:rPr>
        <w:t>的情形：无。</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4.4 </w:t>
      </w:r>
      <w:r w:rsidRPr="00B27A29">
        <w:rPr>
          <w:rFonts w:eastAsiaTheme="minorEastAsia"/>
          <w:b/>
          <w:color w:val="000000" w:themeColor="text1"/>
          <w:kern w:val="0"/>
          <w:szCs w:val="21"/>
        </w:rPr>
        <w:t>报告期内基金的投资策略和业绩表现说明</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4.4.1</w:t>
      </w:r>
      <w:r w:rsidRPr="00B27A29">
        <w:rPr>
          <w:rFonts w:eastAsiaTheme="minorEastAsia"/>
          <w:color w:val="000000" w:themeColor="text1"/>
          <w:szCs w:val="21"/>
        </w:rPr>
        <w:t>报告期内基金投资策略和运作分析</w:t>
      </w:r>
    </w:p>
    <w:p w:rsidR="00247969" w:rsidRDefault="00B60399">
      <w:pPr>
        <w:spacing w:line="360" w:lineRule="auto"/>
        <w:ind w:firstLineChars="200" w:firstLine="420"/>
        <w:rPr>
          <w:rFonts w:eastAsiaTheme="minorEastAsia"/>
          <w:color w:val="000000" w:themeColor="text1"/>
          <w:szCs w:val="21"/>
        </w:rPr>
      </w:pPr>
      <w:r>
        <w:rPr>
          <w:rFonts w:eastAsiaTheme="minorEastAsia"/>
          <w:color w:val="000000" w:themeColor="text1"/>
          <w:szCs w:val="21"/>
        </w:rPr>
        <w:t>三季度</w:t>
      </w:r>
      <w:r>
        <w:rPr>
          <w:rFonts w:eastAsiaTheme="minorEastAsia"/>
          <w:color w:val="000000" w:themeColor="text1"/>
          <w:szCs w:val="21"/>
        </w:rPr>
        <w:t>A</w:t>
      </w:r>
      <w:r>
        <w:rPr>
          <w:rFonts w:eastAsiaTheme="minorEastAsia"/>
          <w:color w:val="000000" w:themeColor="text1"/>
          <w:szCs w:val="21"/>
        </w:rPr>
        <w:t>股从市场指数层面来看并不理想，绝大多数指数都为负收益，仅有少数指数获得上涨，如中证</w:t>
      </w:r>
      <w:r>
        <w:rPr>
          <w:rFonts w:eastAsiaTheme="minorEastAsia"/>
          <w:color w:val="000000" w:themeColor="text1"/>
          <w:szCs w:val="21"/>
        </w:rPr>
        <w:t>500</w:t>
      </w:r>
      <w:r>
        <w:rPr>
          <w:rFonts w:eastAsiaTheme="minorEastAsia"/>
          <w:color w:val="000000" w:themeColor="text1"/>
          <w:szCs w:val="21"/>
        </w:rPr>
        <w:t>指数、中证</w:t>
      </w:r>
      <w:r>
        <w:rPr>
          <w:rFonts w:eastAsiaTheme="minorEastAsia"/>
          <w:color w:val="000000" w:themeColor="text1"/>
          <w:szCs w:val="21"/>
        </w:rPr>
        <w:t>1000</w:t>
      </w:r>
      <w:r>
        <w:rPr>
          <w:rFonts w:eastAsiaTheme="minorEastAsia"/>
          <w:color w:val="000000" w:themeColor="text1"/>
          <w:szCs w:val="21"/>
        </w:rPr>
        <w:t>指数，显示出中小市值公司的超额收益较为明显。另外一个特点是：市场持续表现为结构性分化，但结构本身却在变化。与二季度成长占优不同，本季度周期性行业表现明显突出，特别是三季度后期，在多地政府能耗双控的举措下，大量上游产品快速走高，</w:t>
      </w:r>
      <w:r>
        <w:rPr>
          <w:rFonts w:eastAsiaTheme="minorEastAsia"/>
          <w:color w:val="000000" w:themeColor="text1"/>
          <w:szCs w:val="21"/>
        </w:rPr>
        <w:lastRenderedPageBreak/>
        <w:t>刺激股价短期内出现巨大涨幅</w:t>
      </w:r>
      <w:r>
        <w:rPr>
          <w:rFonts w:eastAsiaTheme="minorEastAsia"/>
          <w:color w:val="000000" w:themeColor="text1"/>
          <w:szCs w:val="21"/>
        </w:rPr>
        <w:t>。三季度表现最好的</w:t>
      </w:r>
      <w:r>
        <w:rPr>
          <w:rFonts w:eastAsiaTheme="minorEastAsia"/>
          <w:color w:val="000000" w:themeColor="text1"/>
          <w:szCs w:val="21"/>
        </w:rPr>
        <w:t>5</w:t>
      </w:r>
      <w:r>
        <w:rPr>
          <w:rFonts w:eastAsiaTheme="minorEastAsia"/>
          <w:color w:val="000000" w:themeColor="text1"/>
          <w:szCs w:val="21"/>
        </w:rPr>
        <w:t>个行业为煤炭、电力、有色、钢铁、化工，录得</w:t>
      </w:r>
      <w:r>
        <w:rPr>
          <w:rFonts w:eastAsiaTheme="minorEastAsia"/>
          <w:color w:val="000000" w:themeColor="text1"/>
          <w:szCs w:val="21"/>
        </w:rPr>
        <w:t>13.7%-36%</w:t>
      </w:r>
      <w:r>
        <w:rPr>
          <w:rFonts w:eastAsiaTheme="minorEastAsia"/>
          <w:color w:val="000000" w:themeColor="text1"/>
          <w:szCs w:val="21"/>
        </w:rPr>
        <w:t>之间不等的涨幅；而垫底的</w:t>
      </w:r>
      <w:r>
        <w:rPr>
          <w:rFonts w:eastAsiaTheme="minorEastAsia"/>
          <w:color w:val="000000" w:themeColor="text1"/>
          <w:szCs w:val="21"/>
        </w:rPr>
        <w:t>5</w:t>
      </w:r>
      <w:r>
        <w:rPr>
          <w:rFonts w:eastAsiaTheme="minorEastAsia"/>
          <w:color w:val="000000" w:themeColor="text1"/>
          <w:szCs w:val="21"/>
        </w:rPr>
        <w:t>个行业为医药、休闲服务、食品饮料、传媒、家电，跌幅均在</w:t>
      </w:r>
      <w:r>
        <w:rPr>
          <w:rFonts w:eastAsiaTheme="minorEastAsia"/>
          <w:color w:val="000000" w:themeColor="text1"/>
          <w:szCs w:val="21"/>
        </w:rPr>
        <w:t>10%</w:t>
      </w:r>
      <w:r>
        <w:rPr>
          <w:rFonts w:eastAsiaTheme="minorEastAsia"/>
          <w:color w:val="000000" w:themeColor="text1"/>
          <w:szCs w:val="21"/>
        </w:rPr>
        <w:t>以上。从基本面来说，利润展望的确支持以上市场表现，虽然上市公司的三季报并未大量公布，但上游行业的利润超高增长完全可以预期；而受损于疫情持续下消费不振或者是成本压力快速上升的几个行业则将继续呈现非常一般的三季度利润报表。</w:t>
      </w:r>
    </w:p>
    <w:p w:rsidR="00247969" w:rsidRDefault="00B60399">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本基金本季度收益率跑赢基准，超额收益主要来自于对绿色能源和部分上游资源行业的配置。</w:t>
      </w:r>
    </w:p>
    <w:p w:rsidR="00247969" w:rsidRDefault="00B60399">
      <w:pPr>
        <w:spacing w:line="360" w:lineRule="auto"/>
        <w:ind w:firstLineChars="200" w:firstLine="420"/>
        <w:rPr>
          <w:rFonts w:eastAsiaTheme="minorEastAsia"/>
          <w:color w:val="000000" w:themeColor="text1"/>
          <w:szCs w:val="21"/>
        </w:rPr>
      </w:pPr>
      <w:r>
        <w:rPr>
          <w:rFonts w:eastAsiaTheme="minorEastAsia"/>
          <w:color w:val="000000" w:themeColor="text1"/>
          <w:szCs w:val="21"/>
        </w:rPr>
        <w:t>本年度最后一个季度面临诸多挑战：经济数据下</w:t>
      </w:r>
      <w:r>
        <w:rPr>
          <w:rFonts w:eastAsiaTheme="minorEastAsia"/>
          <w:color w:val="000000" w:themeColor="text1"/>
          <w:szCs w:val="21"/>
        </w:rPr>
        <w:t>行压力加大，且商品价格大幅上涨，疫情尚未消除，消费未有起色，而美国流动性还有收缩趋势，经济基本面向下，未来的变化斜率视乎宏观政策的方向和力度。我们倾向于认为信用环境将会改善，流动性层面继续有利于实体经济和资本市场。从全行业利润分配结构来看，四季度后上游的利润攫取能力应环比削弱，若是展望明年，则中下游行业的利润改善会更明显。当然，在碳达峰和碳中和目标下，诸多行业的产能扩张受到约束，周期性将会被适度平滑。而绿色能源产业，还将有旺盛的需求。此外，低估值行业在经济下行、信用扩张的环境下，亦有估值修复的较大概率。</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四季度是承上启下的时间点，本基金将围绕高股息策略，选择基本面趋势保持或者改善、估值处于较低水平的公司进行重点布局。</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4.4.2</w:t>
      </w:r>
      <w:r w:rsidRPr="00B27A29">
        <w:rPr>
          <w:rFonts w:eastAsiaTheme="minorEastAsia"/>
          <w:color w:val="000000" w:themeColor="text1"/>
          <w:szCs w:val="21"/>
        </w:rPr>
        <w:t>报告期内基金的业绩表现</w:t>
      </w:r>
    </w:p>
    <w:p w:rsidR="00247969" w:rsidRDefault="00B60399">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本报告期上投摩根双息平衡混合</w:t>
      </w:r>
      <w:r>
        <w:rPr>
          <w:rFonts w:eastAsiaTheme="minorEastAsia"/>
          <w:color w:val="000000" w:themeColor="text1"/>
          <w:szCs w:val="21"/>
        </w:rPr>
        <w:t>A</w:t>
      </w:r>
      <w:r>
        <w:rPr>
          <w:rFonts w:eastAsiaTheme="minorEastAsia"/>
          <w:color w:val="000000" w:themeColor="text1"/>
          <w:szCs w:val="21"/>
        </w:rPr>
        <w:t>份额净值增长率为</w:t>
      </w:r>
      <w:r>
        <w:rPr>
          <w:rFonts w:eastAsiaTheme="minorEastAsia"/>
          <w:color w:val="000000" w:themeColor="text1"/>
          <w:szCs w:val="21"/>
        </w:rPr>
        <w:t>:2.98%</w:t>
      </w:r>
      <w:r>
        <w:rPr>
          <w:rFonts w:eastAsiaTheme="minorEastAsia"/>
          <w:color w:val="000000" w:themeColor="text1"/>
          <w:szCs w:val="21"/>
        </w:rPr>
        <w:t>，同期业绩比较基准收益率为</w:t>
      </w:r>
      <w:r>
        <w:rPr>
          <w:rFonts w:eastAsiaTheme="minorEastAsia"/>
          <w:color w:val="000000" w:themeColor="text1"/>
          <w:szCs w:val="21"/>
        </w:rPr>
        <w:t>:1.49%,</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上投摩根双息平衡混合</w:t>
      </w:r>
      <w:r w:rsidRPr="00B27A29">
        <w:rPr>
          <w:rFonts w:eastAsiaTheme="minorEastAsia"/>
          <w:color w:val="000000" w:themeColor="text1"/>
          <w:szCs w:val="21"/>
        </w:rPr>
        <w:t>H</w:t>
      </w:r>
      <w:r w:rsidRPr="00B27A29">
        <w:rPr>
          <w:rFonts w:eastAsiaTheme="minorEastAsia"/>
          <w:color w:val="000000" w:themeColor="text1"/>
          <w:szCs w:val="21"/>
        </w:rPr>
        <w:t>份额净值增长率为</w:t>
      </w:r>
      <w:r w:rsidRPr="00B27A29">
        <w:rPr>
          <w:rFonts w:eastAsiaTheme="minorEastAsia"/>
          <w:color w:val="000000" w:themeColor="text1"/>
          <w:szCs w:val="21"/>
        </w:rPr>
        <w:t>:2.93%</w:t>
      </w:r>
      <w:r w:rsidRPr="00B27A29">
        <w:rPr>
          <w:rFonts w:eastAsiaTheme="minorEastAsia"/>
          <w:color w:val="000000" w:themeColor="text1"/>
          <w:szCs w:val="21"/>
        </w:rPr>
        <w:t>，同期业绩比较基准收益率为</w:t>
      </w:r>
      <w:r w:rsidRPr="00B27A29">
        <w:rPr>
          <w:rFonts w:eastAsiaTheme="minorEastAsia"/>
          <w:color w:val="000000" w:themeColor="text1"/>
          <w:szCs w:val="21"/>
        </w:rPr>
        <w:t>:1.49%</w:t>
      </w:r>
      <w:r w:rsidRPr="00B27A29">
        <w:rPr>
          <w:rFonts w:eastAsiaTheme="minorEastAsia"/>
          <w:color w:val="000000" w:themeColor="text1"/>
          <w:szCs w:val="21"/>
        </w:rPr>
        <w:t>。</w:t>
      </w:r>
    </w:p>
    <w:p w:rsidR="005E6DF3" w:rsidRPr="00B27A29" w:rsidRDefault="005E6DF3">
      <w:pPr>
        <w:spacing w:line="360" w:lineRule="auto"/>
        <w:ind w:firstLineChars="200" w:firstLine="420"/>
        <w:rPr>
          <w:rFonts w:eastAsiaTheme="minorEastAsia"/>
          <w:color w:val="000000" w:themeColor="text1"/>
          <w:szCs w:val="21"/>
        </w:rPr>
      </w:pPr>
    </w:p>
    <w:p w:rsidR="005E6DF3" w:rsidRPr="00B27A29" w:rsidRDefault="005C671B">
      <w:pPr>
        <w:spacing w:line="360" w:lineRule="auto"/>
        <w:rPr>
          <w:rFonts w:eastAsiaTheme="minorEastAsia"/>
          <w:color w:val="000000" w:themeColor="text1"/>
          <w:szCs w:val="21"/>
        </w:rPr>
      </w:pPr>
      <w:r w:rsidRPr="00B27A29">
        <w:rPr>
          <w:rFonts w:eastAsiaTheme="minorEastAsia"/>
          <w:b/>
          <w:color w:val="000000" w:themeColor="text1"/>
          <w:kern w:val="0"/>
          <w:szCs w:val="21"/>
        </w:rPr>
        <w:t>4.5</w:t>
      </w:r>
      <w:r w:rsidRPr="00B27A29">
        <w:rPr>
          <w:rFonts w:eastAsiaTheme="minorEastAsia"/>
          <w:b/>
          <w:color w:val="000000" w:themeColor="text1"/>
          <w:kern w:val="0"/>
          <w:szCs w:val="21"/>
        </w:rPr>
        <w:t>报告期内基金持有人数或基金资产净值预警说明</w:t>
      </w:r>
    </w:p>
    <w:p w:rsidR="005E6DF3" w:rsidRPr="00B27A29" w:rsidRDefault="005C671B">
      <w:pPr>
        <w:spacing w:line="360" w:lineRule="auto"/>
        <w:ind w:firstLineChars="200" w:firstLine="420"/>
        <w:rPr>
          <w:rFonts w:eastAsiaTheme="minorEastAsia"/>
          <w:color w:val="000000" w:themeColor="text1"/>
          <w:kern w:val="0"/>
          <w:szCs w:val="21"/>
        </w:rPr>
      </w:pPr>
      <w:r w:rsidRPr="00B27A29">
        <w:rPr>
          <w:rFonts w:eastAsiaTheme="minorEastAsia"/>
          <w:color w:val="000000" w:themeColor="text1"/>
          <w:kern w:val="0"/>
          <w:szCs w:val="21"/>
        </w:rPr>
        <w:t>无。</w:t>
      </w:r>
    </w:p>
    <w:p w:rsidR="005E6DF3" w:rsidRPr="00B27A29" w:rsidRDefault="005E6DF3">
      <w:pPr>
        <w:spacing w:line="360" w:lineRule="auto"/>
        <w:ind w:firstLineChars="200" w:firstLine="420"/>
        <w:rPr>
          <w:rFonts w:eastAsiaTheme="minorEastAsia"/>
          <w:color w:val="000000" w:themeColor="text1"/>
          <w:szCs w:val="21"/>
        </w:rPr>
      </w:pP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§5  </w:t>
      </w:r>
      <w:r w:rsidRPr="00B27A29">
        <w:rPr>
          <w:rFonts w:eastAsiaTheme="minorEastAsia"/>
          <w:color w:val="000000" w:themeColor="text1"/>
          <w:kern w:val="0"/>
          <w:sz w:val="21"/>
          <w:szCs w:val="21"/>
        </w:rPr>
        <w:t>投资组合报告</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5.1 </w:t>
      </w:r>
      <w:r w:rsidRPr="00B27A29">
        <w:rPr>
          <w:rFonts w:eastAsiaTheme="minorEastAsia"/>
          <w:b/>
          <w:color w:val="000000" w:themeColor="text1"/>
          <w:kern w:val="0"/>
          <w:szCs w:val="21"/>
        </w:rPr>
        <w:t>报告期末基金资产组合情况</w:t>
      </w:r>
    </w:p>
    <w:tbl>
      <w:tblPr>
        <w:tblStyle w:val="afa"/>
        <w:tblW w:w="8897" w:type="dxa"/>
        <w:tblInd w:w="108" w:type="dxa"/>
        <w:tblLayout w:type="fixed"/>
        <w:tblLook w:val="04A0" w:firstRow="1" w:lastRow="0" w:firstColumn="1" w:lastColumn="0" w:noHBand="0" w:noVBand="1"/>
      </w:tblPr>
      <w:tblGrid>
        <w:gridCol w:w="720"/>
        <w:gridCol w:w="3357"/>
        <w:gridCol w:w="2977"/>
        <w:gridCol w:w="1843"/>
      </w:tblGrid>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序号</w:t>
            </w:r>
          </w:p>
        </w:tc>
        <w:tc>
          <w:tcPr>
            <w:tcW w:w="335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项目</w:t>
            </w:r>
          </w:p>
        </w:tc>
        <w:tc>
          <w:tcPr>
            <w:tcW w:w="297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金额</w:t>
            </w:r>
            <w:r w:rsidRPr="00B27A29">
              <w:rPr>
                <w:rFonts w:eastAsiaTheme="minorEastAsia"/>
                <w:color w:val="000000" w:themeColor="text1"/>
                <w:szCs w:val="21"/>
              </w:rPr>
              <w:t>(</w:t>
            </w:r>
            <w:r w:rsidRPr="00B27A29">
              <w:rPr>
                <w:rFonts w:eastAsiaTheme="minorEastAsia"/>
                <w:color w:val="000000" w:themeColor="text1"/>
                <w:szCs w:val="21"/>
              </w:rPr>
              <w:t>元</w:t>
            </w: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占基金总资产的比例</w:t>
            </w: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1</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权益投资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726,702,064.08</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69.09</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其中：股票</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726,702,064.08</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69.09</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2</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固定收益投资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270,452,700.00</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25.71</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其中：债券</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270,452,700.00</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25.71</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autoSpaceDE w:val="0"/>
              <w:autoSpaceDN w:val="0"/>
              <w:adjustRightInd w:val="0"/>
              <w:spacing w:before="29" w:line="360" w:lineRule="auto"/>
              <w:ind w:left="17" w:firstLineChars="300" w:firstLine="630"/>
              <w:jc w:val="left"/>
              <w:rPr>
                <w:rFonts w:eastAsiaTheme="minorEastAsia"/>
                <w:color w:val="000000" w:themeColor="text1"/>
                <w:szCs w:val="21"/>
              </w:rPr>
            </w:pPr>
            <w:r w:rsidRPr="00B27A29">
              <w:rPr>
                <w:rFonts w:eastAsiaTheme="minorEastAsia"/>
                <w:color w:val="000000" w:themeColor="text1"/>
                <w:szCs w:val="21"/>
              </w:rPr>
              <w:t>资产支持证券</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3</w:t>
            </w:r>
          </w:p>
        </w:tc>
        <w:tc>
          <w:tcPr>
            <w:tcW w:w="3357" w:type="dxa"/>
          </w:tcPr>
          <w:p w:rsidR="005E6DF3" w:rsidRPr="00B27A29" w:rsidRDefault="005C671B">
            <w:pPr>
              <w:spacing w:before="29" w:line="360" w:lineRule="auto"/>
              <w:ind w:leftChars="50" w:left="105"/>
              <w:rPr>
                <w:rFonts w:eastAsiaTheme="minorEastAsia"/>
                <w:color w:val="000000" w:themeColor="text1"/>
                <w:szCs w:val="21"/>
              </w:rPr>
            </w:pPr>
            <w:r w:rsidRPr="00B27A29">
              <w:rPr>
                <w:rFonts w:eastAsiaTheme="minorEastAsia"/>
                <w:color w:val="000000" w:themeColor="text1"/>
                <w:szCs w:val="21"/>
              </w:rPr>
              <w:t>贵金属投资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4</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金融衍生品投资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5</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买入返售金融资产</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其中：买断式回购的买入返售金融资产</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6</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银行存款和结算备付金合计</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48,863,357.51</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4.65</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7</w:t>
            </w:r>
          </w:p>
        </w:tc>
        <w:tc>
          <w:tcPr>
            <w:tcW w:w="3357"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其他各项资产</w:t>
            </w:r>
          </w:p>
        </w:tc>
        <w:tc>
          <w:tcPr>
            <w:tcW w:w="2977"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5,791,127.72</w:t>
            </w:r>
          </w:p>
        </w:tc>
        <w:tc>
          <w:tcPr>
            <w:tcW w:w="1843"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0.55</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8</w:t>
            </w:r>
          </w:p>
        </w:tc>
        <w:tc>
          <w:tcPr>
            <w:tcW w:w="3357"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合计</w:t>
            </w:r>
          </w:p>
        </w:tc>
        <w:tc>
          <w:tcPr>
            <w:tcW w:w="2977"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1,051,809,249.31</w:t>
            </w:r>
          </w:p>
        </w:tc>
        <w:tc>
          <w:tcPr>
            <w:tcW w:w="1843"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100.00</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5.2 </w:t>
      </w:r>
      <w:r w:rsidRPr="00B27A29">
        <w:rPr>
          <w:rFonts w:eastAsiaTheme="minorEastAsia"/>
          <w:b/>
          <w:color w:val="000000" w:themeColor="text1"/>
          <w:kern w:val="0"/>
          <w:szCs w:val="21"/>
        </w:rPr>
        <w:t>报告期末按行业分类的股票投资组合</w:t>
      </w:r>
    </w:p>
    <w:p w:rsidR="005E6DF3" w:rsidRPr="00B27A29" w:rsidRDefault="005C671B">
      <w:pPr>
        <w:rPr>
          <w:b/>
        </w:rPr>
      </w:pPr>
      <w:r w:rsidRPr="00B27A29">
        <w:rPr>
          <w:b/>
        </w:rPr>
        <w:t xml:space="preserve"> </w:t>
      </w:r>
      <w:r w:rsidRPr="00B27A29">
        <w:rPr>
          <w:rFonts w:eastAsiaTheme="minorEastAsia"/>
          <w:b/>
          <w:color w:val="000000" w:themeColor="text1"/>
          <w:kern w:val="0"/>
          <w:szCs w:val="21"/>
        </w:rPr>
        <w:t>5.2.1</w:t>
      </w:r>
      <w:r w:rsidRPr="00B27A29">
        <w:rPr>
          <w:rFonts w:eastAsiaTheme="minorEastAsia"/>
          <w:b/>
          <w:color w:val="000000" w:themeColor="text1"/>
          <w:kern w:val="0"/>
          <w:szCs w:val="21"/>
        </w:rPr>
        <w:t>报告期末按行业分类的境内股票投资组合</w:t>
      </w:r>
    </w:p>
    <w:tbl>
      <w:tblPr>
        <w:tblW w:w="87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40"/>
        <w:gridCol w:w="3691"/>
        <w:gridCol w:w="2852"/>
        <w:gridCol w:w="1648"/>
      </w:tblGrid>
      <w:tr w:rsidR="005E6DF3" w:rsidRPr="00B27A29">
        <w:trPr>
          <w:trHeight w:val="390"/>
        </w:trPr>
        <w:tc>
          <w:tcPr>
            <w:tcW w:w="540" w:type="dxa"/>
            <w:tcBorders>
              <w:top w:val="single" w:sz="4" w:space="0" w:color="000000"/>
              <w:left w:val="single" w:sz="4" w:space="0" w:color="000000"/>
              <w:bottom w:val="single" w:sz="4" w:space="0" w:color="000000"/>
              <w:right w:val="single" w:sz="4" w:space="0" w:color="000000"/>
            </w:tcBorders>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代码</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行业类别</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公允价值（元）</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占基金资产净值比例（％）</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A</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农、林、牧、渔业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14,585,405.10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1.40</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B</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采矿业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86,619,364.34</w:t>
            </w:r>
          </w:p>
          <w:p w:rsidR="005E6DF3" w:rsidRPr="00B27A29" w:rsidRDefault="005E6DF3">
            <w:pPr>
              <w:jc w:val="right"/>
              <w:rPr>
                <w:rFonts w:eastAsiaTheme="minorEastAsia"/>
                <w:color w:val="000000" w:themeColor="text1"/>
                <w:szCs w:val="21"/>
              </w:rPr>
            </w:pP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8.32</w:t>
            </w:r>
          </w:p>
          <w:p w:rsidR="005E6DF3" w:rsidRPr="00B27A29" w:rsidRDefault="005E6DF3">
            <w:pPr>
              <w:jc w:val="right"/>
              <w:rPr>
                <w:rFonts w:eastAsiaTheme="minorEastAsia"/>
                <w:color w:val="000000" w:themeColor="text1"/>
                <w:szCs w:val="21"/>
              </w:rPr>
            </w:pP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C</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制造业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551,542,541.32</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52.95</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D</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电力、热力、燃气及水生产和供应业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49,178,394.52</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4.72</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E</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建筑业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4,316,624.70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0.41</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F</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批发和零售业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26,453.25</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0.00</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G</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交通运输、仓储和邮政业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36,013.42</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0.00</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H</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住宿和餐饮业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40,233.44</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0.00</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I</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信息传输、软件和信息技术服务业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1,565,207.90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0.15</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J</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金融业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11,647,158.14</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1.12</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K</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房地产业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3,348,297.00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0.32</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L</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租赁和商务服务业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M</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科学研究和技术服务业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205,735.84</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0.02</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lastRenderedPageBreak/>
              <w:t>N</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水利、环境和公共设施管理业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3,586,709.89</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0.34</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O</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居民服务、修理和其他服务业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P</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教育</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Q</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卫生和社会工作</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R</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文化、体育和娱乐业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3,925.22</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0.00</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S</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综合</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E6DF3">
            <w:pPr>
              <w:adjustRightInd w:val="0"/>
              <w:snapToGrid w:val="0"/>
              <w:spacing w:line="400" w:lineRule="exact"/>
              <w:jc w:val="center"/>
              <w:rPr>
                <w:rFonts w:eastAsiaTheme="minorEastAsia"/>
                <w:color w:val="000000" w:themeColor="text1"/>
                <w:szCs w:val="21"/>
              </w:rPr>
            </w:pP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合计</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726,702,064.08</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69.77</w:t>
            </w:r>
          </w:p>
        </w:tc>
      </w:tr>
    </w:tbl>
    <w:p w:rsidR="00B27A29" w:rsidRPr="00B27A29" w:rsidRDefault="00B27A29" w:rsidP="00B27A29">
      <w:pPr>
        <w:spacing w:line="360" w:lineRule="auto"/>
        <w:rPr>
          <w:rFonts w:eastAsiaTheme="minorEastAsia"/>
          <w:szCs w:val="21"/>
        </w:rPr>
      </w:pPr>
      <w:bookmarkStart w:id="1" w:name="_Hlk73460790"/>
      <w:r w:rsidRPr="00B27A29">
        <w:rPr>
          <w:rFonts w:eastAsiaTheme="minorEastAsia"/>
          <w:b/>
          <w:bCs/>
          <w:kern w:val="0"/>
          <w:szCs w:val="21"/>
        </w:rPr>
        <w:t>5.3</w:t>
      </w:r>
      <w:r w:rsidRPr="00B27A29">
        <w:rPr>
          <w:rFonts w:asciiTheme="minorEastAsia" w:eastAsiaTheme="minorEastAsia" w:hAnsiTheme="minorEastAsia" w:hint="eastAsia"/>
          <w:b/>
          <w:bCs/>
          <w:kern w:val="0"/>
          <w:szCs w:val="21"/>
        </w:rPr>
        <w:t>期末按公允价值占基金资产净值比例大小排序的股票投资明细</w:t>
      </w:r>
      <w:r w:rsidRPr="00B27A29">
        <w:rPr>
          <w:rFonts w:asciiTheme="minorEastAsia" w:eastAsiaTheme="minorEastAsia" w:hAnsiTheme="minorEastAsia" w:hint="eastAsia"/>
          <w:b/>
          <w:bCs/>
          <w:kern w:val="0"/>
          <w:szCs w:val="21"/>
        </w:rPr>
        <w:cr/>
      </w:r>
      <w:r w:rsidRPr="00B27A29">
        <w:rPr>
          <w:rFonts w:eastAsiaTheme="minorEastAsia"/>
          <w:b/>
          <w:bCs/>
          <w:kern w:val="0"/>
          <w:szCs w:val="21"/>
        </w:rPr>
        <w:t>5.3.1</w:t>
      </w:r>
      <w:r w:rsidRPr="00B27A29">
        <w:rPr>
          <w:rFonts w:asciiTheme="minorEastAsia" w:eastAsiaTheme="minorEastAsia" w:hAnsiTheme="minorEastAsia" w:hint="eastAsia"/>
          <w:b/>
          <w:bCs/>
          <w:kern w:val="0"/>
          <w:szCs w:val="21"/>
        </w:rPr>
        <w:t>报告期末按公允价值占基金资产净值比例大小排序的前十名股票投资明细</w:t>
      </w:r>
    </w:p>
    <w:tbl>
      <w:tblPr>
        <w:tblStyle w:val="afa"/>
        <w:tblW w:w="0" w:type="auto"/>
        <w:tblLayout w:type="fixed"/>
        <w:tblLook w:val="04A0" w:firstRow="1" w:lastRow="0" w:firstColumn="1" w:lastColumn="0" w:noHBand="0" w:noVBand="1"/>
      </w:tblPr>
      <w:tblGrid>
        <w:gridCol w:w="817"/>
        <w:gridCol w:w="1276"/>
        <w:gridCol w:w="1701"/>
        <w:gridCol w:w="1276"/>
        <w:gridCol w:w="1842"/>
        <w:gridCol w:w="1616"/>
      </w:tblGrid>
      <w:tr w:rsidR="00B27A29" w:rsidRPr="00B27A29" w:rsidTr="00D913A1">
        <w:tc>
          <w:tcPr>
            <w:tcW w:w="817"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序号</w:t>
            </w:r>
          </w:p>
        </w:tc>
        <w:tc>
          <w:tcPr>
            <w:tcW w:w="127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股票代码</w:t>
            </w:r>
          </w:p>
        </w:tc>
        <w:tc>
          <w:tcPr>
            <w:tcW w:w="1701"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股票名称</w:t>
            </w:r>
          </w:p>
        </w:tc>
        <w:tc>
          <w:tcPr>
            <w:tcW w:w="127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数量</w:t>
            </w:r>
            <w:r w:rsidRPr="00B27A29">
              <w:rPr>
                <w:rFonts w:eastAsiaTheme="minorEastAsia"/>
                <w:kern w:val="0"/>
                <w:szCs w:val="21"/>
              </w:rPr>
              <w:t>(</w:t>
            </w:r>
            <w:r w:rsidRPr="00B27A29">
              <w:rPr>
                <w:rFonts w:eastAsiaTheme="minorEastAsia"/>
                <w:kern w:val="0"/>
                <w:szCs w:val="21"/>
              </w:rPr>
              <w:t>股</w:t>
            </w:r>
            <w:r w:rsidRPr="00B27A29">
              <w:rPr>
                <w:rFonts w:eastAsiaTheme="minorEastAsia"/>
                <w:kern w:val="0"/>
                <w:szCs w:val="21"/>
              </w:rPr>
              <w:t>)</w:t>
            </w:r>
          </w:p>
        </w:tc>
        <w:tc>
          <w:tcPr>
            <w:tcW w:w="1842" w:type="dxa"/>
            <w:vAlign w:val="center"/>
          </w:tcPr>
          <w:p w:rsidR="00B27A29" w:rsidRPr="00B27A29" w:rsidRDefault="00B27A29" w:rsidP="00D913A1">
            <w:pPr>
              <w:autoSpaceDE w:val="0"/>
              <w:autoSpaceDN w:val="0"/>
              <w:adjustRightInd w:val="0"/>
              <w:spacing w:before="29" w:line="360" w:lineRule="auto"/>
              <w:ind w:left="17"/>
              <w:jc w:val="center"/>
              <w:rPr>
                <w:rFonts w:eastAsiaTheme="minorEastAsia"/>
                <w:kern w:val="0"/>
                <w:szCs w:val="21"/>
              </w:rPr>
            </w:pPr>
            <w:r w:rsidRPr="00B27A29">
              <w:rPr>
                <w:rFonts w:eastAsiaTheme="minorEastAsia"/>
                <w:kern w:val="0"/>
                <w:szCs w:val="21"/>
              </w:rPr>
              <w:t>公允价值</w:t>
            </w:r>
            <w:r w:rsidRPr="00B27A29">
              <w:rPr>
                <w:rFonts w:eastAsiaTheme="minorEastAsia"/>
                <w:kern w:val="0"/>
                <w:szCs w:val="21"/>
              </w:rPr>
              <w:t>(</w:t>
            </w:r>
            <w:r w:rsidRPr="00B27A29">
              <w:rPr>
                <w:rFonts w:eastAsiaTheme="minorEastAsia"/>
                <w:kern w:val="0"/>
                <w:szCs w:val="21"/>
              </w:rPr>
              <w:t>元</w:t>
            </w:r>
            <w:r w:rsidRPr="00B27A29">
              <w:rPr>
                <w:rFonts w:eastAsiaTheme="minorEastAsia"/>
                <w:kern w:val="0"/>
                <w:szCs w:val="21"/>
              </w:rPr>
              <w:t>)</w:t>
            </w:r>
          </w:p>
        </w:tc>
        <w:tc>
          <w:tcPr>
            <w:tcW w:w="161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占基金资产净值比例</w:t>
            </w:r>
            <w:r w:rsidRPr="00B27A29">
              <w:rPr>
                <w:rFonts w:eastAsiaTheme="minorEastAsia"/>
                <w:kern w:val="0"/>
                <w:szCs w:val="21"/>
              </w:rPr>
              <w:t>(</w:t>
            </w:r>
            <w:r w:rsidRPr="00B27A29">
              <w:rPr>
                <w:rFonts w:eastAsiaTheme="minorEastAsia"/>
                <w:kern w:val="0"/>
                <w:szCs w:val="21"/>
              </w:rPr>
              <w:t>％</w:t>
            </w:r>
            <w:r w:rsidRPr="00B27A29">
              <w:rPr>
                <w:rFonts w:eastAsiaTheme="minorEastAsia"/>
                <w:kern w:val="0"/>
                <w:szCs w:val="21"/>
              </w:rPr>
              <w:t>)</w:t>
            </w:r>
          </w:p>
        </w:tc>
      </w:tr>
      <w:tr w:rsidR="00247969">
        <w:tc>
          <w:tcPr>
            <w:tcW w:w="817" w:type="dxa"/>
            <w:vAlign w:val="center"/>
          </w:tcPr>
          <w:p w:rsidR="00247969" w:rsidRDefault="00B60399">
            <w:pPr>
              <w:jc w:val="center"/>
            </w:pPr>
            <w:r>
              <w:rPr>
                <w:rFonts w:eastAsiaTheme="minorEastAsia"/>
                <w:kern w:val="0"/>
                <w:szCs w:val="21"/>
              </w:rPr>
              <w:t>1</w:t>
            </w:r>
          </w:p>
        </w:tc>
        <w:tc>
          <w:tcPr>
            <w:tcW w:w="1276" w:type="dxa"/>
            <w:vAlign w:val="center"/>
          </w:tcPr>
          <w:p w:rsidR="00247969" w:rsidRDefault="00B60399">
            <w:pPr>
              <w:jc w:val="center"/>
            </w:pPr>
            <w:r>
              <w:rPr>
                <w:rFonts w:eastAsiaTheme="minorEastAsia"/>
                <w:kern w:val="0"/>
                <w:szCs w:val="21"/>
              </w:rPr>
              <w:t>601899</w:t>
            </w:r>
          </w:p>
        </w:tc>
        <w:tc>
          <w:tcPr>
            <w:tcW w:w="1701" w:type="dxa"/>
            <w:vAlign w:val="center"/>
          </w:tcPr>
          <w:p w:rsidR="00247969" w:rsidRDefault="00B60399">
            <w:pPr>
              <w:jc w:val="center"/>
            </w:pPr>
            <w:r>
              <w:rPr>
                <w:rFonts w:eastAsiaTheme="minorEastAsia"/>
                <w:kern w:val="0"/>
                <w:szCs w:val="21"/>
              </w:rPr>
              <w:t>紫金矿业</w:t>
            </w:r>
          </w:p>
        </w:tc>
        <w:tc>
          <w:tcPr>
            <w:tcW w:w="1276" w:type="dxa"/>
            <w:vAlign w:val="center"/>
          </w:tcPr>
          <w:p w:rsidR="00247969" w:rsidRDefault="00B60399">
            <w:pPr>
              <w:jc w:val="right"/>
            </w:pPr>
            <w:r>
              <w:rPr>
                <w:rFonts w:eastAsiaTheme="minorEastAsia"/>
                <w:kern w:val="0"/>
                <w:szCs w:val="21"/>
              </w:rPr>
              <w:t>5,651,166</w:t>
            </w:r>
          </w:p>
        </w:tc>
        <w:tc>
          <w:tcPr>
            <w:tcW w:w="1842" w:type="dxa"/>
            <w:vAlign w:val="center"/>
          </w:tcPr>
          <w:p w:rsidR="00247969" w:rsidRDefault="00B60399">
            <w:pPr>
              <w:jc w:val="right"/>
            </w:pPr>
            <w:r>
              <w:rPr>
                <w:rFonts w:eastAsiaTheme="minorEastAsia"/>
                <w:kern w:val="0"/>
                <w:szCs w:val="21"/>
              </w:rPr>
              <w:t>57,020,264.94</w:t>
            </w:r>
          </w:p>
        </w:tc>
        <w:tc>
          <w:tcPr>
            <w:tcW w:w="1616" w:type="dxa"/>
            <w:vAlign w:val="center"/>
          </w:tcPr>
          <w:p w:rsidR="00247969" w:rsidRDefault="00B60399">
            <w:pPr>
              <w:jc w:val="right"/>
            </w:pPr>
            <w:r>
              <w:rPr>
                <w:rFonts w:eastAsiaTheme="minorEastAsia"/>
                <w:kern w:val="0"/>
                <w:szCs w:val="21"/>
              </w:rPr>
              <w:t>5.47</w:t>
            </w:r>
          </w:p>
        </w:tc>
      </w:tr>
      <w:tr w:rsidR="00247969">
        <w:tc>
          <w:tcPr>
            <w:tcW w:w="817" w:type="dxa"/>
            <w:vAlign w:val="center"/>
          </w:tcPr>
          <w:p w:rsidR="00247969" w:rsidRDefault="00B60399">
            <w:pPr>
              <w:jc w:val="center"/>
            </w:pPr>
            <w:r>
              <w:rPr>
                <w:rFonts w:eastAsiaTheme="minorEastAsia"/>
                <w:kern w:val="0"/>
                <w:szCs w:val="21"/>
              </w:rPr>
              <w:t>2</w:t>
            </w:r>
          </w:p>
        </w:tc>
        <w:tc>
          <w:tcPr>
            <w:tcW w:w="1276" w:type="dxa"/>
            <w:vAlign w:val="center"/>
          </w:tcPr>
          <w:p w:rsidR="00247969" w:rsidRDefault="00B60399">
            <w:pPr>
              <w:jc w:val="center"/>
            </w:pPr>
            <w:r>
              <w:rPr>
                <w:rFonts w:eastAsiaTheme="minorEastAsia"/>
                <w:kern w:val="0"/>
                <w:szCs w:val="21"/>
              </w:rPr>
              <w:t>600089</w:t>
            </w:r>
          </w:p>
        </w:tc>
        <w:tc>
          <w:tcPr>
            <w:tcW w:w="1701" w:type="dxa"/>
            <w:vAlign w:val="center"/>
          </w:tcPr>
          <w:p w:rsidR="00247969" w:rsidRDefault="00B60399">
            <w:pPr>
              <w:jc w:val="center"/>
            </w:pPr>
            <w:r>
              <w:rPr>
                <w:rFonts w:eastAsiaTheme="minorEastAsia"/>
                <w:kern w:val="0"/>
                <w:szCs w:val="21"/>
              </w:rPr>
              <w:t>特变电工</w:t>
            </w:r>
          </w:p>
        </w:tc>
        <w:tc>
          <w:tcPr>
            <w:tcW w:w="1276" w:type="dxa"/>
            <w:vAlign w:val="center"/>
          </w:tcPr>
          <w:p w:rsidR="00247969" w:rsidRDefault="00B60399">
            <w:pPr>
              <w:jc w:val="right"/>
            </w:pPr>
            <w:r>
              <w:rPr>
                <w:rFonts w:eastAsiaTheme="minorEastAsia"/>
                <w:kern w:val="0"/>
                <w:szCs w:val="21"/>
              </w:rPr>
              <w:t>1,987,566</w:t>
            </w:r>
          </w:p>
        </w:tc>
        <w:tc>
          <w:tcPr>
            <w:tcW w:w="1842" w:type="dxa"/>
            <w:vAlign w:val="center"/>
          </w:tcPr>
          <w:p w:rsidR="00247969" w:rsidRDefault="00B60399">
            <w:pPr>
              <w:jc w:val="right"/>
            </w:pPr>
            <w:r>
              <w:rPr>
                <w:rFonts w:eastAsiaTheme="minorEastAsia"/>
                <w:kern w:val="0"/>
                <w:szCs w:val="21"/>
              </w:rPr>
              <w:t>48,198,475.50</w:t>
            </w:r>
          </w:p>
        </w:tc>
        <w:tc>
          <w:tcPr>
            <w:tcW w:w="1616" w:type="dxa"/>
            <w:vAlign w:val="center"/>
          </w:tcPr>
          <w:p w:rsidR="00247969" w:rsidRDefault="00B60399">
            <w:pPr>
              <w:jc w:val="right"/>
            </w:pPr>
            <w:r>
              <w:rPr>
                <w:rFonts w:eastAsiaTheme="minorEastAsia"/>
                <w:kern w:val="0"/>
                <w:szCs w:val="21"/>
              </w:rPr>
              <w:t>4.63</w:t>
            </w:r>
          </w:p>
        </w:tc>
      </w:tr>
      <w:tr w:rsidR="00247969">
        <w:tc>
          <w:tcPr>
            <w:tcW w:w="817" w:type="dxa"/>
            <w:vAlign w:val="center"/>
          </w:tcPr>
          <w:p w:rsidR="00247969" w:rsidRDefault="00B60399">
            <w:pPr>
              <w:jc w:val="center"/>
            </w:pPr>
            <w:r>
              <w:rPr>
                <w:rFonts w:eastAsiaTheme="minorEastAsia"/>
                <w:kern w:val="0"/>
                <w:szCs w:val="21"/>
              </w:rPr>
              <w:t>3</w:t>
            </w:r>
          </w:p>
        </w:tc>
        <w:tc>
          <w:tcPr>
            <w:tcW w:w="1276" w:type="dxa"/>
            <w:vAlign w:val="center"/>
          </w:tcPr>
          <w:p w:rsidR="00247969" w:rsidRDefault="00B60399">
            <w:pPr>
              <w:jc w:val="center"/>
            </w:pPr>
            <w:r>
              <w:rPr>
                <w:rFonts w:eastAsiaTheme="minorEastAsia"/>
                <w:kern w:val="0"/>
                <w:szCs w:val="21"/>
              </w:rPr>
              <w:t>002756</w:t>
            </w:r>
          </w:p>
        </w:tc>
        <w:tc>
          <w:tcPr>
            <w:tcW w:w="1701" w:type="dxa"/>
            <w:vAlign w:val="center"/>
          </w:tcPr>
          <w:p w:rsidR="00247969" w:rsidRDefault="00B60399">
            <w:pPr>
              <w:jc w:val="center"/>
            </w:pPr>
            <w:r>
              <w:rPr>
                <w:rFonts w:eastAsiaTheme="minorEastAsia"/>
                <w:kern w:val="0"/>
                <w:szCs w:val="21"/>
              </w:rPr>
              <w:t>永兴材料</w:t>
            </w:r>
          </w:p>
        </w:tc>
        <w:tc>
          <w:tcPr>
            <w:tcW w:w="1276" w:type="dxa"/>
            <w:vAlign w:val="center"/>
          </w:tcPr>
          <w:p w:rsidR="00247969" w:rsidRDefault="00B60399">
            <w:pPr>
              <w:jc w:val="right"/>
            </w:pPr>
            <w:r>
              <w:rPr>
                <w:rFonts w:eastAsiaTheme="minorEastAsia"/>
                <w:kern w:val="0"/>
                <w:szCs w:val="21"/>
              </w:rPr>
              <w:t>465,894</w:t>
            </w:r>
          </w:p>
        </w:tc>
        <w:tc>
          <w:tcPr>
            <w:tcW w:w="1842" w:type="dxa"/>
            <w:vAlign w:val="center"/>
          </w:tcPr>
          <w:p w:rsidR="00247969" w:rsidRDefault="00B60399">
            <w:pPr>
              <w:jc w:val="right"/>
            </w:pPr>
            <w:r>
              <w:rPr>
                <w:rFonts w:eastAsiaTheme="minorEastAsia"/>
                <w:kern w:val="0"/>
                <w:szCs w:val="21"/>
              </w:rPr>
              <w:t>43,831,307.52</w:t>
            </w:r>
          </w:p>
        </w:tc>
        <w:tc>
          <w:tcPr>
            <w:tcW w:w="1616" w:type="dxa"/>
            <w:vAlign w:val="center"/>
          </w:tcPr>
          <w:p w:rsidR="00247969" w:rsidRDefault="00B60399">
            <w:pPr>
              <w:jc w:val="right"/>
            </w:pPr>
            <w:r>
              <w:rPr>
                <w:rFonts w:eastAsiaTheme="minorEastAsia"/>
                <w:kern w:val="0"/>
                <w:szCs w:val="21"/>
              </w:rPr>
              <w:t>4.21</w:t>
            </w:r>
          </w:p>
        </w:tc>
      </w:tr>
      <w:tr w:rsidR="00247969">
        <w:tc>
          <w:tcPr>
            <w:tcW w:w="817" w:type="dxa"/>
            <w:vAlign w:val="center"/>
          </w:tcPr>
          <w:p w:rsidR="00247969" w:rsidRDefault="00B60399">
            <w:pPr>
              <w:jc w:val="center"/>
            </w:pPr>
            <w:r>
              <w:rPr>
                <w:rFonts w:eastAsiaTheme="minorEastAsia"/>
                <w:kern w:val="0"/>
                <w:szCs w:val="21"/>
              </w:rPr>
              <w:t>4</w:t>
            </w:r>
          </w:p>
        </w:tc>
        <w:tc>
          <w:tcPr>
            <w:tcW w:w="1276" w:type="dxa"/>
            <w:vAlign w:val="center"/>
          </w:tcPr>
          <w:p w:rsidR="00247969" w:rsidRDefault="00B60399">
            <w:pPr>
              <w:jc w:val="center"/>
            </w:pPr>
            <w:r>
              <w:rPr>
                <w:rFonts w:eastAsiaTheme="minorEastAsia"/>
                <w:kern w:val="0"/>
                <w:szCs w:val="21"/>
              </w:rPr>
              <w:t>300082</w:t>
            </w:r>
          </w:p>
        </w:tc>
        <w:tc>
          <w:tcPr>
            <w:tcW w:w="1701" w:type="dxa"/>
            <w:vAlign w:val="center"/>
          </w:tcPr>
          <w:p w:rsidR="00247969" w:rsidRDefault="00B60399">
            <w:pPr>
              <w:jc w:val="center"/>
            </w:pPr>
            <w:r>
              <w:rPr>
                <w:rFonts w:eastAsiaTheme="minorEastAsia"/>
                <w:kern w:val="0"/>
                <w:szCs w:val="21"/>
              </w:rPr>
              <w:t>奥克股份</w:t>
            </w:r>
          </w:p>
        </w:tc>
        <w:tc>
          <w:tcPr>
            <w:tcW w:w="1276" w:type="dxa"/>
            <w:vAlign w:val="center"/>
          </w:tcPr>
          <w:p w:rsidR="00247969" w:rsidRDefault="00B60399">
            <w:pPr>
              <w:jc w:val="right"/>
            </w:pPr>
            <w:r>
              <w:rPr>
                <w:rFonts w:eastAsiaTheme="minorEastAsia"/>
                <w:kern w:val="0"/>
                <w:szCs w:val="21"/>
              </w:rPr>
              <w:t>1,411,830</w:t>
            </w:r>
          </w:p>
        </w:tc>
        <w:tc>
          <w:tcPr>
            <w:tcW w:w="1842" w:type="dxa"/>
            <w:vAlign w:val="center"/>
          </w:tcPr>
          <w:p w:rsidR="00247969" w:rsidRDefault="00B60399">
            <w:pPr>
              <w:jc w:val="right"/>
            </w:pPr>
            <w:r>
              <w:rPr>
                <w:rFonts w:eastAsiaTheme="minorEastAsia"/>
                <w:kern w:val="0"/>
                <w:szCs w:val="21"/>
              </w:rPr>
              <w:t>32,034,422.70</w:t>
            </w:r>
          </w:p>
        </w:tc>
        <w:tc>
          <w:tcPr>
            <w:tcW w:w="1616" w:type="dxa"/>
            <w:vAlign w:val="center"/>
          </w:tcPr>
          <w:p w:rsidR="00247969" w:rsidRDefault="00B60399">
            <w:pPr>
              <w:jc w:val="right"/>
            </w:pPr>
            <w:r>
              <w:rPr>
                <w:rFonts w:eastAsiaTheme="minorEastAsia"/>
                <w:kern w:val="0"/>
                <w:szCs w:val="21"/>
              </w:rPr>
              <w:t>3.08</w:t>
            </w:r>
          </w:p>
        </w:tc>
      </w:tr>
      <w:tr w:rsidR="00247969">
        <w:tc>
          <w:tcPr>
            <w:tcW w:w="817" w:type="dxa"/>
            <w:vAlign w:val="center"/>
          </w:tcPr>
          <w:p w:rsidR="00247969" w:rsidRDefault="00B60399">
            <w:pPr>
              <w:jc w:val="center"/>
            </w:pPr>
            <w:r>
              <w:rPr>
                <w:rFonts w:eastAsiaTheme="minorEastAsia"/>
                <w:kern w:val="0"/>
                <w:szCs w:val="21"/>
              </w:rPr>
              <w:t>5</w:t>
            </w:r>
          </w:p>
        </w:tc>
        <w:tc>
          <w:tcPr>
            <w:tcW w:w="1276" w:type="dxa"/>
            <w:vAlign w:val="center"/>
          </w:tcPr>
          <w:p w:rsidR="00247969" w:rsidRDefault="00B60399">
            <w:pPr>
              <w:jc w:val="center"/>
            </w:pPr>
            <w:r>
              <w:rPr>
                <w:rFonts w:eastAsiaTheme="minorEastAsia"/>
                <w:kern w:val="0"/>
                <w:szCs w:val="21"/>
              </w:rPr>
              <w:t>601877</w:t>
            </w:r>
          </w:p>
        </w:tc>
        <w:tc>
          <w:tcPr>
            <w:tcW w:w="1701" w:type="dxa"/>
            <w:vAlign w:val="center"/>
          </w:tcPr>
          <w:p w:rsidR="00247969" w:rsidRDefault="00B60399">
            <w:pPr>
              <w:jc w:val="center"/>
            </w:pPr>
            <w:r>
              <w:rPr>
                <w:rFonts w:eastAsiaTheme="minorEastAsia"/>
                <w:kern w:val="0"/>
                <w:szCs w:val="21"/>
              </w:rPr>
              <w:t>正泰电器</w:t>
            </w:r>
          </w:p>
        </w:tc>
        <w:tc>
          <w:tcPr>
            <w:tcW w:w="1276" w:type="dxa"/>
            <w:vAlign w:val="center"/>
          </w:tcPr>
          <w:p w:rsidR="00247969" w:rsidRDefault="00B60399">
            <w:pPr>
              <w:jc w:val="right"/>
            </w:pPr>
            <w:r>
              <w:rPr>
                <w:rFonts w:eastAsiaTheme="minorEastAsia"/>
                <w:kern w:val="0"/>
                <w:szCs w:val="21"/>
              </w:rPr>
              <w:t>531,250</w:t>
            </w:r>
          </w:p>
        </w:tc>
        <w:tc>
          <w:tcPr>
            <w:tcW w:w="1842" w:type="dxa"/>
            <w:vAlign w:val="center"/>
          </w:tcPr>
          <w:p w:rsidR="00247969" w:rsidRDefault="00B60399">
            <w:pPr>
              <w:jc w:val="right"/>
            </w:pPr>
            <w:r>
              <w:rPr>
                <w:rFonts w:eastAsiaTheme="minorEastAsia"/>
                <w:kern w:val="0"/>
                <w:szCs w:val="21"/>
              </w:rPr>
              <w:t>30,068,750.00</w:t>
            </w:r>
          </w:p>
        </w:tc>
        <w:tc>
          <w:tcPr>
            <w:tcW w:w="1616" w:type="dxa"/>
            <w:vAlign w:val="center"/>
          </w:tcPr>
          <w:p w:rsidR="00247969" w:rsidRDefault="00B60399">
            <w:pPr>
              <w:jc w:val="right"/>
            </w:pPr>
            <w:r>
              <w:rPr>
                <w:rFonts w:eastAsiaTheme="minorEastAsia"/>
                <w:kern w:val="0"/>
                <w:szCs w:val="21"/>
              </w:rPr>
              <w:t>2.89</w:t>
            </w:r>
          </w:p>
        </w:tc>
      </w:tr>
      <w:tr w:rsidR="00247969">
        <w:tc>
          <w:tcPr>
            <w:tcW w:w="817" w:type="dxa"/>
            <w:vAlign w:val="center"/>
          </w:tcPr>
          <w:p w:rsidR="00247969" w:rsidRDefault="00B60399">
            <w:pPr>
              <w:jc w:val="center"/>
            </w:pPr>
            <w:r>
              <w:rPr>
                <w:rFonts w:eastAsiaTheme="minorEastAsia"/>
                <w:kern w:val="0"/>
                <w:szCs w:val="21"/>
              </w:rPr>
              <w:t>6</w:t>
            </w:r>
          </w:p>
        </w:tc>
        <w:tc>
          <w:tcPr>
            <w:tcW w:w="1276" w:type="dxa"/>
            <w:vAlign w:val="center"/>
          </w:tcPr>
          <w:p w:rsidR="00247969" w:rsidRDefault="00B60399">
            <w:pPr>
              <w:jc w:val="center"/>
            </w:pPr>
            <w:r>
              <w:rPr>
                <w:rFonts w:eastAsiaTheme="minorEastAsia"/>
                <w:kern w:val="0"/>
                <w:szCs w:val="21"/>
              </w:rPr>
              <w:t>000301</w:t>
            </w:r>
          </w:p>
        </w:tc>
        <w:tc>
          <w:tcPr>
            <w:tcW w:w="1701" w:type="dxa"/>
            <w:vAlign w:val="center"/>
          </w:tcPr>
          <w:p w:rsidR="00247969" w:rsidRDefault="00B60399">
            <w:pPr>
              <w:jc w:val="center"/>
            </w:pPr>
            <w:r>
              <w:rPr>
                <w:rFonts w:eastAsiaTheme="minorEastAsia"/>
                <w:kern w:val="0"/>
                <w:szCs w:val="21"/>
              </w:rPr>
              <w:t>东方盛虹</w:t>
            </w:r>
          </w:p>
        </w:tc>
        <w:tc>
          <w:tcPr>
            <w:tcW w:w="1276" w:type="dxa"/>
            <w:vAlign w:val="center"/>
          </w:tcPr>
          <w:p w:rsidR="00247969" w:rsidRDefault="00B60399">
            <w:pPr>
              <w:jc w:val="right"/>
            </w:pPr>
            <w:r>
              <w:rPr>
                <w:rFonts w:eastAsiaTheme="minorEastAsia"/>
                <w:kern w:val="0"/>
                <w:szCs w:val="21"/>
              </w:rPr>
              <w:t>1,036,676</w:t>
            </w:r>
          </w:p>
        </w:tc>
        <w:tc>
          <w:tcPr>
            <w:tcW w:w="1842" w:type="dxa"/>
            <w:vAlign w:val="center"/>
          </w:tcPr>
          <w:p w:rsidR="00247969" w:rsidRDefault="00B60399">
            <w:pPr>
              <w:jc w:val="right"/>
            </w:pPr>
            <w:r>
              <w:rPr>
                <w:rFonts w:eastAsiaTheme="minorEastAsia"/>
                <w:kern w:val="0"/>
                <w:szCs w:val="21"/>
              </w:rPr>
              <w:t>29,151,329.12</w:t>
            </w:r>
          </w:p>
        </w:tc>
        <w:tc>
          <w:tcPr>
            <w:tcW w:w="1616" w:type="dxa"/>
            <w:vAlign w:val="center"/>
          </w:tcPr>
          <w:p w:rsidR="00247969" w:rsidRDefault="00B60399">
            <w:pPr>
              <w:jc w:val="right"/>
            </w:pPr>
            <w:r>
              <w:rPr>
                <w:rFonts w:eastAsiaTheme="minorEastAsia"/>
                <w:kern w:val="0"/>
                <w:szCs w:val="21"/>
              </w:rPr>
              <w:t>2.80</w:t>
            </w:r>
          </w:p>
        </w:tc>
      </w:tr>
      <w:tr w:rsidR="00247969">
        <w:tc>
          <w:tcPr>
            <w:tcW w:w="817" w:type="dxa"/>
            <w:vAlign w:val="center"/>
          </w:tcPr>
          <w:p w:rsidR="00247969" w:rsidRDefault="00B60399">
            <w:pPr>
              <w:jc w:val="center"/>
            </w:pPr>
            <w:r>
              <w:rPr>
                <w:rFonts w:eastAsiaTheme="minorEastAsia"/>
                <w:kern w:val="0"/>
                <w:szCs w:val="21"/>
              </w:rPr>
              <w:t>7</w:t>
            </w:r>
          </w:p>
        </w:tc>
        <w:tc>
          <w:tcPr>
            <w:tcW w:w="1276" w:type="dxa"/>
            <w:vAlign w:val="center"/>
          </w:tcPr>
          <w:p w:rsidR="00247969" w:rsidRDefault="00B60399">
            <w:pPr>
              <w:jc w:val="center"/>
            </w:pPr>
            <w:r>
              <w:rPr>
                <w:rFonts w:eastAsiaTheme="minorEastAsia"/>
                <w:kern w:val="0"/>
                <w:szCs w:val="21"/>
              </w:rPr>
              <w:t>600782</w:t>
            </w:r>
          </w:p>
        </w:tc>
        <w:tc>
          <w:tcPr>
            <w:tcW w:w="1701" w:type="dxa"/>
            <w:vAlign w:val="center"/>
          </w:tcPr>
          <w:p w:rsidR="00247969" w:rsidRDefault="00B60399">
            <w:pPr>
              <w:jc w:val="center"/>
            </w:pPr>
            <w:r>
              <w:rPr>
                <w:rFonts w:eastAsiaTheme="minorEastAsia"/>
                <w:kern w:val="0"/>
                <w:szCs w:val="21"/>
              </w:rPr>
              <w:t>新钢股份</w:t>
            </w:r>
          </w:p>
        </w:tc>
        <w:tc>
          <w:tcPr>
            <w:tcW w:w="1276" w:type="dxa"/>
            <w:vAlign w:val="center"/>
          </w:tcPr>
          <w:p w:rsidR="00247969" w:rsidRDefault="00B60399">
            <w:pPr>
              <w:jc w:val="right"/>
            </w:pPr>
            <w:r>
              <w:rPr>
                <w:rFonts w:eastAsiaTheme="minorEastAsia"/>
                <w:kern w:val="0"/>
                <w:szCs w:val="21"/>
              </w:rPr>
              <w:t>3,709,400</w:t>
            </w:r>
          </w:p>
        </w:tc>
        <w:tc>
          <w:tcPr>
            <w:tcW w:w="1842" w:type="dxa"/>
            <w:vAlign w:val="center"/>
          </w:tcPr>
          <w:p w:rsidR="00247969" w:rsidRDefault="00B60399">
            <w:pPr>
              <w:jc w:val="right"/>
            </w:pPr>
            <w:r>
              <w:rPr>
                <w:rFonts w:eastAsiaTheme="minorEastAsia"/>
                <w:kern w:val="0"/>
                <w:szCs w:val="21"/>
              </w:rPr>
              <w:t>26,448,022.00</w:t>
            </w:r>
          </w:p>
        </w:tc>
        <w:tc>
          <w:tcPr>
            <w:tcW w:w="1616" w:type="dxa"/>
            <w:vAlign w:val="center"/>
          </w:tcPr>
          <w:p w:rsidR="00247969" w:rsidRDefault="00B60399">
            <w:pPr>
              <w:jc w:val="right"/>
            </w:pPr>
            <w:r>
              <w:rPr>
                <w:rFonts w:eastAsiaTheme="minorEastAsia"/>
                <w:kern w:val="0"/>
                <w:szCs w:val="21"/>
              </w:rPr>
              <w:t>2.54</w:t>
            </w:r>
          </w:p>
        </w:tc>
      </w:tr>
      <w:tr w:rsidR="00247969">
        <w:tc>
          <w:tcPr>
            <w:tcW w:w="817" w:type="dxa"/>
            <w:vAlign w:val="center"/>
          </w:tcPr>
          <w:p w:rsidR="00247969" w:rsidRDefault="00B60399">
            <w:pPr>
              <w:jc w:val="center"/>
            </w:pPr>
            <w:r>
              <w:rPr>
                <w:rFonts w:eastAsiaTheme="minorEastAsia"/>
                <w:kern w:val="0"/>
                <w:szCs w:val="21"/>
              </w:rPr>
              <w:t>8</w:t>
            </w:r>
          </w:p>
        </w:tc>
        <w:tc>
          <w:tcPr>
            <w:tcW w:w="1276" w:type="dxa"/>
            <w:vAlign w:val="center"/>
          </w:tcPr>
          <w:p w:rsidR="00247969" w:rsidRDefault="00B60399">
            <w:pPr>
              <w:jc w:val="center"/>
            </w:pPr>
            <w:r>
              <w:rPr>
                <w:rFonts w:eastAsiaTheme="minorEastAsia"/>
                <w:kern w:val="0"/>
                <w:szCs w:val="21"/>
              </w:rPr>
              <w:t>601633</w:t>
            </w:r>
          </w:p>
        </w:tc>
        <w:tc>
          <w:tcPr>
            <w:tcW w:w="1701" w:type="dxa"/>
            <w:vAlign w:val="center"/>
          </w:tcPr>
          <w:p w:rsidR="00247969" w:rsidRDefault="00B60399">
            <w:pPr>
              <w:jc w:val="center"/>
            </w:pPr>
            <w:r>
              <w:rPr>
                <w:rFonts w:eastAsiaTheme="minorEastAsia"/>
                <w:kern w:val="0"/>
                <w:szCs w:val="21"/>
              </w:rPr>
              <w:t>长城汽车</w:t>
            </w:r>
          </w:p>
        </w:tc>
        <w:tc>
          <w:tcPr>
            <w:tcW w:w="1276" w:type="dxa"/>
            <w:vAlign w:val="center"/>
          </w:tcPr>
          <w:p w:rsidR="00247969" w:rsidRDefault="00B60399">
            <w:pPr>
              <w:jc w:val="right"/>
            </w:pPr>
            <w:r>
              <w:rPr>
                <w:rFonts w:eastAsiaTheme="minorEastAsia"/>
                <w:kern w:val="0"/>
                <w:szCs w:val="21"/>
              </w:rPr>
              <w:t>412,100</w:t>
            </w:r>
          </w:p>
        </w:tc>
        <w:tc>
          <w:tcPr>
            <w:tcW w:w="1842" w:type="dxa"/>
            <w:vAlign w:val="center"/>
          </w:tcPr>
          <w:p w:rsidR="00247969" w:rsidRDefault="00B60399">
            <w:pPr>
              <w:jc w:val="right"/>
            </w:pPr>
            <w:r>
              <w:rPr>
                <w:rFonts w:eastAsiaTheme="minorEastAsia"/>
                <w:kern w:val="0"/>
                <w:szCs w:val="21"/>
              </w:rPr>
              <w:t>21,676,460.00</w:t>
            </w:r>
          </w:p>
        </w:tc>
        <w:tc>
          <w:tcPr>
            <w:tcW w:w="1616" w:type="dxa"/>
            <w:vAlign w:val="center"/>
          </w:tcPr>
          <w:p w:rsidR="00247969" w:rsidRDefault="00B60399">
            <w:pPr>
              <w:jc w:val="right"/>
            </w:pPr>
            <w:r>
              <w:rPr>
                <w:rFonts w:eastAsiaTheme="minorEastAsia"/>
                <w:kern w:val="0"/>
                <w:szCs w:val="21"/>
              </w:rPr>
              <w:t>2.08</w:t>
            </w:r>
          </w:p>
        </w:tc>
      </w:tr>
      <w:tr w:rsidR="00247969">
        <w:tc>
          <w:tcPr>
            <w:tcW w:w="817" w:type="dxa"/>
            <w:vAlign w:val="center"/>
          </w:tcPr>
          <w:p w:rsidR="00247969" w:rsidRDefault="00B60399">
            <w:pPr>
              <w:jc w:val="center"/>
            </w:pPr>
            <w:r>
              <w:rPr>
                <w:rFonts w:eastAsiaTheme="minorEastAsia"/>
                <w:kern w:val="0"/>
                <w:szCs w:val="21"/>
              </w:rPr>
              <w:t>9</w:t>
            </w:r>
          </w:p>
        </w:tc>
        <w:tc>
          <w:tcPr>
            <w:tcW w:w="1276" w:type="dxa"/>
            <w:vAlign w:val="center"/>
          </w:tcPr>
          <w:p w:rsidR="00247969" w:rsidRDefault="00B60399">
            <w:pPr>
              <w:jc w:val="center"/>
            </w:pPr>
            <w:r>
              <w:rPr>
                <w:rFonts w:eastAsiaTheme="minorEastAsia"/>
                <w:kern w:val="0"/>
                <w:szCs w:val="21"/>
              </w:rPr>
              <w:t>600338</w:t>
            </w:r>
          </w:p>
        </w:tc>
        <w:tc>
          <w:tcPr>
            <w:tcW w:w="1701" w:type="dxa"/>
            <w:vAlign w:val="center"/>
          </w:tcPr>
          <w:p w:rsidR="00247969" w:rsidRDefault="00B60399">
            <w:pPr>
              <w:jc w:val="center"/>
            </w:pPr>
            <w:r>
              <w:rPr>
                <w:rFonts w:eastAsiaTheme="minorEastAsia"/>
                <w:kern w:val="0"/>
                <w:szCs w:val="21"/>
              </w:rPr>
              <w:t>西藏珠峰</w:t>
            </w:r>
          </w:p>
        </w:tc>
        <w:tc>
          <w:tcPr>
            <w:tcW w:w="1276" w:type="dxa"/>
            <w:vAlign w:val="center"/>
          </w:tcPr>
          <w:p w:rsidR="00247969" w:rsidRDefault="00B60399">
            <w:pPr>
              <w:jc w:val="right"/>
            </w:pPr>
            <w:r>
              <w:rPr>
                <w:rFonts w:eastAsiaTheme="minorEastAsia"/>
                <w:kern w:val="0"/>
                <w:szCs w:val="21"/>
              </w:rPr>
              <w:t>608,228</w:t>
            </w:r>
          </w:p>
        </w:tc>
        <w:tc>
          <w:tcPr>
            <w:tcW w:w="1842" w:type="dxa"/>
            <w:vAlign w:val="center"/>
          </w:tcPr>
          <w:p w:rsidR="00247969" w:rsidRDefault="00B60399">
            <w:pPr>
              <w:jc w:val="right"/>
            </w:pPr>
            <w:r>
              <w:rPr>
                <w:rFonts w:eastAsiaTheme="minorEastAsia"/>
                <w:kern w:val="0"/>
                <w:szCs w:val="21"/>
              </w:rPr>
              <w:t>21,470,448.40</w:t>
            </w:r>
          </w:p>
        </w:tc>
        <w:tc>
          <w:tcPr>
            <w:tcW w:w="1616" w:type="dxa"/>
            <w:vAlign w:val="center"/>
          </w:tcPr>
          <w:p w:rsidR="00247969" w:rsidRDefault="00B60399">
            <w:pPr>
              <w:jc w:val="right"/>
            </w:pPr>
            <w:r>
              <w:rPr>
                <w:rFonts w:eastAsiaTheme="minorEastAsia"/>
                <w:kern w:val="0"/>
                <w:szCs w:val="21"/>
              </w:rPr>
              <w:t>2.06</w:t>
            </w:r>
          </w:p>
        </w:tc>
      </w:tr>
      <w:tr w:rsidR="00247969">
        <w:tc>
          <w:tcPr>
            <w:tcW w:w="817" w:type="dxa"/>
            <w:vAlign w:val="center"/>
          </w:tcPr>
          <w:p w:rsidR="00247969" w:rsidRDefault="00B60399">
            <w:pPr>
              <w:jc w:val="center"/>
            </w:pPr>
            <w:r>
              <w:rPr>
                <w:rFonts w:eastAsiaTheme="minorEastAsia"/>
                <w:kern w:val="0"/>
                <w:szCs w:val="21"/>
              </w:rPr>
              <w:t>10</w:t>
            </w:r>
          </w:p>
        </w:tc>
        <w:tc>
          <w:tcPr>
            <w:tcW w:w="1276" w:type="dxa"/>
            <w:vAlign w:val="center"/>
          </w:tcPr>
          <w:p w:rsidR="00247969" w:rsidRDefault="00B60399">
            <w:pPr>
              <w:jc w:val="center"/>
            </w:pPr>
            <w:r>
              <w:rPr>
                <w:rFonts w:eastAsiaTheme="minorEastAsia"/>
                <w:kern w:val="0"/>
                <w:szCs w:val="21"/>
              </w:rPr>
              <w:t>002318</w:t>
            </w:r>
          </w:p>
        </w:tc>
        <w:tc>
          <w:tcPr>
            <w:tcW w:w="1701" w:type="dxa"/>
            <w:vAlign w:val="center"/>
          </w:tcPr>
          <w:p w:rsidR="00247969" w:rsidRDefault="00B60399">
            <w:pPr>
              <w:jc w:val="center"/>
            </w:pPr>
            <w:r>
              <w:rPr>
                <w:rFonts w:eastAsiaTheme="minorEastAsia"/>
                <w:kern w:val="0"/>
                <w:szCs w:val="21"/>
              </w:rPr>
              <w:t>久立特材</w:t>
            </w:r>
          </w:p>
        </w:tc>
        <w:tc>
          <w:tcPr>
            <w:tcW w:w="1276" w:type="dxa"/>
            <w:vAlign w:val="center"/>
          </w:tcPr>
          <w:p w:rsidR="00247969" w:rsidRDefault="00B60399">
            <w:pPr>
              <w:jc w:val="right"/>
            </w:pPr>
            <w:r>
              <w:rPr>
                <w:rFonts w:eastAsiaTheme="minorEastAsia"/>
                <w:kern w:val="0"/>
                <w:szCs w:val="21"/>
              </w:rPr>
              <w:t>1,368,478</w:t>
            </w:r>
          </w:p>
        </w:tc>
        <w:tc>
          <w:tcPr>
            <w:tcW w:w="1842" w:type="dxa"/>
            <w:vAlign w:val="center"/>
          </w:tcPr>
          <w:p w:rsidR="00247969" w:rsidRDefault="00B60399">
            <w:pPr>
              <w:jc w:val="right"/>
            </w:pPr>
            <w:r>
              <w:rPr>
                <w:rFonts w:eastAsiaTheme="minorEastAsia"/>
                <w:kern w:val="0"/>
                <w:szCs w:val="21"/>
              </w:rPr>
              <w:t>19,172,376.78</w:t>
            </w:r>
          </w:p>
        </w:tc>
        <w:tc>
          <w:tcPr>
            <w:tcW w:w="1616" w:type="dxa"/>
            <w:vAlign w:val="center"/>
          </w:tcPr>
          <w:p w:rsidR="00247969" w:rsidRDefault="00B60399">
            <w:pPr>
              <w:jc w:val="right"/>
            </w:pPr>
            <w:r>
              <w:rPr>
                <w:rFonts w:eastAsiaTheme="minorEastAsia"/>
                <w:kern w:val="0"/>
                <w:szCs w:val="21"/>
              </w:rPr>
              <w:t>1.84</w:t>
            </w:r>
          </w:p>
        </w:tc>
      </w:tr>
    </w:tbl>
    <w:bookmarkEnd w:id="1"/>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5.4 </w:t>
      </w:r>
      <w:r w:rsidRPr="00B27A29">
        <w:rPr>
          <w:rFonts w:eastAsiaTheme="minorEastAsia"/>
          <w:b/>
          <w:color w:val="000000" w:themeColor="text1"/>
          <w:kern w:val="0"/>
          <w:szCs w:val="21"/>
        </w:rPr>
        <w:t>报告期末按债券品种分类的债券投资组合</w:t>
      </w:r>
    </w:p>
    <w:tbl>
      <w:tblPr>
        <w:tblW w:w="85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260"/>
        <w:gridCol w:w="2835"/>
        <w:gridCol w:w="1616"/>
      </w:tblGrid>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序号</w:t>
            </w:r>
          </w:p>
        </w:tc>
        <w:tc>
          <w:tcPr>
            <w:tcW w:w="326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债券品种</w:t>
            </w:r>
          </w:p>
        </w:tc>
        <w:tc>
          <w:tcPr>
            <w:tcW w:w="2835"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公允价值</w:t>
            </w:r>
            <w:r w:rsidRPr="00B27A29">
              <w:rPr>
                <w:rFonts w:eastAsiaTheme="minorEastAsia"/>
                <w:color w:val="000000" w:themeColor="text1"/>
                <w:szCs w:val="21"/>
              </w:rPr>
              <w:t>(</w:t>
            </w:r>
            <w:r w:rsidRPr="00B27A29">
              <w:rPr>
                <w:rFonts w:eastAsiaTheme="minorEastAsia"/>
                <w:color w:val="000000" w:themeColor="text1"/>
                <w:szCs w:val="21"/>
              </w:rPr>
              <w:t>元</w:t>
            </w: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占基金资产净值比例</w:t>
            </w:r>
            <w:r w:rsidRPr="00B27A29">
              <w:rPr>
                <w:rFonts w:eastAsiaTheme="minorEastAsia"/>
                <w:color w:val="000000" w:themeColor="text1"/>
                <w:szCs w:val="21"/>
              </w:rPr>
              <w:t>(</w:t>
            </w:r>
            <w:r w:rsidRPr="00B27A29">
              <w:rPr>
                <w:rFonts w:eastAsiaTheme="minorEastAsia"/>
                <w:color w:val="000000" w:themeColor="text1"/>
                <w:szCs w:val="21"/>
              </w:rPr>
              <w:t>％</w:t>
            </w: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1</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国家债券</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39,912,000.00</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3.83</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2</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央行票据</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3</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金融债券</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50,180,000.00</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4.82</w:t>
            </w:r>
          </w:p>
        </w:tc>
      </w:tr>
      <w:tr w:rsidR="005E6DF3" w:rsidRPr="00B27A29">
        <w:tc>
          <w:tcPr>
            <w:tcW w:w="817"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其中：政策性金融债</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20,162,000.00</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1.94</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4</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企业债券</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19,005,700.00</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1.82</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5</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企业短期融资券</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6</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中期票据</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161,355,000.00</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15.49</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7</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可转债（可交换债）</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lastRenderedPageBreak/>
              <w:t>8</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同业存单</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9</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其他</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10</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合计</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270,452,700.00</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25.97</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5.5 </w:t>
      </w:r>
      <w:r w:rsidRPr="00B27A29">
        <w:rPr>
          <w:rFonts w:eastAsiaTheme="minorEastAsia"/>
          <w:b/>
          <w:color w:val="000000" w:themeColor="text1"/>
          <w:kern w:val="0"/>
          <w:szCs w:val="21"/>
        </w:rPr>
        <w:t>报告期末按公允价值占基金资产净值比例大小排序的前五名债券投资明细</w:t>
      </w:r>
    </w:p>
    <w:tbl>
      <w:tblPr>
        <w:tblStyle w:val="afa"/>
        <w:tblW w:w="9021" w:type="dxa"/>
        <w:tblInd w:w="108" w:type="dxa"/>
        <w:tblLayout w:type="fixed"/>
        <w:tblLook w:val="04A0" w:firstRow="1" w:lastRow="0" w:firstColumn="1" w:lastColumn="0" w:noHBand="0" w:noVBand="1"/>
      </w:tblPr>
      <w:tblGrid>
        <w:gridCol w:w="1504"/>
        <w:gridCol w:w="1504"/>
        <w:gridCol w:w="1504"/>
        <w:gridCol w:w="1503"/>
        <w:gridCol w:w="1503"/>
        <w:gridCol w:w="1503"/>
      </w:tblGrid>
      <w:tr w:rsidR="005E6DF3" w:rsidRPr="00B27A29">
        <w:tc>
          <w:tcPr>
            <w:tcW w:w="1504"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序号</w:t>
            </w:r>
          </w:p>
        </w:tc>
        <w:tc>
          <w:tcPr>
            <w:tcW w:w="1504"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债券代码</w:t>
            </w:r>
          </w:p>
        </w:tc>
        <w:tc>
          <w:tcPr>
            <w:tcW w:w="1504"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债券名称</w:t>
            </w:r>
          </w:p>
        </w:tc>
        <w:tc>
          <w:tcPr>
            <w:tcW w:w="1503"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数量（张）</w:t>
            </w:r>
          </w:p>
        </w:tc>
        <w:tc>
          <w:tcPr>
            <w:tcW w:w="1503"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公允价值</w:t>
            </w:r>
            <w:r w:rsidRPr="00B27A29">
              <w:rPr>
                <w:rFonts w:eastAsiaTheme="minorEastAsia"/>
                <w:color w:val="000000" w:themeColor="text1"/>
                <w:kern w:val="0"/>
                <w:szCs w:val="21"/>
              </w:rPr>
              <w:t>(</w:t>
            </w:r>
            <w:r w:rsidRPr="00B27A29">
              <w:rPr>
                <w:rFonts w:eastAsiaTheme="minorEastAsia"/>
                <w:color w:val="000000" w:themeColor="text1"/>
                <w:kern w:val="0"/>
                <w:szCs w:val="21"/>
              </w:rPr>
              <w:t>元</w:t>
            </w:r>
            <w:r w:rsidRPr="00B27A29">
              <w:rPr>
                <w:rFonts w:eastAsiaTheme="minorEastAsia"/>
                <w:color w:val="000000" w:themeColor="text1"/>
                <w:kern w:val="0"/>
                <w:szCs w:val="21"/>
              </w:rPr>
              <w:t>)</w:t>
            </w:r>
          </w:p>
        </w:tc>
        <w:tc>
          <w:tcPr>
            <w:tcW w:w="1503"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占基金资产净值比例（％）</w:t>
            </w:r>
          </w:p>
        </w:tc>
      </w:tr>
      <w:tr w:rsidR="00247969">
        <w:tc>
          <w:tcPr>
            <w:tcW w:w="1504" w:type="dxa"/>
            <w:vAlign w:val="center"/>
          </w:tcPr>
          <w:p w:rsidR="00247969" w:rsidRDefault="00B60399">
            <w:pPr>
              <w:jc w:val="center"/>
            </w:pPr>
            <w:r>
              <w:rPr>
                <w:rFonts w:eastAsiaTheme="minorEastAsia"/>
                <w:color w:val="000000" w:themeColor="text1"/>
                <w:szCs w:val="21"/>
              </w:rPr>
              <w:t>1</w:t>
            </w:r>
          </w:p>
        </w:tc>
        <w:tc>
          <w:tcPr>
            <w:tcW w:w="1504" w:type="dxa"/>
            <w:vAlign w:val="center"/>
          </w:tcPr>
          <w:p w:rsidR="00247969" w:rsidRDefault="00B60399">
            <w:pPr>
              <w:jc w:val="center"/>
            </w:pPr>
            <w:r>
              <w:rPr>
                <w:rFonts w:eastAsiaTheme="minorEastAsia"/>
                <w:color w:val="000000" w:themeColor="text1"/>
                <w:szCs w:val="21"/>
              </w:rPr>
              <w:t>101678004</w:t>
            </w:r>
          </w:p>
        </w:tc>
        <w:tc>
          <w:tcPr>
            <w:tcW w:w="1504" w:type="dxa"/>
            <w:vAlign w:val="center"/>
          </w:tcPr>
          <w:p w:rsidR="00247969" w:rsidRDefault="00B60399">
            <w:pPr>
              <w:jc w:val="center"/>
            </w:pPr>
            <w:r>
              <w:rPr>
                <w:rFonts w:eastAsiaTheme="minorEastAsia"/>
                <w:color w:val="000000" w:themeColor="text1"/>
                <w:szCs w:val="21"/>
              </w:rPr>
              <w:t>16</w:t>
            </w:r>
            <w:r>
              <w:rPr>
                <w:rFonts w:eastAsiaTheme="minorEastAsia"/>
                <w:color w:val="000000" w:themeColor="text1"/>
                <w:szCs w:val="21"/>
              </w:rPr>
              <w:t>首钢</w:t>
            </w:r>
            <w:r>
              <w:rPr>
                <w:rFonts w:eastAsiaTheme="minorEastAsia"/>
                <w:color w:val="000000" w:themeColor="text1"/>
                <w:szCs w:val="21"/>
              </w:rPr>
              <w:t>MTN001</w:t>
            </w:r>
          </w:p>
        </w:tc>
        <w:tc>
          <w:tcPr>
            <w:tcW w:w="1503" w:type="dxa"/>
            <w:vAlign w:val="center"/>
          </w:tcPr>
          <w:p w:rsidR="00247969" w:rsidRDefault="00B60399">
            <w:pPr>
              <w:jc w:val="right"/>
            </w:pPr>
            <w:r>
              <w:rPr>
                <w:rFonts w:eastAsiaTheme="minorEastAsia"/>
                <w:color w:val="000000" w:themeColor="text1"/>
                <w:szCs w:val="21"/>
              </w:rPr>
              <w:t>400,000</w:t>
            </w:r>
          </w:p>
        </w:tc>
        <w:tc>
          <w:tcPr>
            <w:tcW w:w="1503" w:type="dxa"/>
            <w:vAlign w:val="center"/>
          </w:tcPr>
          <w:p w:rsidR="00247969" w:rsidRDefault="00B60399">
            <w:pPr>
              <w:jc w:val="right"/>
            </w:pPr>
            <w:r>
              <w:rPr>
                <w:rFonts w:eastAsiaTheme="minorEastAsia"/>
                <w:color w:val="000000" w:themeColor="text1"/>
                <w:szCs w:val="21"/>
              </w:rPr>
              <w:t>40,336,000.00</w:t>
            </w:r>
          </w:p>
        </w:tc>
        <w:tc>
          <w:tcPr>
            <w:tcW w:w="1503" w:type="dxa"/>
            <w:vAlign w:val="center"/>
          </w:tcPr>
          <w:p w:rsidR="00247969" w:rsidRDefault="00B60399">
            <w:pPr>
              <w:jc w:val="right"/>
            </w:pPr>
            <w:r>
              <w:rPr>
                <w:rFonts w:eastAsiaTheme="minorEastAsia"/>
                <w:color w:val="000000" w:themeColor="text1"/>
                <w:szCs w:val="21"/>
              </w:rPr>
              <w:t>3.87</w:t>
            </w:r>
          </w:p>
        </w:tc>
      </w:tr>
      <w:tr w:rsidR="00247969">
        <w:tc>
          <w:tcPr>
            <w:tcW w:w="1504" w:type="dxa"/>
            <w:vAlign w:val="center"/>
          </w:tcPr>
          <w:p w:rsidR="00247969" w:rsidRDefault="00B60399">
            <w:pPr>
              <w:jc w:val="center"/>
            </w:pPr>
            <w:r>
              <w:rPr>
                <w:rFonts w:eastAsiaTheme="minorEastAsia"/>
                <w:color w:val="000000" w:themeColor="text1"/>
                <w:szCs w:val="21"/>
              </w:rPr>
              <w:t>2</w:t>
            </w:r>
          </w:p>
        </w:tc>
        <w:tc>
          <w:tcPr>
            <w:tcW w:w="1504" w:type="dxa"/>
            <w:vAlign w:val="center"/>
          </w:tcPr>
          <w:p w:rsidR="00247969" w:rsidRDefault="00B60399">
            <w:pPr>
              <w:jc w:val="center"/>
            </w:pPr>
            <w:r>
              <w:rPr>
                <w:rFonts w:eastAsiaTheme="minorEastAsia"/>
                <w:color w:val="000000" w:themeColor="text1"/>
                <w:szCs w:val="21"/>
              </w:rPr>
              <w:t>019658</w:t>
            </w:r>
          </w:p>
        </w:tc>
        <w:tc>
          <w:tcPr>
            <w:tcW w:w="1504" w:type="dxa"/>
            <w:vAlign w:val="center"/>
          </w:tcPr>
          <w:p w:rsidR="00247969" w:rsidRDefault="00B60399">
            <w:pPr>
              <w:jc w:val="center"/>
            </w:pPr>
            <w:r>
              <w:rPr>
                <w:rFonts w:eastAsiaTheme="minorEastAsia"/>
                <w:color w:val="000000" w:themeColor="text1"/>
                <w:szCs w:val="21"/>
              </w:rPr>
              <w:t>21</w:t>
            </w:r>
            <w:r>
              <w:rPr>
                <w:rFonts w:eastAsiaTheme="minorEastAsia"/>
                <w:color w:val="000000" w:themeColor="text1"/>
                <w:szCs w:val="21"/>
              </w:rPr>
              <w:t>国债</w:t>
            </w:r>
            <w:r>
              <w:rPr>
                <w:rFonts w:eastAsiaTheme="minorEastAsia"/>
                <w:color w:val="000000" w:themeColor="text1"/>
                <w:szCs w:val="21"/>
              </w:rPr>
              <w:t>10</w:t>
            </w:r>
          </w:p>
        </w:tc>
        <w:tc>
          <w:tcPr>
            <w:tcW w:w="1503" w:type="dxa"/>
            <w:vAlign w:val="center"/>
          </w:tcPr>
          <w:p w:rsidR="00247969" w:rsidRDefault="00B60399">
            <w:pPr>
              <w:jc w:val="right"/>
            </w:pPr>
            <w:r>
              <w:rPr>
                <w:rFonts w:eastAsiaTheme="minorEastAsia"/>
                <w:color w:val="000000" w:themeColor="text1"/>
                <w:szCs w:val="21"/>
              </w:rPr>
              <w:t>400,000</w:t>
            </w:r>
          </w:p>
        </w:tc>
        <w:tc>
          <w:tcPr>
            <w:tcW w:w="1503" w:type="dxa"/>
            <w:vAlign w:val="center"/>
          </w:tcPr>
          <w:p w:rsidR="00247969" w:rsidRDefault="00B60399">
            <w:pPr>
              <w:jc w:val="right"/>
            </w:pPr>
            <w:r>
              <w:rPr>
                <w:rFonts w:eastAsiaTheme="minorEastAsia"/>
                <w:color w:val="000000" w:themeColor="text1"/>
                <w:szCs w:val="21"/>
              </w:rPr>
              <w:t>39,912,000.00</w:t>
            </w:r>
          </w:p>
        </w:tc>
        <w:tc>
          <w:tcPr>
            <w:tcW w:w="1503" w:type="dxa"/>
            <w:vAlign w:val="center"/>
          </w:tcPr>
          <w:p w:rsidR="00247969" w:rsidRDefault="00B60399">
            <w:pPr>
              <w:jc w:val="right"/>
            </w:pPr>
            <w:r>
              <w:rPr>
                <w:rFonts w:eastAsiaTheme="minorEastAsia"/>
                <w:color w:val="000000" w:themeColor="text1"/>
                <w:szCs w:val="21"/>
              </w:rPr>
              <w:t>3.83</w:t>
            </w:r>
          </w:p>
        </w:tc>
      </w:tr>
      <w:tr w:rsidR="00247969">
        <w:tc>
          <w:tcPr>
            <w:tcW w:w="1504" w:type="dxa"/>
            <w:vAlign w:val="center"/>
          </w:tcPr>
          <w:p w:rsidR="00247969" w:rsidRDefault="00B60399">
            <w:pPr>
              <w:jc w:val="center"/>
            </w:pPr>
            <w:r>
              <w:rPr>
                <w:rFonts w:eastAsiaTheme="minorEastAsia"/>
                <w:color w:val="000000" w:themeColor="text1"/>
                <w:szCs w:val="21"/>
              </w:rPr>
              <w:t>3</w:t>
            </w:r>
          </w:p>
        </w:tc>
        <w:tc>
          <w:tcPr>
            <w:tcW w:w="1504" w:type="dxa"/>
            <w:vAlign w:val="center"/>
          </w:tcPr>
          <w:p w:rsidR="00247969" w:rsidRDefault="00B60399">
            <w:pPr>
              <w:jc w:val="center"/>
            </w:pPr>
            <w:r>
              <w:rPr>
                <w:rFonts w:eastAsiaTheme="minorEastAsia"/>
                <w:color w:val="000000" w:themeColor="text1"/>
                <w:szCs w:val="21"/>
              </w:rPr>
              <w:t>101801455</w:t>
            </w:r>
          </w:p>
        </w:tc>
        <w:tc>
          <w:tcPr>
            <w:tcW w:w="1504" w:type="dxa"/>
            <w:vAlign w:val="center"/>
          </w:tcPr>
          <w:p w:rsidR="00247969" w:rsidRDefault="00B60399">
            <w:pPr>
              <w:jc w:val="center"/>
            </w:pPr>
            <w:r>
              <w:rPr>
                <w:rFonts w:eastAsiaTheme="minorEastAsia"/>
                <w:color w:val="000000" w:themeColor="text1"/>
                <w:szCs w:val="21"/>
              </w:rPr>
              <w:t>18</w:t>
            </w:r>
            <w:r>
              <w:rPr>
                <w:rFonts w:eastAsiaTheme="minorEastAsia"/>
                <w:color w:val="000000" w:themeColor="text1"/>
                <w:szCs w:val="21"/>
              </w:rPr>
              <w:t>中铝集</w:t>
            </w:r>
            <w:r>
              <w:rPr>
                <w:rFonts w:eastAsiaTheme="minorEastAsia"/>
                <w:color w:val="000000" w:themeColor="text1"/>
                <w:szCs w:val="21"/>
              </w:rPr>
              <w:t>MTN005</w:t>
            </w:r>
          </w:p>
        </w:tc>
        <w:tc>
          <w:tcPr>
            <w:tcW w:w="1503" w:type="dxa"/>
            <w:vAlign w:val="center"/>
          </w:tcPr>
          <w:p w:rsidR="00247969" w:rsidRDefault="00B60399">
            <w:pPr>
              <w:jc w:val="right"/>
            </w:pPr>
            <w:r>
              <w:rPr>
                <w:rFonts w:eastAsiaTheme="minorEastAsia"/>
                <w:color w:val="000000" w:themeColor="text1"/>
                <w:szCs w:val="21"/>
              </w:rPr>
              <w:t>300,000</w:t>
            </w:r>
          </w:p>
        </w:tc>
        <w:tc>
          <w:tcPr>
            <w:tcW w:w="1503" w:type="dxa"/>
            <w:vAlign w:val="center"/>
          </w:tcPr>
          <w:p w:rsidR="00247969" w:rsidRDefault="00B60399">
            <w:pPr>
              <w:jc w:val="right"/>
            </w:pPr>
            <w:r>
              <w:rPr>
                <w:rFonts w:eastAsiaTheme="minorEastAsia"/>
                <w:color w:val="000000" w:themeColor="text1"/>
                <w:szCs w:val="21"/>
              </w:rPr>
              <w:t>30,282,000.00</w:t>
            </w:r>
          </w:p>
        </w:tc>
        <w:tc>
          <w:tcPr>
            <w:tcW w:w="1503" w:type="dxa"/>
            <w:vAlign w:val="center"/>
          </w:tcPr>
          <w:p w:rsidR="00247969" w:rsidRDefault="00B60399">
            <w:pPr>
              <w:jc w:val="right"/>
            </w:pPr>
            <w:r>
              <w:rPr>
                <w:rFonts w:eastAsiaTheme="minorEastAsia"/>
                <w:color w:val="000000" w:themeColor="text1"/>
                <w:szCs w:val="21"/>
              </w:rPr>
              <w:t>2.91</w:t>
            </w:r>
          </w:p>
        </w:tc>
      </w:tr>
      <w:tr w:rsidR="00247969">
        <w:tc>
          <w:tcPr>
            <w:tcW w:w="1504" w:type="dxa"/>
            <w:vAlign w:val="center"/>
          </w:tcPr>
          <w:p w:rsidR="00247969" w:rsidRDefault="00B60399">
            <w:pPr>
              <w:jc w:val="center"/>
            </w:pPr>
            <w:r>
              <w:rPr>
                <w:rFonts w:eastAsiaTheme="minorEastAsia"/>
                <w:color w:val="000000" w:themeColor="text1"/>
                <w:szCs w:val="21"/>
              </w:rPr>
              <w:t>4</w:t>
            </w:r>
          </w:p>
        </w:tc>
        <w:tc>
          <w:tcPr>
            <w:tcW w:w="1504" w:type="dxa"/>
            <w:vAlign w:val="center"/>
          </w:tcPr>
          <w:p w:rsidR="00247969" w:rsidRDefault="00B60399">
            <w:pPr>
              <w:jc w:val="center"/>
            </w:pPr>
            <w:r>
              <w:rPr>
                <w:rFonts w:eastAsiaTheme="minorEastAsia"/>
                <w:color w:val="000000" w:themeColor="text1"/>
                <w:szCs w:val="21"/>
              </w:rPr>
              <w:t>101900023</w:t>
            </w:r>
          </w:p>
        </w:tc>
        <w:tc>
          <w:tcPr>
            <w:tcW w:w="1504" w:type="dxa"/>
            <w:vAlign w:val="center"/>
          </w:tcPr>
          <w:p w:rsidR="00247969" w:rsidRDefault="00B60399">
            <w:pPr>
              <w:jc w:val="center"/>
            </w:pPr>
            <w:r>
              <w:rPr>
                <w:rFonts w:eastAsiaTheme="minorEastAsia"/>
                <w:color w:val="000000" w:themeColor="text1"/>
                <w:szCs w:val="21"/>
              </w:rPr>
              <w:t>19</w:t>
            </w:r>
            <w:r>
              <w:rPr>
                <w:rFonts w:eastAsiaTheme="minorEastAsia"/>
                <w:color w:val="000000" w:themeColor="text1"/>
                <w:szCs w:val="21"/>
              </w:rPr>
              <w:t>河钢集</w:t>
            </w:r>
            <w:r>
              <w:rPr>
                <w:rFonts w:eastAsiaTheme="minorEastAsia"/>
                <w:color w:val="000000" w:themeColor="text1"/>
                <w:szCs w:val="21"/>
              </w:rPr>
              <w:t>MTN001</w:t>
            </w:r>
          </w:p>
        </w:tc>
        <w:tc>
          <w:tcPr>
            <w:tcW w:w="1503" w:type="dxa"/>
            <w:vAlign w:val="center"/>
          </w:tcPr>
          <w:p w:rsidR="00247969" w:rsidRDefault="00B60399">
            <w:pPr>
              <w:jc w:val="right"/>
            </w:pPr>
            <w:r>
              <w:rPr>
                <w:rFonts w:eastAsiaTheme="minorEastAsia"/>
                <w:color w:val="000000" w:themeColor="text1"/>
                <w:szCs w:val="21"/>
              </w:rPr>
              <w:t>300,000</w:t>
            </w:r>
          </w:p>
        </w:tc>
        <w:tc>
          <w:tcPr>
            <w:tcW w:w="1503" w:type="dxa"/>
            <w:vAlign w:val="center"/>
          </w:tcPr>
          <w:p w:rsidR="00247969" w:rsidRDefault="00B60399">
            <w:pPr>
              <w:jc w:val="right"/>
            </w:pPr>
            <w:r>
              <w:rPr>
                <w:rFonts w:eastAsiaTheme="minorEastAsia"/>
                <w:color w:val="000000" w:themeColor="text1"/>
                <w:szCs w:val="21"/>
              </w:rPr>
              <w:t>30,243,000.00</w:t>
            </w:r>
          </w:p>
        </w:tc>
        <w:tc>
          <w:tcPr>
            <w:tcW w:w="1503" w:type="dxa"/>
            <w:vAlign w:val="center"/>
          </w:tcPr>
          <w:p w:rsidR="00247969" w:rsidRDefault="00B60399">
            <w:pPr>
              <w:jc w:val="right"/>
            </w:pPr>
            <w:r>
              <w:rPr>
                <w:rFonts w:eastAsiaTheme="minorEastAsia"/>
                <w:color w:val="000000" w:themeColor="text1"/>
                <w:szCs w:val="21"/>
              </w:rPr>
              <w:t>2.90</w:t>
            </w:r>
          </w:p>
        </w:tc>
      </w:tr>
      <w:tr w:rsidR="00247969">
        <w:tc>
          <w:tcPr>
            <w:tcW w:w="1504" w:type="dxa"/>
            <w:vAlign w:val="center"/>
          </w:tcPr>
          <w:p w:rsidR="00247969" w:rsidRDefault="00B60399">
            <w:pPr>
              <w:jc w:val="center"/>
            </w:pPr>
            <w:r>
              <w:rPr>
                <w:rFonts w:eastAsiaTheme="minorEastAsia"/>
                <w:color w:val="000000" w:themeColor="text1"/>
                <w:szCs w:val="21"/>
              </w:rPr>
              <w:t>5</w:t>
            </w:r>
          </w:p>
        </w:tc>
        <w:tc>
          <w:tcPr>
            <w:tcW w:w="1504" w:type="dxa"/>
            <w:vAlign w:val="center"/>
          </w:tcPr>
          <w:p w:rsidR="00247969" w:rsidRDefault="00B60399">
            <w:pPr>
              <w:jc w:val="center"/>
            </w:pPr>
            <w:r>
              <w:rPr>
                <w:rFonts w:eastAsiaTheme="minorEastAsia"/>
                <w:color w:val="000000" w:themeColor="text1"/>
                <w:szCs w:val="21"/>
              </w:rPr>
              <w:t>101900071</w:t>
            </w:r>
          </w:p>
        </w:tc>
        <w:tc>
          <w:tcPr>
            <w:tcW w:w="1504" w:type="dxa"/>
            <w:vAlign w:val="center"/>
          </w:tcPr>
          <w:p w:rsidR="00247969" w:rsidRDefault="00B60399">
            <w:pPr>
              <w:jc w:val="center"/>
            </w:pPr>
            <w:r>
              <w:rPr>
                <w:rFonts w:eastAsiaTheme="minorEastAsia"/>
                <w:color w:val="000000" w:themeColor="text1"/>
                <w:szCs w:val="21"/>
              </w:rPr>
              <w:t>19</w:t>
            </w:r>
            <w:r>
              <w:rPr>
                <w:rFonts w:eastAsiaTheme="minorEastAsia"/>
                <w:color w:val="000000" w:themeColor="text1"/>
                <w:szCs w:val="21"/>
              </w:rPr>
              <w:t>保利发展</w:t>
            </w:r>
            <w:r>
              <w:rPr>
                <w:rFonts w:eastAsiaTheme="minorEastAsia"/>
                <w:color w:val="000000" w:themeColor="text1"/>
                <w:szCs w:val="21"/>
              </w:rPr>
              <w:t>MTN001</w:t>
            </w:r>
          </w:p>
        </w:tc>
        <w:tc>
          <w:tcPr>
            <w:tcW w:w="1503" w:type="dxa"/>
            <w:vAlign w:val="center"/>
          </w:tcPr>
          <w:p w:rsidR="00247969" w:rsidRDefault="00B60399">
            <w:pPr>
              <w:jc w:val="right"/>
            </w:pPr>
            <w:r>
              <w:rPr>
                <w:rFonts w:eastAsiaTheme="minorEastAsia"/>
                <w:color w:val="000000" w:themeColor="text1"/>
                <w:szCs w:val="21"/>
              </w:rPr>
              <w:t>300,000</w:t>
            </w:r>
          </w:p>
        </w:tc>
        <w:tc>
          <w:tcPr>
            <w:tcW w:w="1503" w:type="dxa"/>
            <w:vAlign w:val="center"/>
          </w:tcPr>
          <w:p w:rsidR="00247969" w:rsidRDefault="00B60399">
            <w:pPr>
              <w:jc w:val="right"/>
            </w:pPr>
            <w:r>
              <w:rPr>
                <w:rFonts w:eastAsiaTheme="minorEastAsia"/>
                <w:color w:val="000000" w:themeColor="text1"/>
                <w:szCs w:val="21"/>
              </w:rPr>
              <w:t>30,237,000.00</w:t>
            </w:r>
          </w:p>
        </w:tc>
        <w:tc>
          <w:tcPr>
            <w:tcW w:w="1503" w:type="dxa"/>
            <w:vAlign w:val="center"/>
          </w:tcPr>
          <w:p w:rsidR="00247969" w:rsidRDefault="00B60399">
            <w:pPr>
              <w:jc w:val="right"/>
            </w:pPr>
            <w:r>
              <w:rPr>
                <w:rFonts w:eastAsiaTheme="minorEastAsia"/>
                <w:color w:val="000000" w:themeColor="text1"/>
                <w:szCs w:val="21"/>
              </w:rPr>
              <w:t>2.90</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5.6</w:t>
      </w:r>
      <w:r w:rsidRPr="00B27A29">
        <w:rPr>
          <w:rFonts w:eastAsiaTheme="minorEastAsia"/>
          <w:b/>
          <w:color w:val="000000" w:themeColor="text1"/>
          <w:kern w:val="0"/>
          <w:szCs w:val="21"/>
        </w:rPr>
        <w:t xml:space="preserve">　报告期末按公允价值占基金资产净值比例大小排序的前十名资产支持证券投资明细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本基金本报告期末未持有资产支持证券。</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 xml:space="preserve">5.7 </w:t>
      </w:r>
      <w:r w:rsidRPr="00B27A29">
        <w:rPr>
          <w:rFonts w:eastAsiaTheme="minorEastAsia"/>
          <w:b/>
          <w:bCs/>
          <w:color w:val="000000" w:themeColor="text1"/>
          <w:kern w:val="0"/>
          <w:szCs w:val="21"/>
        </w:rPr>
        <w:t>报告期末按公允价值占基金资产净值比例大小排序的前五名贵金属投资明细</w:t>
      </w:r>
    </w:p>
    <w:p w:rsidR="005E6DF3" w:rsidRPr="00B27A29" w:rsidRDefault="005C671B">
      <w:pPr>
        <w:widowControl/>
        <w:spacing w:line="360" w:lineRule="auto"/>
        <w:ind w:firstLineChars="200" w:firstLine="420"/>
        <w:jc w:val="left"/>
        <w:rPr>
          <w:color w:val="000000" w:themeColor="text1"/>
          <w:szCs w:val="21"/>
        </w:rPr>
      </w:pPr>
      <w:r w:rsidRPr="00B27A29">
        <w:rPr>
          <w:color w:val="000000" w:themeColor="text1"/>
          <w:szCs w:val="21"/>
        </w:rPr>
        <w:t>本基金本报告期末未持有贵金属。</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5.8</w:t>
      </w:r>
      <w:r w:rsidRPr="00B27A29">
        <w:rPr>
          <w:rFonts w:eastAsiaTheme="minorEastAsia"/>
          <w:b/>
          <w:color w:val="000000" w:themeColor="text1"/>
          <w:kern w:val="0"/>
          <w:szCs w:val="21"/>
        </w:rPr>
        <w:t>报告期末按公允价值占基金资产净值比例大小排序的前五名权证投资明细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本基金本报告期末未持有权证。</w:t>
      </w:r>
    </w:p>
    <w:p w:rsidR="005E6DF3" w:rsidRPr="00B27A29" w:rsidRDefault="005C671B">
      <w:pPr>
        <w:adjustRightInd w:val="0"/>
        <w:snapToGrid w:val="0"/>
        <w:spacing w:beforeLines="100" w:before="312" w:line="360" w:lineRule="auto"/>
        <w:rPr>
          <w:rFonts w:eastAsiaTheme="minorEastAsia"/>
          <w:b/>
          <w:color w:val="000000" w:themeColor="text1"/>
          <w:szCs w:val="21"/>
        </w:rPr>
      </w:pPr>
      <w:r w:rsidRPr="00B27A29">
        <w:rPr>
          <w:rFonts w:eastAsiaTheme="minorEastAsia"/>
          <w:b/>
          <w:color w:val="000000" w:themeColor="text1"/>
          <w:szCs w:val="21"/>
        </w:rPr>
        <w:t xml:space="preserve">5.9 </w:t>
      </w:r>
      <w:r w:rsidRPr="00B27A29">
        <w:rPr>
          <w:rFonts w:eastAsiaTheme="minorEastAsia"/>
          <w:b/>
          <w:color w:val="000000" w:themeColor="text1"/>
          <w:szCs w:val="21"/>
        </w:rPr>
        <w:t>报告期末本基金投资的股指期货交易情况说明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本基金本报告期末未持有股指期货。</w:t>
      </w:r>
    </w:p>
    <w:p w:rsidR="005E6DF3" w:rsidRPr="00B27A29" w:rsidRDefault="005C671B">
      <w:pPr>
        <w:adjustRightInd w:val="0"/>
        <w:snapToGrid w:val="0"/>
        <w:spacing w:beforeLines="100" w:before="312" w:line="360" w:lineRule="auto"/>
        <w:rPr>
          <w:rFonts w:eastAsiaTheme="minorEastAsia"/>
          <w:b/>
          <w:color w:val="000000" w:themeColor="text1"/>
          <w:szCs w:val="21"/>
        </w:rPr>
      </w:pPr>
      <w:r w:rsidRPr="00B27A29">
        <w:rPr>
          <w:rFonts w:eastAsiaTheme="minorEastAsia"/>
          <w:b/>
          <w:color w:val="000000" w:themeColor="text1"/>
          <w:szCs w:val="21"/>
        </w:rPr>
        <w:t>5.10</w:t>
      </w:r>
      <w:r w:rsidRPr="00B27A29">
        <w:rPr>
          <w:rFonts w:eastAsiaTheme="minorEastAsia"/>
          <w:b/>
          <w:color w:val="000000" w:themeColor="text1"/>
          <w:szCs w:val="21"/>
        </w:rPr>
        <w:t>报告期末本基金投资的国债期货交易情况说明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本基金本报告期末未持有国债期货。</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5.11</w:t>
      </w:r>
      <w:r w:rsidRPr="00B27A29">
        <w:rPr>
          <w:rFonts w:eastAsiaTheme="minorEastAsia"/>
          <w:b/>
          <w:color w:val="000000" w:themeColor="text1"/>
          <w:kern w:val="0"/>
          <w:szCs w:val="21"/>
        </w:rPr>
        <w:t>投资组合报告附注</w:t>
      </w:r>
    </w:p>
    <w:p w:rsidR="005E6DF3" w:rsidRPr="00B27A29" w:rsidRDefault="005C671B">
      <w:pPr>
        <w:widowControl/>
        <w:spacing w:line="360" w:lineRule="auto"/>
        <w:rPr>
          <w:rFonts w:eastAsiaTheme="minorEastAsia"/>
          <w:color w:val="000000" w:themeColor="text1"/>
          <w:szCs w:val="21"/>
        </w:rPr>
      </w:pPr>
      <w:r w:rsidRPr="00B27A29">
        <w:rPr>
          <w:rFonts w:eastAsiaTheme="minorEastAsia"/>
          <w:color w:val="000000" w:themeColor="text1"/>
          <w:szCs w:val="21"/>
        </w:rPr>
        <w:t>5.11.1</w:t>
      </w:r>
      <w:r w:rsidRPr="00B27A29">
        <w:rPr>
          <w:rFonts w:eastAsiaTheme="minorEastAsia"/>
          <w:color w:val="000000" w:themeColor="text1"/>
          <w:szCs w:val="21"/>
        </w:rPr>
        <w:t>报告期内本基金投资的前十名证券的发行主体本期没有出现被监管部门立案调查，或在报告编制日前一年内受到公开谴责、处罚的情形。</w:t>
      </w:r>
    </w:p>
    <w:p w:rsidR="005E6DF3" w:rsidRPr="00B27A29" w:rsidRDefault="005C671B">
      <w:pPr>
        <w:widowControl/>
        <w:spacing w:line="360" w:lineRule="auto"/>
        <w:rPr>
          <w:rFonts w:eastAsiaTheme="minorEastAsia"/>
          <w:color w:val="000000" w:themeColor="text1"/>
          <w:szCs w:val="21"/>
        </w:rPr>
      </w:pPr>
      <w:r w:rsidRPr="00B27A29">
        <w:rPr>
          <w:rFonts w:eastAsiaTheme="minorEastAsia"/>
          <w:color w:val="000000" w:themeColor="text1"/>
          <w:szCs w:val="21"/>
        </w:rPr>
        <w:lastRenderedPageBreak/>
        <w:t>5.11.2</w:t>
      </w:r>
      <w:r w:rsidRPr="00B27A29">
        <w:rPr>
          <w:rFonts w:eastAsiaTheme="minorEastAsia"/>
          <w:color w:val="000000" w:themeColor="text1"/>
          <w:szCs w:val="21"/>
        </w:rPr>
        <w:t>报告期内本基金投资的前十名股票中没有在基金合同规定备选股票库之外的股票。</w:t>
      </w:r>
    </w:p>
    <w:p w:rsidR="005E6DF3" w:rsidRPr="00B27A29" w:rsidRDefault="005C671B">
      <w:pPr>
        <w:autoSpaceDE w:val="0"/>
        <w:autoSpaceDN w:val="0"/>
        <w:adjustRightInd w:val="0"/>
        <w:spacing w:line="360" w:lineRule="auto"/>
        <w:rPr>
          <w:rFonts w:eastAsiaTheme="minorEastAsia"/>
          <w:b/>
          <w:color w:val="000000" w:themeColor="text1"/>
          <w:kern w:val="0"/>
          <w:szCs w:val="21"/>
        </w:rPr>
      </w:pPr>
      <w:r w:rsidRPr="00B27A29">
        <w:rPr>
          <w:rFonts w:eastAsiaTheme="minorEastAsia"/>
          <w:b/>
          <w:color w:val="000000" w:themeColor="text1"/>
          <w:kern w:val="0"/>
          <w:szCs w:val="21"/>
        </w:rPr>
        <w:t>5.11.3</w:t>
      </w:r>
      <w:r w:rsidRPr="00B27A29">
        <w:rPr>
          <w:rFonts w:eastAsiaTheme="minorEastAsia"/>
          <w:b/>
          <w:color w:val="000000" w:themeColor="text1"/>
          <w:kern w:val="0"/>
          <w:szCs w:val="21"/>
        </w:rPr>
        <w:t>其他资产构成</w:t>
      </w:r>
    </w:p>
    <w:tbl>
      <w:tblPr>
        <w:tblStyle w:val="afa"/>
        <w:tblW w:w="8679" w:type="dxa"/>
        <w:tblInd w:w="108" w:type="dxa"/>
        <w:tblLayout w:type="fixed"/>
        <w:tblLook w:val="04A0" w:firstRow="1" w:lastRow="0" w:firstColumn="1" w:lastColumn="0" w:noHBand="0" w:noVBand="1"/>
      </w:tblPr>
      <w:tblGrid>
        <w:gridCol w:w="1110"/>
        <w:gridCol w:w="2761"/>
        <w:gridCol w:w="4808"/>
      </w:tblGrid>
      <w:tr w:rsidR="005E6DF3" w:rsidRPr="00B27A29">
        <w:tc>
          <w:tcPr>
            <w:tcW w:w="1110"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序号</w:t>
            </w:r>
          </w:p>
        </w:tc>
        <w:tc>
          <w:tcPr>
            <w:tcW w:w="2761"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名称</w:t>
            </w:r>
          </w:p>
        </w:tc>
        <w:tc>
          <w:tcPr>
            <w:tcW w:w="4808"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金额</w:t>
            </w:r>
            <w:r w:rsidRPr="00B27A29">
              <w:rPr>
                <w:rFonts w:eastAsiaTheme="minorEastAsia"/>
                <w:color w:val="000000" w:themeColor="text1"/>
                <w:kern w:val="0"/>
                <w:szCs w:val="21"/>
              </w:rPr>
              <w:t>(</w:t>
            </w:r>
            <w:r w:rsidRPr="00B27A29">
              <w:rPr>
                <w:rFonts w:eastAsiaTheme="minorEastAsia"/>
                <w:color w:val="000000" w:themeColor="text1"/>
                <w:kern w:val="0"/>
                <w:szCs w:val="21"/>
              </w:rPr>
              <w:t>元</w:t>
            </w: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kern w:val="0"/>
                <w:szCs w:val="21"/>
              </w:rPr>
            </w:pPr>
            <w:r w:rsidRPr="00B27A29">
              <w:rPr>
                <w:rFonts w:eastAsiaTheme="minorEastAsia"/>
                <w:color w:val="000000" w:themeColor="text1"/>
                <w:szCs w:val="21"/>
              </w:rPr>
              <w:t>1</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存出保证金</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211,039.47</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2</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应收证券清算款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3</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应收股利</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4</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应收利息</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5,275,630.14</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5</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应收申购款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304,458.11</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6</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其他应收款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7</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szCs w:val="21"/>
              </w:rPr>
            </w:pPr>
            <w:r w:rsidRPr="00B27A29">
              <w:rPr>
                <w:rFonts w:eastAsiaTheme="minorEastAsia"/>
                <w:color w:val="000000" w:themeColor="text1"/>
                <w:szCs w:val="21"/>
              </w:rPr>
              <w:t>待摊费用</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8</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其他</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9</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合计</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5,791,127.72</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5.11.4</w:t>
      </w:r>
      <w:r w:rsidRPr="00B27A29">
        <w:rPr>
          <w:rFonts w:eastAsiaTheme="minorEastAsia"/>
          <w:b/>
          <w:color w:val="000000" w:themeColor="text1"/>
          <w:kern w:val="0"/>
          <w:szCs w:val="21"/>
        </w:rPr>
        <w:t>报告期末持有的处于转股期的可转换债券明细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本基金本报告期末未持有处于转股期的可转换债券。</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szCs w:val="21"/>
        </w:rPr>
      </w:pPr>
      <w:r w:rsidRPr="00B27A29">
        <w:rPr>
          <w:rFonts w:eastAsiaTheme="minorEastAsia"/>
          <w:b/>
          <w:color w:val="000000" w:themeColor="text1"/>
          <w:kern w:val="0"/>
          <w:szCs w:val="21"/>
        </w:rPr>
        <w:t>5.11.5</w:t>
      </w:r>
      <w:r w:rsidRPr="00B27A29">
        <w:rPr>
          <w:rFonts w:eastAsiaTheme="minorEastAsia"/>
          <w:b/>
          <w:bCs/>
          <w:color w:val="000000" w:themeColor="text1"/>
          <w:szCs w:val="21"/>
        </w:rPr>
        <w:t>报告期末前十名股票中存在流通受限情况的说明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本基金本报告期末前十名股票中不存在流通受限情况。</w:t>
      </w:r>
    </w:p>
    <w:p w:rsidR="005E6DF3" w:rsidRPr="00B27A29" w:rsidRDefault="005C671B">
      <w:pPr>
        <w:spacing w:beforeLines="100" w:before="312" w:line="360" w:lineRule="auto"/>
        <w:rPr>
          <w:rFonts w:eastAsiaTheme="minorEastAsia"/>
          <w:b/>
          <w:color w:val="000000" w:themeColor="text1"/>
          <w:kern w:val="0"/>
          <w:szCs w:val="21"/>
        </w:rPr>
      </w:pPr>
      <w:r w:rsidRPr="00B27A29">
        <w:rPr>
          <w:rFonts w:eastAsiaTheme="minorEastAsia"/>
          <w:b/>
          <w:color w:val="000000" w:themeColor="text1"/>
          <w:kern w:val="0"/>
          <w:szCs w:val="21"/>
        </w:rPr>
        <w:t>5.11.6</w:t>
      </w:r>
      <w:r w:rsidRPr="00B27A29">
        <w:rPr>
          <w:rFonts w:eastAsiaTheme="minorEastAsia"/>
          <w:b/>
          <w:color w:val="000000" w:themeColor="text1"/>
          <w:kern w:val="0"/>
          <w:szCs w:val="21"/>
        </w:rPr>
        <w:t>投资组合报告附注的其他文字描述部分</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因四舍五入的原因，投资组合报告中分项之和与合计数可能存在尾差。</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§6  </w:t>
      </w:r>
      <w:r w:rsidRPr="00B27A29">
        <w:rPr>
          <w:rFonts w:eastAsiaTheme="minorEastAsia"/>
          <w:color w:val="000000" w:themeColor="text1"/>
          <w:kern w:val="0"/>
          <w:sz w:val="21"/>
          <w:szCs w:val="21"/>
        </w:rPr>
        <w:t>开放式基金份额变动</w:t>
      </w:r>
    </w:p>
    <w:p w:rsidR="005E6DF3" w:rsidRPr="00B27A29" w:rsidRDefault="005C671B">
      <w:pPr>
        <w:autoSpaceDE w:val="0"/>
        <w:autoSpaceDN w:val="0"/>
        <w:adjustRightInd w:val="0"/>
        <w:spacing w:before="29" w:line="288" w:lineRule="auto"/>
        <w:ind w:left="15" w:right="480"/>
        <w:jc w:val="right"/>
        <w:rPr>
          <w:rFonts w:eastAsiaTheme="minorEastAsia"/>
          <w:color w:val="000000" w:themeColor="text1"/>
          <w:kern w:val="0"/>
          <w:szCs w:val="21"/>
        </w:rPr>
      </w:pPr>
      <w:r w:rsidRPr="00B27A29">
        <w:rPr>
          <w:rFonts w:eastAsiaTheme="minorEastAsia"/>
          <w:color w:val="000000" w:themeColor="text1"/>
          <w:kern w:val="0"/>
          <w:szCs w:val="21"/>
        </w:rPr>
        <w:t>单位：份</w:t>
      </w:r>
    </w:p>
    <w:tbl>
      <w:tblPr>
        <w:tblW w:w="8634" w:type="dxa"/>
        <w:tblInd w:w="108" w:type="dxa"/>
        <w:tblLayout w:type="fixed"/>
        <w:tblLook w:val="04A0" w:firstRow="1" w:lastRow="0" w:firstColumn="1" w:lastColumn="0" w:noHBand="0" w:noVBand="1"/>
      </w:tblPr>
      <w:tblGrid>
        <w:gridCol w:w="3900"/>
        <w:gridCol w:w="2367"/>
        <w:gridCol w:w="2367"/>
      </w:tblGrid>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项目</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上投摩根双息平衡混合</w:t>
            </w:r>
            <w:r w:rsidRPr="00B27A29">
              <w:rPr>
                <w:rFonts w:eastAsiaTheme="minorEastAsia"/>
                <w:color w:val="000000" w:themeColor="text1"/>
                <w:szCs w:val="21"/>
              </w:rPr>
              <w:t>A</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上投摩根双息平衡混合</w:t>
            </w:r>
            <w:r w:rsidRPr="00B27A29">
              <w:rPr>
                <w:rFonts w:eastAsiaTheme="minorEastAsia"/>
                <w:color w:val="000000" w:themeColor="text1"/>
                <w:szCs w:val="21"/>
              </w:rPr>
              <w:t>H</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本报告期期初基金份额总额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1,141,748,764.89</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270,817.25</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报告期期间基金总申购份额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18,274,640.70</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934,363.86</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减：报告期期间基金总赎回份额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75,305,761.62</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340,329.39</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lastRenderedPageBreak/>
              <w:t>报告期期间基金拆分变动份额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本报告期期末基金份额总额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1,084,717,643.97</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864,851.72</w:t>
            </w:r>
          </w:p>
        </w:tc>
      </w:tr>
    </w:tbl>
    <w:p w:rsidR="005E6DF3" w:rsidRPr="00B27A29" w:rsidRDefault="005C671B">
      <w:pPr>
        <w:pStyle w:val="1"/>
        <w:tabs>
          <w:tab w:val="center" w:pos="4156"/>
          <w:tab w:val="right" w:pos="8312"/>
        </w:tabs>
        <w:spacing w:beforeLines="100" w:before="312" w:afterLines="100" w:after="312" w:line="360" w:lineRule="auto"/>
        <w:jc w:val="center"/>
        <w:rPr>
          <w:color w:val="000000" w:themeColor="text1"/>
          <w:sz w:val="21"/>
          <w:szCs w:val="21"/>
        </w:rPr>
      </w:pPr>
      <w:r w:rsidRPr="00B27A29">
        <w:rPr>
          <w:rFonts w:eastAsiaTheme="minorEastAsia"/>
          <w:color w:val="000000" w:themeColor="text1"/>
          <w:kern w:val="0"/>
          <w:sz w:val="21"/>
          <w:szCs w:val="21"/>
        </w:rPr>
        <w:t>§7</w:t>
      </w:r>
      <w:r w:rsidRPr="00B27A29">
        <w:rPr>
          <w:color w:val="000000"/>
          <w:sz w:val="21"/>
          <w:szCs w:val="21"/>
          <w:shd w:val="clear" w:color="auto" w:fill="FFFFFF"/>
        </w:rPr>
        <w:t>基金管理人运用固有资金投资本基金情况</w:t>
      </w:r>
    </w:p>
    <w:p w:rsidR="005E6DF3" w:rsidRPr="00B27A29" w:rsidRDefault="005C671B">
      <w:pPr>
        <w:spacing w:line="360" w:lineRule="auto"/>
        <w:jc w:val="left"/>
        <w:rPr>
          <w:color w:val="000000" w:themeColor="text1"/>
          <w:szCs w:val="21"/>
        </w:rPr>
      </w:pPr>
      <w:r w:rsidRPr="00B27A29">
        <w:rPr>
          <w:b/>
          <w:color w:val="000000" w:themeColor="text1"/>
          <w:szCs w:val="21"/>
        </w:rPr>
        <w:t>7.1</w:t>
      </w:r>
      <w:r w:rsidRPr="00B27A29">
        <w:rPr>
          <w:rFonts w:eastAsiaTheme="minorEastAsia"/>
          <w:b/>
          <w:bCs/>
          <w:color w:val="000000" w:themeColor="text1"/>
          <w:kern w:val="44"/>
          <w:szCs w:val="21"/>
        </w:rPr>
        <w:t>基金管理人持有本基金份额变动情况</w:t>
      </w:r>
    </w:p>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单位：份</w:t>
      </w:r>
    </w:p>
    <w:tbl>
      <w:tblPr>
        <w:tblW w:w="8363" w:type="dxa"/>
        <w:tblInd w:w="108" w:type="dxa"/>
        <w:tblLayout w:type="fixed"/>
        <w:tblLook w:val="04A0" w:firstRow="1" w:lastRow="0" w:firstColumn="1" w:lastColumn="0" w:noHBand="0" w:noVBand="1"/>
      </w:tblPr>
      <w:tblGrid>
        <w:gridCol w:w="2977"/>
        <w:gridCol w:w="2693"/>
        <w:gridCol w:w="2693"/>
      </w:tblGrid>
      <w:tr w:rsidR="005E6DF3" w:rsidRPr="00B27A29">
        <w:tc>
          <w:tcPr>
            <w:tcW w:w="297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项目</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上投摩根双息平衡混合</w:t>
            </w:r>
            <w:r w:rsidRPr="00B27A29">
              <w:rPr>
                <w:rFonts w:eastAsiaTheme="minorEastAsia"/>
                <w:color w:val="000000" w:themeColor="text1"/>
                <w:szCs w:val="21"/>
              </w:rPr>
              <w:t>A</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上投摩根双息平衡混合</w:t>
            </w:r>
            <w:r w:rsidRPr="00B27A29">
              <w:rPr>
                <w:rFonts w:eastAsiaTheme="minorEastAsia"/>
                <w:color w:val="000000" w:themeColor="text1"/>
                <w:szCs w:val="21"/>
              </w:rPr>
              <w:t>H</w:t>
            </w:r>
          </w:p>
        </w:tc>
      </w:tr>
      <w:tr w:rsidR="005E6DF3" w:rsidRPr="00B27A29">
        <w:tc>
          <w:tcPr>
            <w:tcW w:w="297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pStyle w:val="ab"/>
              <w:adjustRightInd w:val="0"/>
              <w:snapToGrid w:val="0"/>
              <w:spacing w:line="360" w:lineRule="exact"/>
              <w:rPr>
                <w:rFonts w:eastAsia="方正仿宋简体"/>
                <w:color w:val="000000" w:themeColor="text1"/>
                <w:sz w:val="21"/>
                <w:szCs w:val="21"/>
              </w:rPr>
            </w:pPr>
            <w:r w:rsidRPr="00B27A29">
              <w:rPr>
                <w:color w:val="000000" w:themeColor="text1"/>
                <w:sz w:val="21"/>
                <w:szCs w:val="21"/>
              </w:rPr>
              <w:t>报告期期初管理人持有的本基金份额</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2,677,390.51</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297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djustRightInd w:val="0"/>
              <w:snapToGrid w:val="0"/>
              <w:spacing w:line="360" w:lineRule="exact"/>
              <w:rPr>
                <w:color w:val="000000" w:themeColor="text1"/>
                <w:szCs w:val="21"/>
              </w:rPr>
            </w:pPr>
            <w:r w:rsidRPr="00B27A29">
              <w:rPr>
                <w:rFonts w:eastAsiaTheme="minorEastAsia"/>
                <w:color w:val="000000" w:themeColor="text1"/>
                <w:kern w:val="0"/>
                <w:szCs w:val="21"/>
              </w:rPr>
              <w:t>报告期期间</w:t>
            </w:r>
            <w:r w:rsidRPr="00B27A29">
              <w:rPr>
                <w:color w:val="000000" w:themeColor="text1"/>
                <w:szCs w:val="21"/>
              </w:rPr>
              <w:t>买入</w:t>
            </w:r>
            <w:r w:rsidRPr="00B27A29">
              <w:rPr>
                <w:color w:val="000000" w:themeColor="text1"/>
                <w:szCs w:val="21"/>
              </w:rPr>
              <w:t>/</w:t>
            </w:r>
            <w:r w:rsidRPr="00B27A29">
              <w:rPr>
                <w:color w:val="000000" w:themeColor="text1"/>
                <w:szCs w:val="21"/>
              </w:rPr>
              <w:t>申购总份额</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kern w:val="0"/>
                <w:szCs w:val="21"/>
              </w:rPr>
            </w:pPr>
            <w:r w:rsidRPr="00B27A29">
              <w:rPr>
                <w:rFonts w:eastAsiaTheme="minorEastAsia"/>
                <w:color w:val="000000" w:themeColor="text1"/>
                <w:szCs w:val="21"/>
              </w:rPr>
              <w:t>-</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kern w:val="0"/>
                <w:szCs w:val="21"/>
              </w:rPr>
            </w:pPr>
            <w:r w:rsidRPr="00B27A29">
              <w:rPr>
                <w:rFonts w:eastAsiaTheme="minorEastAsia"/>
                <w:color w:val="000000" w:themeColor="text1"/>
                <w:szCs w:val="21"/>
              </w:rPr>
              <w:t>-</w:t>
            </w:r>
          </w:p>
        </w:tc>
      </w:tr>
      <w:tr w:rsidR="005E6DF3" w:rsidRPr="00B27A29">
        <w:tc>
          <w:tcPr>
            <w:tcW w:w="297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djustRightInd w:val="0"/>
              <w:snapToGrid w:val="0"/>
              <w:spacing w:line="360" w:lineRule="exact"/>
              <w:rPr>
                <w:color w:val="000000" w:themeColor="text1"/>
                <w:szCs w:val="21"/>
              </w:rPr>
            </w:pPr>
            <w:r w:rsidRPr="00B27A29">
              <w:rPr>
                <w:rFonts w:eastAsiaTheme="minorEastAsia"/>
                <w:color w:val="000000" w:themeColor="text1"/>
                <w:kern w:val="0"/>
                <w:szCs w:val="21"/>
              </w:rPr>
              <w:t>报告期期间</w:t>
            </w:r>
            <w:r w:rsidRPr="00B27A29">
              <w:rPr>
                <w:color w:val="000000" w:themeColor="text1"/>
                <w:szCs w:val="21"/>
              </w:rPr>
              <w:t>卖出</w:t>
            </w:r>
            <w:r w:rsidRPr="00B27A29">
              <w:rPr>
                <w:color w:val="000000" w:themeColor="text1"/>
                <w:szCs w:val="21"/>
              </w:rPr>
              <w:t>/</w:t>
            </w:r>
            <w:r w:rsidRPr="00B27A29">
              <w:rPr>
                <w:color w:val="000000" w:themeColor="text1"/>
                <w:szCs w:val="21"/>
              </w:rPr>
              <w:t>赎回总份额</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kern w:val="0"/>
                <w:szCs w:val="21"/>
              </w:rPr>
            </w:pPr>
            <w:r w:rsidRPr="00B27A29">
              <w:rPr>
                <w:rFonts w:eastAsiaTheme="minorEastAsia"/>
                <w:color w:val="000000" w:themeColor="text1"/>
                <w:szCs w:val="21"/>
              </w:rPr>
              <w:t>-</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kern w:val="0"/>
                <w:szCs w:val="21"/>
              </w:rPr>
            </w:pPr>
            <w:r w:rsidRPr="00B27A29">
              <w:rPr>
                <w:rFonts w:eastAsiaTheme="minorEastAsia"/>
                <w:color w:val="000000" w:themeColor="text1"/>
                <w:szCs w:val="21"/>
              </w:rPr>
              <w:t>-</w:t>
            </w:r>
          </w:p>
        </w:tc>
      </w:tr>
      <w:tr w:rsidR="005E6DF3" w:rsidRPr="00B27A29">
        <w:tc>
          <w:tcPr>
            <w:tcW w:w="297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djustRightInd w:val="0"/>
              <w:snapToGrid w:val="0"/>
              <w:spacing w:line="360" w:lineRule="exact"/>
              <w:rPr>
                <w:color w:val="000000" w:themeColor="text1"/>
                <w:szCs w:val="21"/>
              </w:rPr>
            </w:pPr>
            <w:r w:rsidRPr="00B27A29">
              <w:rPr>
                <w:color w:val="000000" w:themeColor="text1"/>
                <w:szCs w:val="21"/>
              </w:rPr>
              <w:t>报告期期末管理人持有的本基金份额</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2,677,390.51</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297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djustRightInd w:val="0"/>
              <w:snapToGrid w:val="0"/>
              <w:spacing w:line="360" w:lineRule="exact"/>
              <w:rPr>
                <w:color w:val="000000" w:themeColor="text1"/>
                <w:szCs w:val="21"/>
              </w:rPr>
            </w:pPr>
            <w:r w:rsidRPr="00B27A29">
              <w:rPr>
                <w:color w:val="000000" w:themeColor="text1"/>
                <w:szCs w:val="21"/>
              </w:rPr>
              <w:t>报告期期末持有的本基金份额占基金总份额比例（</w:t>
            </w:r>
            <w:r w:rsidRPr="00B27A29">
              <w:rPr>
                <w:color w:val="000000" w:themeColor="text1"/>
                <w:szCs w:val="21"/>
              </w:rPr>
              <w:t>%</w:t>
            </w:r>
            <w:r w:rsidRPr="00B27A29">
              <w:rPr>
                <w:color w:val="000000" w:themeColor="text1"/>
                <w:szCs w:val="21"/>
              </w:rPr>
              <w:t>）</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kern w:val="0"/>
                <w:szCs w:val="21"/>
              </w:rPr>
            </w:pPr>
            <w:r w:rsidRPr="00B27A29">
              <w:rPr>
                <w:rFonts w:eastAsiaTheme="minorEastAsia"/>
                <w:color w:val="000000" w:themeColor="text1"/>
                <w:szCs w:val="21"/>
              </w:rPr>
              <w:t>0.25</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kern w:val="0"/>
                <w:szCs w:val="21"/>
              </w:rPr>
            </w:pPr>
            <w:r w:rsidRPr="00B27A29">
              <w:rPr>
                <w:rFonts w:eastAsiaTheme="minorEastAsia"/>
                <w:color w:val="000000" w:themeColor="text1"/>
                <w:szCs w:val="21"/>
              </w:rPr>
              <w:t>-</w:t>
            </w:r>
          </w:p>
        </w:tc>
      </w:tr>
    </w:tbl>
    <w:p w:rsidR="005E6DF3" w:rsidRPr="00B27A29" w:rsidRDefault="005C671B">
      <w:pPr>
        <w:spacing w:beforeLines="100" w:before="312" w:line="360" w:lineRule="auto"/>
        <w:jc w:val="left"/>
        <w:rPr>
          <w:color w:val="000000" w:themeColor="text1"/>
          <w:szCs w:val="21"/>
        </w:rPr>
      </w:pPr>
      <w:r w:rsidRPr="00B27A29">
        <w:rPr>
          <w:b/>
          <w:color w:val="000000" w:themeColor="text1"/>
          <w:szCs w:val="21"/>
        </w:rPr>
        <w:t>7.2</w:t>
      </w:r>
      <w:r w:rsidRPr="00B27A29">
        <w:rPr>
          <w:b/>
          <w:color w:val="000000"/>
          <w:szCs w:val="21"/>
          <w:shd w:val="clear" w:color="auto" w:fill="FFFFFF"/>
        </w:rPr>
        <w:t>基金管理人运用固有资金投资本基金交易明细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无。</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§8 </w:t>
      </w:r>
      <w:r w:rsidRPr="00B27A29">
        <w:rPr>
          <w:rFonts w:eastAsiaTheme="minorEastAsia"/>
          <w:color w:val="000000" w:themeColor="text1"/>
          <w:kern w:val="0"/>
          <w:sz w:val="21"/>
          <w:szCs w:val="21"/>
        </w:rPr>
        <w:t>备查文件目录</w:t>
      </w:r>
    </w:p>
    <w:p w:rsidR="005E6DF3" w:rsidRPr="00B27A29" w:rsidRDefault="005C671B">
      <w:pPr>
        <w:autoSpaceDE w:val="0"/>
        <w:autoSpaceDN w:val="0"/>
        <w:adjustRightInd w:val="0"/>
        <w:spacing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8.1</w:t>
      </w:r>
      <w:r w:rsidRPr="00B27A29">
        <w:rPr>
          <w:rFonts w:eastAsiaTheme="minorEastAsia"/>
          <w:b/>
          <w:bCs/>
          <w:color w:val="000000" w:themeColor="text1"/>
          <w:kern w:val="0"/>
          <w:szCs w:val="21"/>
        </w:rPr>
        <w:t>备查文件目录</w:t>
      </w:r>
    </w:p>
    <w:p w:rsidR="00247969" w:rsidRDefault="00B60399">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1. </w:t>
      </w:r>
      <w:r>
        <w:rPr>
          <w:rFonts w:eastAsiaTheme="minorEastAsia"/>
          <w:color w:val="000000" w:themeColor="text1"/>
          <w:szCs w:val="21"/>
        </w:rPr>
        <w:t>中国证监会批准上投摩根双息平衡混合型证券投资基金设立的文件；</w:t>
      </w:r>
      <w:r>
        <w:rPr>
          <w:rFonts w:eastAsiaTheme="minorEastAsia"/>
          <w:color w:val="000000" w:themeColor="text1"/>
          <w:szCs w:val="21"/>
        </w:rPr>
        <w:t xml:space="preserve"> </w:t>
      </w:r>
    </w:p>
    <w:p w:rsidR="00247969" w:rsidRDefault="00B60399">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2. </w:t>
      </w:r>
      <w:r>
        <w:rPr>
          <w:rFonts w:eastAsiaTheme="minorEastAsia"/>
          <w:color w:val="000000" w:themeColor="text1"/>
          <w:szCs w:val="21"/>
        </w:rPr>
        <w:t>《上投摩根双息平衡混合型证券投资基金基金合同》；</w:t>
      </w:r>
      <w:r>
        <w:rPr>
          <w:rFonts w:eastAsiaTheme="minorEastAsia"/>
          <w:color w:val="000000" w:themeColor="text1"/>
          <w:szCs w:val="21"/>
        </w:rPr>
        <w:t xml:space="preserve"> </w:t>
      </w:r>
    </w:p>
    <w:p w:rsidR="00247969" w:rsidRDefault="00B60399">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3. </w:t>
      </w:r>
      <w:r>
        <w:rPr>
          <w:rFonts w:eastAsiaTheme="minorEastAsia"/>
          <w:color w:val="000000" w:themeColor="text1"/>
          <w:szCs w:val="21"/>
        </w:rPr>
        <w:t>《上投摩根双息平衡混合型证券投资基金托管协议》；</w:t>
      </w:r>
      <w:r>
        <w:rPr>
          <w:rFonts w:eastAsiaTheme="minorEastAsia"/>
          <w:color w:val="000000" w:themeColor="text1"/>
          <w:szCs w:val="21"/>
        </w:rPr>
        <w:t xml:space="preserve"> </w:t>
      </w:r>
    </w:p>
    <w:p w:rsidR="00247969" w:rsidRDefault="00B60399">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4. </w:t>
      </w:r>
      <w:r>
        <w:rPr>
          <w:rFonts w:eastAsiaTheme="minorEastAsia"/>
          <w:color w:val="000000" w:themeColor="text1"/>
          <w:szCs w:val="21"/>
        </w:rPr>
        <w:t>《上投摩根开放式基金业务规则》；</w:t>
      </w:r>
      <w:r>
        <w:rPr>
          <w:rFonts w:eastAsiaTheme="minorEastAsia"/>
          <w:color w:val="000000" w:themeColor="text1"/>
          <w:szCs w:val="21"/>
        </w:rPr>
        <w:t xml:space="preserve"> </w:t>
      </w:r>
    </w:p>
    <w:p w:rsidR="00247969" w:rsidRDefault="00B60399">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5. </w:t>
      </w:r>
      <w:r>
        <w:rPr>
          <w:rFonts w:eastAsiaTheme="minorEastAsia"/>
          <w:color w:val="000000" w:themeColor="text1"/>
          <w:szCs w:val="21"/>
        </w:rPr>
        <w:t>基金管理人业务资格批件、营业执照；</w:t>
      </w:r>
      <w:r>
        <w:rPr>
          <w:rFonts w:eastAsiaTheme="minorEastAsia"/>
          <w:color w:val="000000" w:themeColor="text1"/>
          <w:szCs w:val="21"/>
        </w:rPr>
        <w:t xml:space="preserve"> </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 xml:space="preserve">6. </w:t>
      </w:r>
      <w:r w:rsidRPr="00B27A29">
        <w:rPr>
          <w:rFonts w:eastAsiaTheme="minorEastAsia"/>
          <w:color w:val="000000" w:themeColor="text1"/>
          <w:szCs w:val="21"/>
        </w:rPr>
        <w:t>基金托管人业务资格批件和营业执照。</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8.2</w:t>
      </w:r>
      <w:r w:rsidRPr="00B27A29">
        <w:rPr>
          <w:rFonts w:eastAsiaTheme="minorEastAsia"/>
          <w:b/>
          <w:bCs/>
          <w:color w:val="000000" w:themeColor="text1"/>
          <w:kern w:val="0"/>
          <w:szCs w:val="21"/>
        </w:rPr>
        <w:t>存放地点</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基金管理人或基金托管人处。</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lastRenderedPageBreak/>
        <w:t>8.3</w:t>
      </w:r>
      <w:r w:rsidRPr="00B27A29">
        <w:rPr>
          <w:rFonts w:eastAsiaTheme="minorEastAsia"/>
          <w:b/>
          <w:bCs/>
          <w:color w:val="000000" w:themeColor="text1"/>
          <w:kern w:val="0"/>
          <w:szCs w:val="21"/>
        </w:rPr>
        <w:t>查阅方式</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投资者可在营业时间免费查阅，也可按工本费购买复印件。</w:t>
      </w:r>
    </w:p>
    <w:p w:rsidR="005E6DF3" w:rsidRPr="00B27A29" w:rsidRDefault="005E6DF3">
      <w:pPr>
        <w:spacing w:line="360" w:lineRule="auto"/>
        <w:ind w:left="840"/>
        <w:jc w:val="right"/>
        <w:rPr>
          <w:rFonts w:eastAsiaTheme="minorEastAsia"/>
          <w:color w:val="000000" w:themeColor="text1"/>
          <w:szCs w:val="21"/>
        </w:rPr>
      </w:pPr>
    </w:p>
    <w:p w:rsidR="005E6DF3" w:rsidRPr="00B27A29" w:rsidRDefault="005E6DF3">
      <w:pPr>
        <w:spacing w:line="360" w:lineRule="auto"/>
        <w:ind w:left="840"/>
        <w:jc w:val="center"/>
        <w:rPr>
          <w:rFonts w:eastAsiaTheme="minorEastAsia"/>
          <w:b/>
          <w:color w:val="000000" w:themeColor="text1"/>
          <w:szCs w:val="21"/>
        </w:rPr>
      </w:pPr>
    </w:p>
    <w:p w:rsidR="005E6DF3" w:rsidRPr="00B27A29" w:rsidRDefault="005C671B">
      <w:pPr>
        <w:spacing w:line="360" w:lineRule="auto"/>
        <w:jc w:val="right"/>
        <w:rPr>
          <w:rFonts w:eastAsiaTheme="minorEastAsia"/>
          <w:b/>
          <w:bCs/>
          <w:color w:val="000000" w:themeColor="text1"/>
          <w:szCs w:val="21"/>
        </w:rPr>
      </w:pPr>
      <w:r w:rsidRPr="00B27A29">
        <w:rPr>
          <w:rFonts w:eastAsiaTheme="minorEastAsia"/>
          <w:b/>
          <w:bCs/>
          <w:color w:val="000000" w:themeColor="text1"/>
          <w:szCs w:val="21"/>
        </w:rPr>
        <w:t>上投摩根基金管理有限公司</w:t>
      </w:r>
    </w:p>
    <w:p w:rsidR="005E6DF3" w:rsidRPr="00B27A29" w:rsidRDefault="005C671B">
      <w:pPr>
        <w:spacing w:line="360" w:lineRule="auto"/>
        <w:jc w:val="right"/>
        <w:rPr>
          <w:rFonts w:eastAsiaTheme="minorEastAsia"/>
          <w:b/>
          <w:bCs/>
          <w:color w:val="000000" w:themeColor="text1"/>
          <w:szCs w:val="21"/>
        </w:rPr>
      </w:pPr>
      <w:r w:rsidRPr="00B27A29">
        <w:rPr>
          <w:rFonts w:eastAsiaTheme="minorEastAsia"/>
          <w:b/>
          <w:bCs/>
          <w:color w:val="000000" w:themeColor="text1"/>
          <w:szCs w:val="21"/>
        </w:rPr>
        <w:t>二〇二一年十月二十七日</w:t>
      </w:r>
    </w:p>
    <w:sectPr w:rsidR="005E6DF3" w:rsidRPr="00B27A29">
      <w:footerReference w:type="even" r:id="rId12"/>
      <w:footerReference w:type="default" r:id="rId13"/>
      <w:pgSz w:w="11906" w:h="16838"/>
      <w:pgMar w:top="1440" w:right="1286"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4E0E" w:rsidRDefault="00E54E0E">
      <w:r>
        <w:separator/>
      </w:r>
    </w:p>
  </w:endnote>
  <w:endnote w:type="continuationSeparator" w:id="0">
    <w:p w:rsidR="00E54E0E" w:rsidRDefault="00E54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方正仿宋简体">
    <w:altName w:val="微软雅黑"/>
    <w:charset w:val="86"/>
    <w:family w:val="auto"/>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B60399">
      <w:rPr>
        <w:noProof/>
        <w:kern w:val="0"/>
        <w:szCs w:val="21"/>
      </w:rPr>
      <w:t>1</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sidR="00B60399">
      <w:rPr>
        <w:noProof/>
        <w:kern w:val="0"/>
        <w:szCs w:val="21"/>
      </w:rPr>
      <w:t>16</w:t>
    </w:r>
    <w:r>
      <w:rPr>
        <w:kern w:val="0"/>
        <w:szCs w:val="21"/>
      </w:rPr>
      <w:fldChar w:fldCharType="end"/>
    </w:r>
    <w:r>
      <w:rPr>
        <w:rFonts w:hint="eastAsia"/>
        <w:kern w:val="0"/>
        <w:szCs w:val="21"/>
      </w:rPr>
      <w:t>页</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5C671B" w:rsidRDefault="005C671B">
    <w:pPr>
      <w:pStyle w:val="a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B60399">
      <w:rPr>
        <w:rStyle w:val="af6"/>
        <w:noProof/>
      </w:rPr>
      <w:t>4</w:t>
    </w:r>
    <w:r>
      <w:rPr>
        <w:rStyle w:val="af6"/>
      </w:rPr>
      <w:fldChar w:fldCharType="end"/>
    </w:r>
  </w:p>
  <w:p w:rsidR="005C671B" w:rsidRDefault="005C671B">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4E0E" w:rsidRDefault="00E54E0E">
      <w:r>
        <w:separator/>
      </w:r>
    </w:p>
  </w:footnote>
  <w:footnote w:type="continuationSeparator" w:id="0">
    <w:p w:rsidR="00E54E0E" w:rsidRDefault="00E54E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f"/>
      <w:pBdr>
        <w:bottom w:val="single" w:sz="6" w:space="0" w:color="auto"/>
      </w:pBdr>
      <w:jc w:val="right"/>
    </w:pPr>
    <w:r>
      <w:t>上投摩根双息平衡混合型证券投资基金</w:t>
    </w:r>
    <w:r>
      <w:t>2021</w:t>
    </w:r>
    <w:r>
      <w:t>年第</w:t>
    </w:r>
    <w:r>
      <w:t>3</w:t>
    </w:r>
    <w:r>
      <w:t>季度报告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PostScriptOverText/>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02187"/>
    <w:rsid w:val="0000059C"/>
    <w:rsid w:val="000008B1"/>
    <w:rsid w:val="0000403B"/>
    <w:rsid w:val="00007441"/>
    <w:rsid w:val="00007F1F"/>
    <w:rsid w:val="00010A83"/>
    <w:rsid w:val="000137C1"/>
    <w:rsid w:val="0001579C"/>
    <w:rsid w:val="00016551"/>
    <w:rsid w:val="00020737"/>
    <w:rsid w:val="00020C27"/>
    <w:rsid w:val="00020EB3"/>
    <w:rsid w:val="000219D5"/>
    <w:rsid w:val="00022396"/>
    <w:rsid w:val="00022662"/>
    <w:rsid w:val="00023073"/>
    <w:rsid w:val="00023B97"/>
    <w:rsid w:val="00024836"/>
    <w:rsid w:val="000252D8"/>
    <w:rsid w:val="0003564A"/>
    <w:rsid w:val="00037B55"/>
    <w:rsid w:val="00037C73"/>
    <w:rsid w:val="00042065"/>
    <w:rsid w:val="00043FD2"/>
    <w:rsid w:val="00045476"/>
    <w:rsid w:val="00045558"/>
    <w:rsid w:val="00045BA9"/>
    <w:rsid w:val="00047D87"/>
    <w:rsid w:val="00047DC8"/>
    <w:rsid w:val="000510AB"/>
    <w:rsid w:val="00053FFD"/>
    <w:rsid w:val="00056D5C"/>
    <w:rsid w:val="00061B0B"/>
    <w:rsid w:val="00061E09"/>
    <w:rsid w:val="00062C69"/>
    <w:rsid w:val="00062E1F"/>
    <w:rsid w:val="00064601"/>
    <w:rsid w:val="00064AE3"/>
    <w:rsid w:val="0006750A"/>
    <w:rsid w:val="000739C3"/>
    <w:rsid w:val="000776C0"/>
    <w:rsid w:val="00077849"/>
    <w:rsid w:val="000803AD"/>
    <w:rsid w:val="000813D6"/>
    <w:rsid w:val="00081D05"/>
    <w:rsid w:val="000827CC"/>
    <w:rsid w:val="000871DB"/>
    <w:rsid w:val="00087C69"/>
    <w:rsid w:val="00090834"/>
    <w:rsid w:val="000922C5"/>
    <w:rsid w:val="0009314F"/>
    <w:rsid w:val="00093A23"/>
    <w:rsid w:val="000A08FC"/>
    <w:rsid w:val="000A15F1"/>
    <w:rsid w:val="000A1617"/>
    <w:rsid w:val="000A40A5"/>
    <w:rsid w:val="000A457E"/>
    <w:rsid w:val="000A549A"/>
    <w:rsid w:val="000A5A81"/>
    <w:rsid w:val="000A72F2"/>
    <w:rsid w:val="000A7BFD"/>
    <w:rsid w:val="000B000E"/>
    <w:rsid w:val="000B1CB9"/>
    <w:rsid w:val="000B24AF"/>
    <w:rsid w:val="000B251E"/>
    <w:rsid w:val="000B3E43"/>
    <w:rsid w:val="000B4E99"/>
    <w:rsid w:val="000B648A"/>
    <w:rsid w:val="000C45E7"/>
    <w:rsid w:val="000C5956"/>
    <w:rsid w:val="000C757F"/>
    <w:rsid w:val="000C7DD4"/>
    <w:rsid w:val="000D0474"/>
    <w:rsid w:val="000D1164"/>
    <w:rsid w:val="000D1BBE"/>
    <w:rsid w:val="000D3773"/>
    <w:rsid w:val="000D4DE9"/>
    <w:rsid w:val="000D6660"/>
    <w:rsid w:val="000D6BA0"/>
    <w:rsid w:val="000D7ECA"/>
    <w:rsid w:val="000E0D84"/>
    <w:rsid w:val="000E2F81"/>
    <w:rsid w:val="000E3726"/>
    <w:rsid w:val="000E39DB"/>
    <w:rsid w:val="000F0558"/>
    <w:rsid w:val="000F0AC3"/>
    <w:rsid w:val="000F125F"/>
    <w:rsid w:val="000F175F"/>
    <w:rsid w:val="000F17D1"/>
    <w:rsid w:val="000F1CC9"/>
    <w:rsid w:val="000F5ABD"/>
    <w:rsid w:val="000F60FF"/>
    <w:rsid w:val="000F6F7C"/>
    <w:rsid w:val="001005BB"/>
    <w:rsid w:val="00103B0E"/>
    <w:rsid w:val="001040EA"/>
    <w:rsid w:val="0011283B"/>
    <w:rsid w:val="00112BCF"/>
    <w:rsid w:val="00114E7E"/>
    <w:rsid w:val="00117465"/>
    <w:rsid w:val="00117F22"/>
    <w:rsid w:val="00120280"/>
    <w:rsid w:val="001207F2"/>
    <w:rsid w:val="00121533"/>
    <w:rsid w:val="0012304E"/>
    <w:rsid w:val="00123051"/>
    <w:rsid w:val="001257C7"/>
    <w:rsid w:val="00125E66"/>
    <w:rsid w:val="001263E1"/>
    <w:rsid w:val="00126AC0"/>
    <w:rsid w:val="00126C2B"/>
    <w:rsid w:val="00127A01"/>
    <w:rsid w:val="00130D77"/>
    <w:rsid w:val="00131EF6"/>
    <w:rsid w:val="0013251D"/>
    <w:rsid w:val="00134734"/>
    <w:rsid w:val="00134CBE"/>
    <w:rsid w:val="001405D3"/>
    <w:rsid w:val="00140C30"/>
    <w:rsid w:val="00142C74"/>
    <w:rsid w:val="00145E5B"/>
    <w:rsid w:val="00147319"/>
    <w:rsid w:val="00147551"/>
    <w:rsid w:val="0015012F"/>
    <w:rsid w:val="00150C2E"/>
    <w:rsid w:val="0015170D"/>
    <w:rsid w:val="001517AE"/>
    <w:rsid w:val="00154FA5"/>
    <w:rsid w:val="0015531A"/>
    <w:rsid w:val="00156F9D"/>
    <w:rsid w:val="001602E3"/>
    <w:rsid w:val="00160539"/>
    <w:rsid w:val="00161548"/>
    <w:rsid w:val="0017176A"/>
    <w:rsid w:val="00172B54"/>
    <w:rsid w:val="001763D8"/>
    <w:rsid w:val="00176874"/>
    <w:rsid w:val="0017725A"/>
    <w:rsid w:val="0018052A"/>
    <w:rsid w:val="00180952"/>
    <w:rsid w:val="0018191A"/>
    <w:rsid w:val="00184F7E"/>
    <w:rsid w:val="00185B68"/>
    <w:rsid w:val="00186199"/>
    <w:rsid w:val="001874E3"/>
    <w:rsid w:val="00193196"/>
    <w:rsid w:val="00194155"/>
    <w:rsid w:val="001A0417"/>
    <w:rsid w:val="001A0B71"/>
    <w:rsid w:val="001A1389"/>
    <w:rsid w:val="001A3016"/>
    <w:rsid w:val="001A3914"/>
    <w:rsid w:val="001A5FA6"/>
    <w:rsid w:val="001A68D9"/>
    <w:rsid w:val="001B053A"/>
    <w:rsid w:val="001B0C78"/>
    <w:rsid w:val="001B151C"/>
    <w:rsid w:val="001B1A13"/>
    <w:rsid w:val="001B1A6E"/>
    <w:rsid w:val="001B22BA"/>
    <w:rsid w:val="001C2045"/>
    <w:rsid w:val="001C5040"/>
    <w:rsid w:val="001C715A"/>
    <w:rsid w:val="001C7B5E"/>
    <w:rsid w:val="001D0F6A"/>
    <w:rsid w:val="001D2FA5"/>
    <w:rsid w:val="001D3394"/>
    <w:rsid w:val="001D3D57"/>
    <w:rsid w:val="001D4980"/>
    <w:rsid w:val="001D5045"/>
    <w:rsid w:val="001D5A44"/>
    <w:rsid w:val="001D5CD0"/>
    <w:rsid w:val="001D724B"/>
    <w:rsid w:val="001E023C"/>
    <w:rsid w:val="001E0BA5"/>
    <w:rsid w:val="001F03E1"/>
    <w:rsid w:val="001F1F19"/>
    <w:rsid w:val="001F2BD1"/>
    <w:rsid w:val="001F3080"/>
    <w:rsid w:val="001F3CC6"/>
    <w:rsid w:val="001F5F5F"/>
    <w:rsid w:val="00205064"/>
    <w:rsid w:val="0020548A"/>
    <w:rsid w:val="00211668"/>
    <w:rsid w:val="002118A6"/>
    <w:rsid w:val="002122FF"/>
    <w:rsid w:val="002125F7"/>
    <w:rsid w:val="0021288A"/>
    <w:rsid w:val="002150AC"/>
    <w:rsid w:val="0021650B"/>
    <w:rsid w:val="002170FF"/>
    <w:rsid w:val="00221938"/>
    <w:rsid w:val="00222262"/>
    <w:rsid w:val="00222ABD"/>
    <w:rsid w:val="002230A8"/>
    <w:rsid w:val="00227D20"/>
    <w:rsid w:val="00231BCE"/>
    <w:rsid w:val="0023336A"/>
    <w:rsid w:val="00233D00"/>
    <w:rsid w:val="002359EB"/>
    <w:rsid w:val="0023649E"/>
    <w:rsid w:val="00241222"/>
    <w:rsid w:val="00241740"/>
    <w:rsid w:val="00241BA9"/>
    <w:rsid w:val="002424E4"/>
    <w:rsid w:val="00243122"/>
    <w:rsid w:val="002437F5"/>
    <w:rsid w:val="00244DB1"/>
    <w:rsid w:val="00245012"/>
    <w:rsid w:val="0024504E"/>
    <w:rsid w:val="0024651F"/>
    <w:rsid w:val="00246874"/>
    <w:rsid w:val="00246D81"/>
    <w:rsid w:val="00247969"/>
    <w:rsid w:val="00250869"/>
    <w:rsid w:val="00251920"/>
    <w:rsid w:val="00251CC4"/>
    <w:rsid w:val="00253D3C"/>
    <w:rsid w:val="00254A7E"/>
    <w:rsid w:val="00255292"/>
    <w:rsid w:val="002553A9"/>
    <w:rsid w:val="00256047"/>
    <w:rsid w:val="0025722F"/>
    <w:rsid w:val="00257E84"/>
    <w:rsid w:val="00260200"/>
    <w:rsid w:val="00263106"/>
    <w:rsid w:val="002642F2"/>
    <w:rsid w:val="00264AE1"/>
    <w:rsid w:val="00266645"/>
    <w:rsid w:val="00267386"/>
    <w:rsid w:val="00267C2E"/>
    <w:rsid w:val="00267DA9"/>
    <w:rsid w:val="00273E5C"/>
    <w:rsid w:val="00275FD0"/>
    <w:rsid w:val="00280514"/>
    <w:rsid w:val="002819E7"/>
    <w:rsid w:val="00282FF2"/>
    <w:rsid w:val="00283483"/>
    <w:rsid w:val="002844B5"/>
    <w:rsid w:val="0028459B"/>
    <w:rsid w:val="00285618"/>
    <w:rsid w:val="002872F8"/>
    <w:rsid w:val="00290EEA"/>
    <w:rsid w:val="00291E9A"/>
    <w:rsid w:val="002935BF"/>
    <w:rsid w:val="00296E4A"/>
    <w:rsid w:val="002976E5"/>
    <w:rsid w:val="002A1F14"/>
    <w:rsid w:val="002A2678"/>
    <w:rsid w:val="002A3369"/>
    <w:rsid w:val="002A4B8A"/>
    <w:rsid w:val="002A5161"/>
    <w:rsid w:val="002A5C0F"/>
    <w:rsid w:val="002A6385"/>
    <w:rsid w:val="002A7929"/>
    <w:rsid w:val="002B41D7"/>
    <w:rsid w:val="002B5240"/>
    <w:rsid w:val="002B6A13"/>
    <w:rsid w:val="002C0904"/>
    <w:rsid w:val="002C0F67"/>
    <w:rsid w:val="002C1E84"/>
    <w:rsid w:val="002C36C3"/>
    <w:rsid w:val="002C41B1"/>
    <w:rsid w:val="002C77CC"/>
    <w:rsid w:val="002D2A00"/>
    <w:rsid w:val="002D5199"/>
    <w:rsid w:val="002E2862"/>
    <w:rsid w:val="002E356A"/>
    <w:rsid w:val="002E4C01"/>
    <w:rsid w:val="002F0516"/>
    <w:rsid w:val="002F22D2"/>
    <w:rsid w:val="002F2863"/>
    <w:rsid w:val="002F778A"/>
    <w:rsid w:val="00302187"/>
    <w:rsid w:val="00302293"/>
    <w:rsid w:val="003028D8"/>
    <w:rsid w:val="0030290F"/>
    <w:rsid w:val="00302DE9"/>
    <w:rsid w:val="00303869"/>
    <w:rsid w:val="00303F1D"/>
    <w:rsid w:val="00305084"/>
    <w:rsid w:val="003052C5"/>
    <w:rsid w:val="00311ABF"/>
    <w:rsid w:val="00314A81"/>
    <w:rsid w:val="00314DD2"/>
    <w:rsid w:val="00315A7C"/>
    <w:rsid w:val="00317705"/>
    <w:rsid w:val="003204E9"/>
    <w:rsid w:val="003232AA"/>
    <w:rsid w:val="00323A10"/>
    <w:rsid w:val="00323E6A"/>
    <w:rsid w:val="00323F25"/>
    <w:rsid w:val="00324A71"/>
    <w:rsid w:val="003303E3"/>
    <w:rsid w:val="00334656"/>
    <w:rsid w:val="00337A86"/>
    <w:rsid w:val="00337C2E"/>
    <w:rsid w:val="0034147B"/>
    <w:rsid w:val="00341889"/>
    <w:rsid w:val="003426CE"/>
    <w:rsid w:val="00343016"/>
    <w:rsid w:val="0034447B"/>
    <w:rsid w:val="00351704"/>
    <w:rsid w:val="003570C8"/>
    <w:rsid w:val="00360D91"/>
    <w:rsid w:val="00367770"/>
    <w:rsid w:val="00370BEA"/>
    <w:rsid w:val="00371424"/>
    <w:rsid w:val="00371FF4"/>
    <w:rsid w:val="00372209"/>
    <w:rsid w:val="00374C4E"/>
    <w:rsid w:val="003771ED"/>
    <w:rsid w:val="0037768B"/>
    <w:rsid w:val="00381791"/>
    <w:rsid w:val="00382E6F"/>
    <w:rsid w:val="00387C00"/>
    <w:rsid w:val="0039032E"/>
    <w:rsid w:val="003968CD"/>
    <w:rsid w:val="00397960"/>
    <w:rsid w:val="00397F75"/>
    <w:rsid w:val="003A2008"/>
    <w:rsid w:val="003A3BC4"/>
    <w:rsid w:val="003A4AA3"/>
    <w:rsid w:val="003B405E"/>
    <w:rsid w:val="003B4843"/>
    <w:rsid w:val="003B494E"/>
    <w:rsid w:val="003C3C8C"/>
    <w:rsid w:val="003C6E9E"/>
    <w:rsid w:val="003C792F"/>
    <w:rsid w:val="003D117A"/>
    <w:rsid w:val="003D36B2"/>
    <w:rsid w:val="003D42D5"/>
    <w:rsid w:val="003D656E"/>
    <w:rsid w:val="003D78B5"/>
    <w:rsid w:val="003E0BD4"/>
    <w:rsid w:val="003E45B9"/>
    <w:rsid w:val="003E654C"/>
    <w:rsid w:val="003F0DE5"/>
    <w:rsid w:val="003F46FC"/>
    <w:rsid w:val="003F4AA5"/>
    <w:rsid w:val="003F61CF"/>
    <w:rsid w:val="003F697D"/>
    <w:rsid w:val="003F7026"/>
    <w:rsid w:val="003F7C45"/>
    <w:rsid w:val="00400500"/>
    <w:rsid w:val="0040132C"/>
    <w:rsid w:val="00404257"/>
    <w:rsid w:val="00407F66"/>
    <w:rsid w:val="004113B4"/>
    <w:rsid w:val="0041220A"/>
    <w:rsid w:val="00413B96"/>
    <w:rsid w:val="00413C2C"/>
    <w:rsid w:val="00415168"/>
    <w:rsid w:val="00415B04"/>
    <w:rsid w:val="00416A6B"/>
    <w:rsid w:val="0042044C"/>
    <w:rsid w:val="00421624"/>
    <w:rsid w:val="00424151"/>
    <w:rsid w:val="00425A5A"/>
    <w:rsid w:val="00425FB6"/>
    <w:rsid w:val="004264FD"/>
    <w:rsid w:val="004268BB"/>
    <w:rsid w:val="0042785F"/>
    <w:rsid w:val="004314FF"/>
    <w:rsid w:val="004408EC"/>
    <w:rsid w:val="00440F74"/>
    <w:rsid w:val="00441A6E"/>
    <w:rsid w:val="00441FEC"/>
    <w:rsid w:val="004425E8"/>
    <w:rsid w:val="00443C8F"/>
    <w:rsid w:val="00447BC6"/>
    <w:rsid w:val="004501CE"/>
    <w:rsid w:val="00452481"/>
    <w:rsid w:val="00453832"/>
    <w:rsid w:val="00454A0F"/>
    <w:rsid w:val="0046335D"/>
    <w:rsid w:val="00463C2C"/>
    <w:rsid w:val="00466BBC"/>
    <w:rsid w:val="004733AC"/>
    <w:rsid w:val="004734F0"/>
    <w:rsid w:val="00483271"/>
    <w:rsid w:val="0049210E"/>
    <w:rsid w:val="0049297D"/>
    <w:rsid w:val="0049327D"/>
    <w:rsid w:val="0049405D"/>
    <w:rsid w:val="0049455C"/>
    <w:rsid w:val="00495A03"/>
    <w:rsid w:val="004A135B"/>
    <w:rsid w:val="004A1BE1"/>
    <w:rsid w:val="004A4980"/>
    <w:rsid w:val="004A4F68"/>
    <w:rsid w:val="004A63CB"/>
    <w:rsid w:val="004A67B0"/>
    <w:rsid w:val="004A6FB2"/>
    <w:rsid w:val="004B0847"/>
    <w:rsid w:val="004B0E6D"/>
    <w:rsid w:val="004B16E8"/>
    <w:rsid w:val="004C0541"/>
    <w:rsid w:val="004C3A16"/>
    <w:rsid w:val="004C634A"/>
    <w:rsid w:val="004C660B"/>
    <w:rsid w:val="004D050C"/>
    <w:rsid w:val="004D23D9"/>
    <w:rsid w:val="004D29A9"/>
    <w:rsid w:val="004D3537"/>
    <w:rsid w:val="004D4D4E"/>
    <w:rsid w:val="004D5974"/>
    <w:rsid w:val="004D614E"/>
    <w:rsid w:val="004D650F"/>
    <w:rsid w:val="004E2133"/>
    <w:rsid w:val="004E4E04"/>
    <w:rsid w:val="004E6CBA"/>
    <w:rsid w:val="004F521C"/>
    <w:rsid w:val="00502CD8"/>
    <w:rsid w:val="0050361C"/>
    <w:rsid w:val="00503ABF"/>
    <w:rsid w:val="00506A40"/>
    <w:rsid w:val="00506D4F"/>
    <w:rsid w:val="0051064F"/>
    <w:rsid w:val="00513A0E"/>
    <w:rsid w:val="00515D7B"/>
    <w:rsid w:val="00515F29"/>
    <w:rsid w:val="0052009E"/>
    <w:rsid w:val="0052306A"/>
    <w:rsid w:val="00530161"/>
    <w:rsid w:val="005450F7"/>
    <w:rsid w:val="00545A0B"/>
    <w:rsid w:val="0054672F"/>
    <w:rsid w:val="00547FA4"/>
    <w:rsid w:val="005536D4"/>
    <w:rsid w:val="00553EC8"/>
    <w:rsid w:val="005564EE"/>
    <w:rsid w:val="00557D4A"/>
    <w:rsid w:val="0056176B"/>
    <w:rsid w:val="00561889"/>
    <w:rsid w:val="005621F6"/>
    <w:rsid w:val="0056291C"/>
    <w:rsid w:val="005668D3"/>
    <w:rsid w:val="00566EBD"/>
    <w:rsid w:val="0057154B"/>
    <w:rsid w:val="005742DB"/>
    <w:rsid w:val="00576A51"/>
    <w:rsid w:val="00577209"/>
    <w:rsid w:val="005800A9"/>
    <w:rsid w:val="00581139"/>
    <w:rsid w:val="00581645"/>
    <w:rsid w:val="00585D10"/>
    <w:rsid w:val="0058694E"/>
    <w:rsid w:val="005875F9"/>
    <w:rsid w:val="00593A35"/>
    <w:rsid w:val="00593C74"/>
    <w:rsid w:val="00597D8B"/>
    <w:rsid w:val="005A46FF"/>
    <w:rsid w:val="005A557E"/>
    <w:rsid w:val="005A63FD"/>
    <w:rsid w:val="005B462A"/>
    <w:rsid w:val="005B5137"/>
    <w:rsid w:val="005B6047"/>
    <w:rsid w:val="005C0ED7"/>
    <w:rsid w:val="005C5409"/>
    <w:rsid w:val="005C62A5"/>
    <w:rsid w:val="005C671B"/>
    <w:rsid w:val="005C6FF7"/>
    <w:rsid w:val="005C7C75"/>
    <w:rsid w:val="005C7D00"/>
    <w:rsid w:val="005D01A4"/>
    <w:rsid w:val="005D0BAB"/>
    <w:rsid w:val="005D1893"/>
    <w:rsid w:val="005D26E9"/>
    <w:rsid w:val="005D2CAA"/>
    <w:rsid w:val="005D4CBA"/>
    <w:rsid w:val="005E01A3"/>
    <w:rsid w:val="005E0354"/>
    <w:rsid w:val="005E4F74"/>
    <w:rsid w:val="005E6C62"/>
    <w:rsid w:val="005E6DF3"/>
    <w:rsid w:val="005E6F13"/>
    <w:rsid w:val="005E726C"/>
    <w:rsid w:val="005F293E"/>
    <w:rsid w:val="005F43B9"/>
    <w:rsid w:val="005F458B"/>
    <w:rsid w:val="005F4A6A"/>
    <w:rsid w:val="005F4E28"/>
    <w:rsid w:val="005F56BA"/>
    <w:rsid w:val="0060008E"/>
    <w:rsid w:val="006016F2"/>
    <w:rsid w:val="00602321"/>
    <w:rsid w:val="006033E3"/>
    <w:rsid w:val="00606B29"/>
    <w:rsid w:val="0060758A"/>
    <w:rsid w:val="00607D0E"/>
    <w:rsid w:val="006101F5"/>
    <w:rsid w:val="00610DA5"/>
    <w:rsid w:val="00611663"/>
    <w:rsid w:val="0061321C"/>
    <w:rsid w:val="00613C20"/>
    <w:rsid w:val="00613F44"/>
    <w:rsid w:val="006149D4"/>
    <w:rsid w:val="00615A56"/>
    <w:rsid w:val="006160BD"/>
    <w:rsid w:val="00620EDB"/>
    <w:rsid w:val="0062386E"/>
    <w:rsid w:val="006253EF"/>
    <w:rsid w:val="00626075"/>
    <w:rsid w:val="0062680E"/>
    <w:rsid w:val="00631158"/>
    <w:rsid w:val="00632923"/>
    <w:rsid w:val="006341E6"/>
    <w:rsid w:val="00634439"/>
    <w:rsid w:val="00634B21"/>
    <w:rsid w:val="006366C6"/>
    <w:rsid w:val="0063693D"/>
    <w:rsid w:val="00636B55"/>
    <w:rsid w:val="00636EB1"/>
    <w:rsid w:val="006373D6"/>
    <w:rsid w:val="006403D4"/>
    <w:rsid w:val="00642CBC"/>
    <w:rsid w:val="0064454A"/>
    <w:rsid w:val="00645293"/>
    <w:rsid w:val="006456D3"/>
    <w:rsid w:val="006464C1"/>
    <w:rsid w:val="00651B78"/>
    <w:rsid w:val="0065237A"/>
    <w:rsid w:val="00652FF5"/>
    <w:rsid w:val="0065303C"/>
    <w:rsid w:val="00653246"/>
    <w:rsid w:val="00654382"/>
    <w:rsid w:val="00661244"/>
    <w:rsid w:val="006640DF"/>
    <w:rsid w:val="00666A3C"/>
    <w:rsid w:val="00667519"/>
    <w:rsid w:val="006676A0"/>
    <w:rsid w:val="00670857"/>
    <w:rsid w:val="00670868"/>
    <w:rsid w:val="006721BC"/>
    <w:rsid w:val="00673D69"/>
    <w:rsid w:val="00676431"/>
    <w:rsid w:val="00677A9C"/>
    <w:rsid w:val="0068050D"/>
    <w:rsid w:val="00685FFC"/>
    <w:rsid w:val="00686943"/>
    <w:rsid w:val="00686EDE"/>
    <w:rsid w:val="00687AD5"/>
    <w:rsid w:val="00690A31"/>
    <w:rsid w:val="006911CE"/>
    <w:rsid w:val="00692002"/>
    <w:rsid w:val="00695251"/>
    <w:rsid w:val="00695B58"/>
    <w:rsid w:val="006979FE"/>
    <w:rsid w:val="006A4828"/>
    <w:rsid w:val="006A7C09"/>
    <w:rsid w:val="006B046C"/>
    <w:rsid w:val="006B252F"/>
    <w:rsid w:val="006B3940"/>
    <w:rsid w:val="006C168D"/>
    <w:rsid w:val="006C4033"/>
    <w:rsid w:val="006C5BC9"/>
    <w:rsid w:val="006C642C"/>
    <w:rsid w:val="006D462B"/>
    <w:rsid w:val="006D7386"/>
    <w:rsid w:val="006E0DAD"/>
    <w:rsid w:val="006E313F"/>
    <w:rsid w:val="006F1F1A"/>
    <w:rsid w:val="006F5AC2"/>
    <w:rsid w:val="006F6C28"/>
    <w:rsid w:val="007007EB"/>
    <w:rsid w:val="00701F57"/>
    <w:rsid w:val="00703E8A"/>
    <w:rsid w:val="00706046"/>
    <w:rsid w:val="007112F0"/>
    <w:rsid w:val="00711343"/>
    <w:rsid w:val="00714309"/>
    <w:rsid w:val="0071450F"/>
    <w:rsid w:val="00717772"/>
    <w:rsid w:val="00721DBE"/>
    <w:rsid w:val="007226EC"/>
    <w:rsid w:val="00722B5E"/>
    <w:rsid w:val="00724F6D"/>
    <w:rsid w:val="0072678C"/>
    <w:rsid w:val="00732D1D"/>
    <w:rsid w:val="007350D4"/>
    <w:rsid w:val="00736034"/>
    <w:rsid w:val="00737E79"/>
    <w:rsid w:val="00740707"/>
    <w:rsid w:val="0074120F"/>
    <w:rsid w:val="00743764"/>
    <w:rsid w:val="00743B2D"/>
    <w:rsid w:val="00747930"/>
    <w:rsid w:val="0075060E"/>
    <w:rsid w:val="00752E8B"/>
    <w:rsid w:val="007541BB"/>
    <w:rsid w:val="00754D62"/>
    <w:rsid w:val="00756CFF"/>
    <w:rsid w:val="00757FD7"/>
    <w:rsid w:val="00761B7A"/>
    <w:rsid w:val="007651E5"/>
    <w:rsid w:val="00765256"/>
    <w:rsid w:val="007661D4"/>
    <w:rsid w:val="007661FD"/>
    <w:rsid w:val="00766A7C"/>
    <w:rsid w:val="00767A27"/>
    <w:rsid w:val="0077111A"/>
    <w:rsid w:val="00775419"/>
    <w:rsid w:val="007763A5"/>
    <w:rsid w:val="0078105B"/>
    <w:rsid w:val="00782B50"/>
    <w:rsid w:val="00784FE0"/>
    <w:rsid w:val="007858B1"/>
    <w:rsid w:val="0078648E"/>
    <w:rsid w:val="00791A3A"/>
    <w:rsid w:val="00791D9C"/>
    <w:rsid w:val="007A391B"/>
    <w:rsid w:val="007A4409"/>
    <w:rsid w:val="007A4F37"/>
    <w:rsid w:val="007A5241"/>
    <w:rsid w:val="007A59B8"/>
    <w:rsid w:val="007B06C7"/>
    <w:rsid w:val="007B3D06"/>
    <w:rsid w:val="007B42F5"/>
    <w:rsid w:val="007B5157"/>
    <w:rsid w:val="007B5CD8"/>
    <w:rsid w:val="007C1122"/>
    <w:rsid w:val="007C19EC"/>
    <w:rsid w:val="007C364E"/>
    <w:rsid w:val="007C5359"/>
    <w:rsid w:val="007C6701"/>
    <w:rsid w:val="007D16ED"/>
    <w:rsid w:val="007D2398"/>
    <w:rsid w:val="007D440B"/>
    <w:rsid w:val="007D62F9"/>
    <w:rsid w:val="007D63A4"/>
    <w:rsid w:val="007D732D"/>
    <w:rsid w:val="007E0F19"/>
    <w:rsid w:val="007E2A84"/>
    <w:rsid w:val="007E5ECB"/>
    <w:rsid w:val="007F063D"/>
    <w:rsid w:val="007F0D73"/>
    <w:rsid w:val="007F153F"/>
    <w:rsid w:val="007F3137"/>
    <w:rsid w:val="007F432A"/>
    <w:rsid w:val="007F63AA"/>
    <w:rsid w:val="008006B7"/>
    <w:rsid w:val="008032FD"/>
    <w:rsid w:val="00806461"/>
    <w:rsid w:val="008064CE"/>
    <w:rsid w:val="0080673A"/>
    <w:rsid w:val="00807A94"/>
    <w:rsid w:val="00810B79"/>
    <w:rsid w:val="00810EAD"/>
    <w:rsid w:val="00814530"/>
    <w:rsid w:val="00815386"/>
    <w:rsid w:val="00821F9C"/>
    <w:rsid w:val="00825570"/>
    <w:rsid w:val="00826403"/>
    <w:rsid w:val="00827990"/>
    <w:rsid w:val="00834CA6"/>
    <w:rsid w:val="0083623B"/>
    <w:rsid w:val="00836C5A"/>
    <w:rsid w:val="00837E59"/>
    <w:rsid w:val="00842100"/>
    <w:rsid w:val="008428A9"/>
    <w:rsid w:val="0084308F"/>
    <w:rsid w:val="00846C2B"/>
    <w:rsid w:val="008473F2"/>
    <w:rsid w:val="0085139A"/>
    <w:rsid w:val="008524F6"/>
    <w:rsid w:val="008532F3"/>
    <w:rsid w:val="00854B3F"/>
    <w:rsid w:val="00861C2C"/>
    <w:rsid w:val="00863744"/>
    <w:rsid w:val="008668B8"/>
    <w:rsid w:val="0086748F"/>
    <w:rsid w:val="0086758B"/>
    <w:rsid w:val="00867B4D"/>
    <w:rsid w:val="00867CF3"/>
    <w:rsid w:val="00874AB5"/>
    <w:rsid w:val="00877671"/>
    <w:rsid w:val="00877A13"/>
    <w:rsid w:val="0088020A"/>
    <w:rsid w:val="008869BC"/>
    <w:rsid w:val="00887DDD"/>
    <w:rsid w:val="00887DE6"/>
    <w:rsid w:val="00887E9F"/>
    <w:rsid w:val="008908AA"/>
    <w:rsid w:val="00890E08"/>
    <w:rsid w:val="008926E3"/>
    <w:rsid w:val="00894DCA"/>
    <w:rsid w:val="00897D88"/>
    <w:rsid w:val="008A00BE"/>
    <w:rsid w:val="008A1539"/>
    <w:rsid w:val="008A2C5D"/>
    <w:rsid w:val="008A3BE2"/>
    <w:rsid w:val="008A6B30"/>
    <w:rsid w:val="008B05E7"/>
    <w:rsid w:val="008B0758"/>
    <w:rsid w:val="008B1875"/>
    <w:rsid w:val="008B4146"/>
    <w:rsid w:val="008B5312"/>
    <w:rsid w:val="008B59CE"/>
    <w:rsid w:val="008B6078"/>
    <w:rsid w:val="008B7110"/>
    <w:rsid w:val="008B7F4A"/>
    <w:rsid w:val="008C04E1"/>
    <w:rsid w:val="008C04FE"/>
    <w:rsid w:val="008C2F50"/>
    <w:rsid w:val="008C3109"/>
    <w:rsid w:val="008C5312"/>
    <w:rsid w:val="008C5DBD"/>
    <w:rsid w:val="008C61D6"/>
    <w:rsid w:val="008D49AF"/>
    <w:rsid w:val="008D4A2B"/>
    <w:rsid w:val="008D4A9F"/>
    <w:rsid w:val="008D6294"/>
    <w:rsid w:val="008E1FE0"/>
    <w:rsid w:val="008E3939"/>
    <w:rsid w:val="008E3B41"/>
    <w:rsid w:val="008E3DDD"/>
    <w:rsid w:val="008F0212"/>
    <w:rsid w:val="008F0559"/>
    <w:rsid w:val="008F23F4"/>
    <w:rsid w:val="008F61C4"/>
    <w:rsid w:val="008F7763"/>
    <w:rsid w:val="009007CB"/>
    <w:rsid w:val="009010F0"/>
    <w:rsid w:val="00901162"/>
    <w:rsid w:val="00901D46"/>
    <w:rsid w:val="009020F1"/>
    <w:rsid w:val="009028E2"/>
    <w:rsid w:val="00903692"/>
    <w:rsid w:val="00904E07"/>
    <w:rsid w:val="00912BAF"/>
    <w:rsid w:val="0091311E"/>
    <w:rsid w:val="00914EAB"/>
    <w:rsid w:val="0091541F"/>
    <w:rsid w:val="00916E71"/>
    <w:rsid w:val="00920D98"/>
    <w:rsid w:val="0092108C"/>
    <w:rsid w:val="00922D49"/>
    <w:rsid w:val="009238DB"/>
    <w:rsid w:val="00925E37"/>
    <w:rsid w:val="00925EDD"/>
    <w:rsid w:val="00927348"/>
    <w:rsid w:val="00930079"/>
    <w:rsid w:val="00930966"/>
    <w:rsid w:val="00932F64"/>
    <w:rsid w:val="00935FB1"/>
    <w:rsid w:val="00936075"/>
    <w:rsid w:val="00936D40"/>
    <w:rsid w:val="00937ABF"/>
    <w:rsid w:val="00937DB1"/>
    <w:rsid w:val="0094296E"/>
    <w:rsid w:val="009463CC"/>
    <w:rsid w:val="0094687A"/>
    <w:rsid w:val="00950413"/>
    <w:rsid w:val="0095078E"/>
    <w:rsid w:val="00952404"/>
    <w:rsid w:val="00952A72"/>
    <w:rsid w:val="009542B3"/>
    <w:rsid w:val="009550A8"/>
    <w:rsid w:val="00955FF2"/>
    <w:rsid w:val="0095693D"/>
    <w:rsid w:val="00956B0D"/>
    <w:rsid w:val="0096260B"/>
    <w:rsid w:val="009631C1"/>
    <w:rsid w:val="00970C69"/>
    <w:rsid w:val="00973B57"/>
    <w:rsid w:val="00973E0D"/>
    <w:rsid w:val="0097403F"/>
    <w:rsid w:val="00976797"/>
    <w:rsid w:val="00980C0C"/>
    <w:rsid w:val="00982E47"/>
    <w:rsid w:val="00982EAE"/>
    <w:rsid w:val="00983E7D"/>
    <w:rsid w:val="00991642"/>
    <w:rsid w:val="0099260C"/>
    <w:rsid w:val="009942F4"/>
    <w:rsid w:val="00995B3C"/>
    <w:rsid w:val="00996BCA"/>
    <w:rsid w:val="009A045B"/>
    <w:rsid w:val="009A0513"/>
    <w:rsid w:val="009A07C1"/>
    <w:rsid w:val="009A2283"/>
    <w:rsid w:val="009A31AF"/>
    <w:rsid w:val="009A3507"/>
    <w:rsid w:val="009A529F"/>
    <w:rsid w:val="009A5C1D"/>
    <w:rsid w:val="009A6018"/>
    <w:rsid w:val="009A7920"/>
    <w:rsid w:val="009B4286"/>
    <w:rsid w:val="009B5BF9"/>
    <w:rsid w:val="009B5DAF"/>
    <w:rsid w:val="009B5F83"/>
    <w:rsid w:val="009B61C5"/>
    <w:rsid w:val="009B769E"/>
    <w:rsid w:val="009C03E5"/>
    <w:rsid w:val="009C4D19"/>
    <w:rsid w:val="009C5FDB"/>
    <w:rsid w:val="009C6334"/>
    <w:rsid w:val="009C65AF"/>
    <w:rsid w:val="009C70CB"/>
    <w:rsid w:val="009C74DD"/>
    <w:rsid w:val="009D27AA"/>
    <w:rsid w:val="009D2AD9"/>
    <w:rsid w:val="009D514E"/>
    <w:rsid w:val="009D5A40"/>
    <w:rsid w:val="009D5C39"/>
    <w:rsid w:val="009D6FED"/>
    <w:rsid w:val="009E0A95"/>
    <w:rsid w:val="009E0D47"/>
    <w:rsid w:val="009E549D"/>
    <w:rsid w:val="009E54AF"/>
    <w:rsid w:val="009E5C59"/>
    <w:rsid w:val="009E6BB8"/>
    <w:rsid w:val="009F1CC3"/>
    <w:rsid w:val="009F26F2"/>
    <w:rsid w:val="009F3E1E"/>
    <w:rsid w:val="009F4CC5"/>
    <w:rsid w:val="009F6550"/>
    <w:rsid w:val="00A003BE"/>
    <w:rsid w:val="00A00870"/>
    <w:rsid w:val="00A02F51"/>
    <w:rsid w:val="00A0360B"/>
    <w:rsid w:val="00A03841"/>
    <w:rsid w:val="00A0520F"/>
    <w:rsid w:val="00A05ACE"/>
    <w:rsid w:val="00A06788"/>
    <w:rsid w:val="00A104A4"/>
    <w:rsid w:val="00A10D63"/>
    <w:rsid w:val="00A115BC"/>
    <w:rsid w:val="00A11776"/>
    <w:rsid w:val="00A1276C"/>
    <w:rsid w:val="00A14098"/>
    <w:rsid w:val="00A14304"/>
    <w:rsid w:val="00A14399"/>
    <w:rsid w:val="00A14C46"/>
    <w:rsid w:val="00A15524"/>
    <w:rsid w:val="00A15EE9"/>
    <w:rsid w:val="00A16675"/>
    <w:rsid w:val="00A1724E"/>
    <w:rsid w:val="00A20263"/>
    <w:rsid w:val="00A2168F"/>
    <w:rsid w:val="00A26437"/>
    <w:rsid w:val="00A30E4D"/>
    <w:rsid w:val="00A32410"/>
    <w:rsid w:val="00A32B48"/>
    <w:rsid w:val="00A36D00"/>
    <w:rsid w:val="00A43389"/>
    <w:rsid w:val="00A4642E"/>
    <w:rsid w:val="00A47AF8"/>
    <w:rsid w:val="00A52D75"/>
    <w:rsid w:val="00A53013"/>
    <w:rsid w:val="00A54BD6"/>
    <w:rsid w:val="00A5643A"/>
    <w:rsid w:val="00A57678"/>
    <w:rsid w:val="00A6090C"/>
    <w:rsid w:val="00A6200E"/>
    <w:rsid w:val="00A62D1E"/>
    <w:rsid w:val="00A65C6D"/>
    <w:rsid w:val="00A716B9"/>
    <w:rsid w:val="00A720D8"/>
    <w:rsid w:val="00A72216"/>
    <w:rsid w:val="00A733F2"/>
    <w:rsid w:val="00A75705"/>
    <w:rsid w:val="00A75BE1"/>
    <w:rsid w:val="00A8187C"/>
    <w:rsid w:val="00A82C9E"/>
    <w:rsid w:val="00A8324F"/>
    <w:rsid w:val="00A85142"/>
    <w:rsid w:val="00A91ECB"/>
    <w:rsid w:val="00A95B37"/>
    <w:rsid w:val="00A96B6F"/>
    <w:rsid w:val="00AA0CE8"/>
    <w:rsid w:val="00AA35FD"/>
    <w:rsid w:val="00AA3DB7"/>
    <w:rsid w:val="00AA58C5"/>
    <w:rsid w:val="00AA5EF2"/>
    <w:rsid w:val="00AA5F63"/>
    <w:rsid w:val="00AA7EBD"/>
    <w:rsid w:val="00AB69EF"/>
    <w:rsid w:val="00AC11DC"/>
    <w:rsid w:val="00AC3183"/>
    <w:rsid w:val="00AC3E87"/>
    <w:rsid w:val="00AC469F"/>
    <w:rsid w:val="00AD0611"/>
    <w:rsid w:val="00AD0E29"/>
    <w:rsid w:val="00AD0E4F"/>
    <w:rsid w:val="00AD26D7"/>
    <w:rsid w:val="00AD3905"/>
    <w:rsid w:val="00AD4555"/>
    <w:rsid w:val="00AD4A31"/>
    <w:rsid w:val="00AD5638"/>
    <w:rsid w:val="00AD7214"/>
    <w:rsid w:val="00AE1066"/>
    <w:rsid w:val="00AE12A4"/>
    <w:rsid w:val="00AE2E1B"/>
    <w:rsid w:val="00AE5129"/>
    <w:rsid w:val="00AE5645"/>
    <w:rsid w:val="00AF1D6B"/>
    <w:rsid w:val="00AF24AA"/>
    <w:rsid w:val="00AF3AF9"/>
    <w:rsid w:val="00AF3E5F"/>
    <w:rsid w:val="00AF3EFD"/>
    <w:rsid w:val="00AF44C1"/>
    <w:rsid w:val="00AF4F09"/>
    <w:rsid w:val="00AF643E"/>
    <w:rsid w:val="00AF73EB"/>
    <w:rsid w:val="00AF79C8"/>
    <w:rsid w:val="00B00FA8"/>
    <w:rsid w:val="00B011B0"/>
    <w:rsid w:val="00B0391C"/>
    <w:rsid w:val="00B047F6"/>
    <w:rsid w:val="00B06019"/>
    <w:rsid w:val="00B0700F"/>
    <w:rsid w:val="00B1493B"/>
    <w:rsid w:val="00B15119"/>
    <w:rsid w:val="00B17169"/>
    <w:rsid w:val="00B22511"/>
    <w:rsid w:val="00B23996"/>
    <w:rsid w:val="00B23CB2"/>
    <w:rsid w:val="00B24A18"/>
    <w:rsid w:val="00B255C5"/>
    <w:rsid w:val="00B25807"/>
    <w:rsid w:val="00B268DD"/>
    <w:rsid w:val="00B27A29"/>
    <w:rsid w:val="00B32AE1"/>
    <w:rsid w:val="00B35FEC"/>
    <w:rsid w:val="00B37780"/>
    <w:rsid w:val="00B37813"/>
    <w:rsid w:val="00B37EEF"/>
    <w:rsid w:val="00B41C1D"/>
    <w:rsid w:val="00B43917"/>
    <w:rsid w:val="00B4515C"/>
    <w:rsid w:val="00B459CD"/>
    <w:rsid w:val="00B46220"/>
    <w:rsid w:val="00B464EA"/>
    <w:rsid w:val="00B47574"/>
    <w:rsid w:val="00B5430C"/>
    <w:rsid w:val="00B54782"/>
    <w:rsid w:val="00B56A90"/>
    <w:rsid w:val="00B5711C"/>
    <w:rsid w:val="00B57BCF"/>
    <w:rsid w:val="00B57E36"/>
    <w:rsid w:val="00B60209"/>
    <w:rsid w:val="00B60399"/>
    <w:rsid w:val="00B606A3"/>
    <w:rsid w:val="00B63B6A"/>
    <w:rsid w:val="00B65D6F"/>
    <w:rsid w:val="00B66C17"/>
    <w:rsid w:val="00B673F3"/>
    <w:rsid w:val="00B67A25"/>
    <w:rsid w:val="00B7354A"/>
    <w:rsid w:val="00B7435B"/>
    <w:rsid w:val="00B74446"/>
    <w:rsid w:val="00B74B59"/>
    <w:rsid w:val="00B77142"/>
    <w:rsid w:val="00B8024E"/>
    <w:rsid w:val="00B80C3A"/>
    <w:rsid w:val="00B84643"/>
    <w:rsid w:val="00B87130"/>
    <w:rsid w:val="00B90452"/>
    <w:rsid w:val="00B90780"/>
    <w:rsid w:val="00B916D6"/>
    <w:rsid w:val="00B91AD8"/>
    <w:rsid w:val="00B9209B"/>
    <w:rsid w:val="00B9240D"/>
    <w:rsid w:val="00B9328B"/>
    <w:rsid w:val="00B95753"/>
    <w:rsid w:val="00B97E42"/>
    <w:rsid w:val="00BA0425"/>
    <w:rsid w:val="00BA0C05"/>
    <w:rsid w:val="00BA54D0"/>
    <w:rsid w:val="00BA7E30"/>
    <w:rsid w:val="00BB1013"/>
    <w:rsid w:val="00BB4515"/>
    <w:rsid w:val="00BB7B89"/>
    <w:rsid w:val="00BC1A9B"/>
    <w:rsid w:val="00BC2A22"/>
    <w:rsid w:val="00BC4986"/>
    <w:rsid w:val="00BC5E2E"/>
    <w:rsid w:val="00BC6379"/>
    <w:rsid w:val="00BC7EEF"/>
    <w:rsid w:val="00BD43BB"/>
    <w:rsid w:val="00BD72C1"/>
    <w:rsid w:val="00BD7ADE"/>
    <w:rsid w:val="00BE1A85"/>
    <w:rsid w:val="00BE46ED"/>
    <w:rsid w:val="00BE4FD1"/>
    <w:rsid w:val="00BE642D"/>
    <w:rsid w:val="00BE6D7A"/>
    <w:rsid w:val="00BF2511"/>
    <w:rsid w:val="00BF377F"/>
    <w:rsid w:val="00BF3F88"/>
    <w:rsid w:val="00BF4BCD"/>
    <w:rsid w:val="00BF57BE"/>
    <w:rsid w:val="00C0042B"/>
    <w:rsid w:val="00C02E58"/>
    <w:rsid w:val="00C030B6"/>
    <w:rsid w:val="00C04B38"/>
    <w:rsid w:val="00C067B7"/>
    <w:rsid w:val="00C10A09"/>
    <w:rsid w:val="00C121BC"/>
    <w:rsid w:val="00C14D92"/>
    <w:rsid w:val="00C16739"/>
    <w:rsid w:val="00C17F3F"/>
    <w:rsid w:val="00C23BA2"/>
    <w:rsid w:val="00C260A2"/>
    <w:rsid w:val="00C30DEC"/>
    <w:rsid w:val="00C31142"/>
    <w:rsid w:val="00C31DEF"/>
    <w:rsid w:val="00C338EB"/>
    <w:rsid w:val="00C34ECB"/>
    <w:rsid w:val="00C35BB7"/>
    <w:rsid w:val="00C36B35"/>
    <w:rsid w:val="00C36E74"/>
    <w:rsid w:val="00C36FF2"/>
    <w:rsid w:val="00C400CD"/>
    <w:rsid w:val="00C41617"/>
    <w:rsid w:val="00C4309A"/>
    <w:rsid w:val="00C43F23"/>
    <w:rsid w:val="00C43FF1"/>
    <w:rsid w:val="00C45494"/>
    <w:rsid w:val="00C52D18"/>
    <w:rsid w:val="00C54DC1"/>
    <w:rsid w:val="00C559CE"/>
    <w:rsid w:val="00C55E19"/>
    <w:rsid w:val="00C563AD"/>
    <w:rsid w:val="00C563BF"/>
    <w:rsid w:val="00C56EF8"/>
    <w:rsid w:val="00C57512"/>
    <w:rsid w:val="00C57607"/>
    <w:rsid w:val="00C61133"/>
    <w:rsid w:val="00C64009"/>
    <w:rsid w:val="00C7016D"/>
    <w:rsid w:val="00C754C7"/>
    <w:rsid w:val="00C767B3"/>
    <w:rsid w:val="00C76C07"/>
    <w:rsid w:val="00C80F23"/>
    <w:rsid w:val="00C850A3"/>
    <w:rsid w:val="00C87568"/>
    <w:rsid w:val="00C92451"/>
    <w:rsid w:val="00C9272C"/>
    <w:rsid w:val="00C97764"/>
    <w:rsid w:val="00C97C9B"/>
    <w:rsid w:val="00CA344C"/>
    <w:rsid w:val="00CA6B2A"/>
    <w:rsid w:val="00CA7CF8"/>
    <w:rsid w:val="00CA7F19"/>
    <w:rsid w:val="00CB142D"/>
    <w:rsid w:val="00CB29F6"/>
    <w:rsid w:val="00CB2BBF"/>
    <w:rsid w:val="00CB481C"/>
    <w:rsid w:val="00CB4C8C"/>
    <w:rsid w:val="00CB62E1"/>
    <w:rsid w:val="00CB6EFE"/>
    <w:rsid w:val="00CC16F9"/>
    <w:rsid w:val="00CC28A9"/>
    <w:rsid w:val="00CC4183"/>
    <w:rsid w:val="00CC70A4"/>
    <w:rsid w:val="00CD4A0C"/>
    <w:rsid w:val="00CD5CEF"/>
    <w:rsid w:val="00CE06EC"/>
    <w:rsid w:val="00CE592E"/>
    <w:rsid w:val="00CE5BC5"/>
    <w:rsid w:val="00CF16A4"/>
    <w:rsid w:val="00CF299F"/>
    <w:rsid w:val="00CF3357"/>
    <w:rsid w:val="00CF4F26"/>
    <w:rsid w:val="00CF58DF"/>
    <w:rsid w:val="00D00BC3"/>
    <w:rsid w:val="00D03538"/>
    <w:rsid w:val="00D04410"/>
    <w:rsid w:val="00D05EE7"/>
    <w:rsid w:val="00D06A9D"/>
    <w:rsid w:val="00D07C15"/>
    <w:rsid w:val="00D11D4F"/>
    <w:rsid w:val="00D13A01"/>
    <w:rsid w:val="00D15733"/>
    <w:rsid w:val="00D20364"/>
    <w:rsid w:val="00D2130C"/>
    <w:rsid w:val="00D26746"/>
    <w:rsid w:val="00D26DDD"/>
    <w:rsid w:val="00D27BDC"/>
    <w:rsid w:val="00D3194F"/>
    <w:rsid w:val="00D33751"/>
    <w:rsid w:val="00D37343"/>
    <w:rsid w:val="00D37495"/>
    <w:rsid w:val="00D41727"/>
    <w:rsid w:val="00D427E4"/>
    <w:rsid w:val="00D45058"/>
    <w:rsid w:val="00D45F1B"/>
    <w:rsid w:val="00D50E1A"/>
    <w:rsid w:val="00D52289"/>
    <w:rsid w:val="00D55A37"/>
    <w:rsid w:val="00D55B7E"/>
    <w:rsid w:val="00D64354"/>
    <w:rsid w:val="00D66685"/>
    <w:rsid w:val="00D70D35"/>
    <w:rsid w:val="00D71351"/>
    <w:rsid w:val="00D71997"/>
    <w:rsid w:val="00D72993"/>
    <w:rsid w:val="00D753E9"/>
    <w:rsid w:val="00D777B9"/>
    <w:rsid w:val="00D77E2E"/>
    <w:rsid w:val="00D81050"/>
    <w:rsid w:val="00D82273"/>
    <w:rsid w:val="00D82FA5"/>
    <w:rsid w:val="00D84A4B"/>
    <w:rsid w:val="00D84B45"/>
    <w:rsid w:val="00D857AE"/>
    <w:rsid w:val="00D8623D"/>
    <w:rsid w:val="00D867FB"/>
    <w:rsid w:val="00D870CF"/>
    <w:rsid w:val="00D873C4"/>
    <w:rsid w:val="00D90E11"/>
    <w:rsid w:val="00D9110D"/>
    <w:rsid w:val="00D91124"/>
    <w:rsid w:val="00D91987"/>
    <w:rsid w:val="00D92168"/>
    <w:rsid w:val="00D932DF"/>
    <w:rsid w:val="00D93426"/>
    <w:rsid w:val="00D94B22"/>
    <w:rsid w:val="00D958D3"/>
    <w:rsid w:val="00D9594F"/>
    <w:rsid w:val="00D95EEA"/>
    <w:rsid w:val="00D971CB"/>
    <w:rsid w:val="00D97213"/>
    <w:rsid w:val="00DA134E"/>
    <w:rsid w:val="00DA13F3"/>
    <w:rsid w:val="00DA2DE3"/>
    <w:rsid w:val="00DA64AF"/>
    <w:rsid w:val="00DB1F4F"/>
    <w:rsid w:val="00DB2AC7"/>
    <w:rsid w:val="00DB704C"/>
    <w:rsid w:val="00DC693B"/>
    <w:rsid w:val="00DC7C77"/>
    <w:rsid w:val="00DD0F5D"/>
    <w:rsid w:val="00DD426D"/>
    <w:rsid w:val="00DD74FC"/>
    <w:rsid w:val="00DE0DB6"/>
    <w:rsid w:val="00DE117F"/>
    <w:rsid w:val="00DE1769"/>
    <w:rsid w:val="00DE1A17"/>
    <w:rsid w:val="00DE44C8"/>
    <w:rsid w:val="00DE64CC"/>
    <w:rsid w:val="00DE6AA9"/>
    <w:rsid w:val="00DE7B30"/>
    <w:rsid w:val="00DF20C7"/>
    <w:rsid w:val="00DF4D0C"/>
    <w:rsid w:val="00DF5C20"/>
    <w:rsid w:val="00DF7D81"/>
    <w:rsid w:val="00E02DEB"/>
    <w:rsid w:val="00E042A1"/>
    <w:rsid w:val="00E0476C"/>
    <w:rsid w:val="00E0576B"/>
    <w:rsid w:val="00E067EA"/>
    <w:rsid w:val="00E06D18"/>
    <w:rsid w:val="00E104FA"/>
    <w:rsid w:val="00E1320D"/>
    <w:rsid w:val="00E16022"/>
    <w:rsid w:val="00E1694E"/>
    <w:rsid w:val="00E1738C"/>
    <w:rsid w:val="00E174FF"/>
    <w:rsid w:val="00E205AA"/>
    <w:rsid w:val="00E22296"/>
    <w:rsid w:val="00E27360"/>
    <w:rsid w:val="00E27C04"/>
    <w:rsid w:val="00E30713"/>
    <w:rsid w:val="00E30EDF"/>
    <w:rsid w:val="00E3153A"/>
    <w:rsid w:val="00E31FBA"/>
    <w:rsid w:val="00E328E2"/>
    <w:rsid w:val="00E336BB"/>
    <w:rsid w:val="00E3384E"/>
    <w:rsid w:val="00E374C8"/>
    <w:rsid w:val="00E4042D"/>
    <w:rsid w:val="00E4135D"/>
    <w:rsid w:val="00E43750"/>
    <w:rsid w:val="00E508EB"/>
    <w:rsid w:val="00E521E3"/>
    <w:rsid w:val="00E53B7A"/>
    <w:rsid w:val="00E54E0E"/>
    <w:rsid w:val="00E550C9"/>
    <w:rsid w:val="00E55405"/>
    <w:rsid w:val="00E5645D"/>
    <w:rsid w:val="00E627A4"/>
    <w:rsid w:val="00E6280E"/>
    <w:rsid w:val="00E62C9C"/>
    <w:rsid w:val="00E630EE"/>
    <w:rsid w:val="00E67A61"/>
    <w:rsid w:val="00E70455"/>
    <w:rsid w:val="00E73221"/>
    <w:rsid w:val="00E75116"/>
    <w:rsid w:val="00E763EB"/>
    <w:rsid w:val="00E80A5B"/>
    <w:rsid w:val="00E822EA"/>
    <w:rsid w:val="00E8342F"/>
    <w:rsid w:val="00E84632"/>
    <w:rsid w:val="00E847EE"/>
    <w:rsid w:val="00E876F9"/>
    <w:rsid w:val="00E96A72"/>
    <w:rsid w:val="00E96B52"/>
    <w:rsid w:val="00EA01F7"/>
    <w:rsid w:val="00EA1D33"/>
    <w:rsid w:val="00EA1F5A"/>
    <w:rsid w:val="00EA375F"/>
    <w:rsid w:val="00EA7104"/>
    <w:rsid w:val="00EA7533"/>
    <w:rsid w:val="00EB067F"/>
    <w:rsid w:val="00EB2419"/>
    <w:rsid w:val="00EB58F5"/>
    <w:rsid w:val="00EB6E6B"/>
    <w:rsid w:val="00EC010F"/>
    <w:rsid w:val="00EC0FC0"/>
    <w:rsid w:val="00EC2E3A"/>
    <w:rsid w:val="00EC3CCB"/>
    <w:rsid w:val="00EC5A74"/>
    <w:rsid w:val="00EC737D"/>
    <w:rsid w:val="00ED2154"/>
    <w:rsid w:val="00ED4277"/>
    <w:rsid w:val="00ED7C8C"/>
    <w:rsid w:val="00ED7DDB"/>
    <w:rsid w:val="00EE431B"/>
    <w:rsid w:val="00EE4874"/>
    <w:rsid w:val="00EE53E5"/>
    <w:rsid w:val="00EE6654"/>
    <w:rsid w:val="00EE73FB"/>
    <w:rsid w:val="00EE7BF0"/>
    <w:rsid w:val="00EF2674"/>
    <w:rsid w:val="00EF3163"/>
    <w:rsid w:val="00EF4D29"/>
    <w:rsid w:val="00EF556F"/>
    <w:rsid w:val="00EF7D07"/>
    <w:rsid w:val="00F0181C"/>
    <w:rsid w:val="00F03512"/>
    <w:rsid w:val="00F0433A"/>
    <w:rsid w:val="00F0519B"/>
    <w:rsid w:val="00F059D4"/>
    <w:rsid w:val="00F11783"/>
    <w:rsid w:val="00F119AF"/>
    <w:rsid w:val="00F1480B"/>
    <w:rsid w:val="00F1498D"/>
    <w:rsid w:val="00F20065"/>
    <w:rsid w:val="00F22211"/>
    <w:rsid w:val="00F22341"/>
    <w:rsid w:val="00F22F1D"/>
    <w:rsid w:val="00F22F9F"/>
    <w:rsid w:val="00F24039"/>
    <w:rsid w:val="00F24E0E"/>
    <w:rsid w:val="00F26693"/>
    <w:rsid w:val="00F266E1"/>
    <w:rsid w:val="00F3477D"/>
    <w:rsid w:val="00F347FE"/>
    <w:rsid w:val="00F34859"/>
    <w:rsid w:val="00F356F7"/>
    <w:rsid w:val="00F40055"/>
    <w:rsid w:val="00F40868"/>
    <w:rsid w:val="00F44FDE"/>
    <w:rsid w:val="00F46467"/>
    <w:rsid w:val="00F4715C"/>
    <w:rsid w:val="00F47FF8"/>
    <w:rsid w:val="00F529B5"/>
    <w:rsid w:val="00F52AA4"/>
    <w:rsid w:val="00F56162"/>
    <w:rsid w:val="00F56B7E"/>
    <w:rsid w:val="00F6052F"/>
    <w:rsid w:val="00F62FDE"/>
    <w:rsid w:val="00F654E6"/>
    <w:rsid w:val="00F662CD"/>
    <w:rsid w:val="00F67E39"/>
    <w:rsid w:val="00F703A8"/>
    <w:rsid w:val="00F707F1"/>
    <w:rsid w:val="00F7094A"/>
    <w:rsid w:val="00F710BE"/>
    <w:rsid w:val="00F72579"/>
    <w:rsid w:val="00F804B9"/>
    <w:rsid w:val="00F80AE2"/>
    <w:rsid w:val="00F83FF9"/>
    <w:rsid w:val="00F870C3"/>
    <w:rsid w:val="00F91B52"/>
    <w:rsid w:val="00F96087"/>
    <w:rsid w:val="00F97478"/>
    <w:rsid w:val="00F97B71"/>
    <w:rsid w:val="00F97B9E"/>
    <w:rsid w:val="00FA0527"/>
    <w:rsid w:val="00FA085E"/>
    <w:rsid w:val="00FA0947"/>
    <w:rsid w:val="00FA2D49"/>
    <w:rsid w:val="00FA4B52"/>
    <w:rsid w:val="00FA4D4F"/>
    <w:rsid w:val="00FA4D5B"/>
    <w:rsid w:val="00FA54E8"/>
    <w:rsid w:val="00FA6245"/>
    <w:rsid w:val="00FA786F"/>
    <w:rsid w:val="00FA7D19"/>
    <w:rsid w:val="00FA7EB3"/>
    <w:rsid w:val="00FB058F"/>
    <w:rsid w:val="00FB3750"/>
    <w:rsid w:val="00FB387C"/>
    <w:rsid w:val="00FB3C94"/>
    <w:rsid w:val="00FB48C1"/>
    <w:rsid w:val="00FB6808"/>
    <w:rsid w:val="00FB6CD0"/>
    <w:rsid w:val="00FB723C"/>
    <w:rsid w:val="00FB72B4"/>
    <w:rsid w:val="00FC0A2D"/>
    <w:rsid w:val="00FC13C8"/>
    <w:rsid w:val="00FC39F9"/>
    <w:rsid w:val="00FC59F8"/>
    <w:rsid w:val="00FC60F6"/>
    <w:rsid w:val="00FC7F43"/>
    <w:rsid w:val="00FD0DFA"/>
    <w:rsid w:val="00FD5E71"/>
    <w:rsid w:val="00FD7D41"/>
    <w:rsid w:val="00FE0072"/>
    <w:rsid w:val="00FE0C71"/>
    <w:rsid w:val="00FE1E47"/>
    <w:rsid w:val="00FE275D"/>
    <w:rsid w:val="00FE65AC"/>
    <w:rsid w:val="00FE7FBD"/>
    <w:rsid w:val="00FF10BC"/>
    <w:rsid w:val="00FF5DCF"/>
    <w:rsid w:val="00FF699B"/>
    <w:rsid w:val="00FF6ADB"/>
    <w:rsid w:val="3B56316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18E9033-CCD3-4D67-A782-7E62245B6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qFormat="1"/>
    <w:lsdException w:name="Normal Indent" w:uiPriority="99" w:qFormat="1"/>
    <w:lsdException w:name="footnote text" w:qFormat="1"/>
    <w:lsdException w:name="annotation text" w:semiHidden="1" w:qFormat="1"/>
    <w:lsdException w:name="header" w:uiPriority="99" w:qFormat="1"/>
    <w:lsdException w:name="footer" w:qFormat="1"/>
    <w:lsdException w:name="caption" w:semiHidden="1" w:unhideWhenUsed="1" w:qFormat="1"/>
    <w:lsdException w:name="footnote reference" w:qFormat="1"/>
    <w:lsdException w:name="annotation reference" w:semiHidden="1" w:qFormat="1"/>
    <w:lsdException w:name="page number" w:qFormat="1"/>
    <w:lsdException w:name="List" w:qFormat="1"/>
    <w:lsdException w:name="Title" w:qFormat="1"/>
    <w:lsdException w:name="Default Paragraph Font" w:semiHidden="1" w:uiPriority="1" w:unhideWhenUsed="1"/>
    <w:lsdException w:name="Body Text" w:qFormat="1"/>
    <w:lsdException w:name="Body Text Indent" w:qFormat="1"/>
    <w:lsdException w:name="Subtitle" w:qFormat="1"/>
    <w:lsdException w:name="Date" w:qFormat="1"/>
    <w:lsdException w:name="Body Text Indent 2" w:qFormat="1"/>
    <w:lsdException w:name="Body Text Indent 3" w:qFormat="1"/>
    <w:lsdException w:name="Hyperlink" w:qFormat="1"/>
    <w:lsdException w:name="Strong" w:uiPriority="22" w:qFormat="1"/>
    <w:lsdException w:name="Emphasis" w:qFormat="1"/>
    <w:lsdException w:name="Document Map" w:semiHidden="1" w:qFormat="1"/>
    <w:lsdException w:name="Plain Text" w:uiPriority="99"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
    <w:name w:val="heading 2"/>
    <w:basedOn w:val="a"/>
    <w:next w:val="a0"/>
    <w:qFormat/>
    <w:pPr>
      <w:keepNext/>
      <w:keepLines/>
      <w:spacing w:before="260" w:after="260" w:line="360" w:lineRule="auto"/>
      <w:outlineLvl w:val="1"/>
    </w:pPr>
    <w:rPr>
      <w:rFonts w:ascii="Arial" w:hAnsi="Arial" w:cs="Arial"/>
      <w:b/>
      <w:bCs/>
      <w:sz w:val="24"/>
      <w:szCs w:val="28"/>
    </w:rPr>
  </w:style>
  <w:style w:type="paragraph" w:styleId="3">
    <w:name w:val="heading 3"/>
    <w:basedOn w:val="a"/>
    <w:next w:val="a"/>
    <w:link w:val="30"/>
    <w:uiPriority w:val="9"/>
    <w:unhideWhenUsed/>
    <w:qFormat/>
    <w:pPr>
      <w:keepNext/>
      <w:keepLines/>
      <w:spacing w:before="260" w:after="260" w:line="416" w:lineRule="auto"/>
      <w:outlineLvl w:val="2"/>
    </w:pPr>
    <w:rPr>
      <w:rFonts w:asciiTheme="minorHAnsi" w:eastAsiaTheme="minorEastAsia" w:hAnsiTheme="minorHAnsi" w:cstheme="minorBidi"/>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pPr>
      <w:ind w:firstLineChars="200" w:firstLine="420"/>
    </w:pPr>
  </w:style>
  <w:style w:type="paragraph" w:styleId="a4">
    <w:name w:val="annotation subject"/>
    <w:basedOn w:val="a5"/>
    <w:next w:val="a5"/>
    <w:semiHidden/>
    <w:qFormat/>
    <w:rPr>
      <w:b/>
      <w:bCs/>
    </w:rPr>
  </w:style>
  <w:style w:type="paragraph" w:styleId="a5">
    <w:name w:val="annotation text"/>
    <w:basedOn w:val="a"/>
    <w:semiHidden/>
    <w:qFormat/>
    <w:pPr>
      <w:jc w:val="left"/>
    </w:pPr>
  </w:style>
  <w:style w:type="paragraph" w:styleId="a6">
    <w:name w:val="Document Map"/>
    <w:basedOn w:val="a"/>
    <w:semiHidden/>
    <w:qFormat/>
    <w:pPr>
      <w:shd w:val="clear" w:color="auto" w:fill="000080"/>
    </w:pPr>
  </w:style>
  <w:style w:type="paragraph" w:styleId="a7">
    <w:name w:val="Body Text"/>
    <w:basedOn w:val="a"/>
    <w:qFormat/>
    <w:pPr>
      <w:spacing w:after="120"/>
    </w:pPr>
  </w:style>
  <w:style w:type="paragraph" w:styleId="a8">
    <w:name w:val="Body Text Indent"/>
    <w:basedOn w:val="a"/>
    <w:qFormat/>
    <w:pPr>
      <w:widowControl/>
      <w:spacing w:before="100" w:beforeAutospacing="1" w:after="100" w:afterAutospacing="1"/>
      <w:jc w:val="left"/>
    </w:pPr>
    <w:rPr>
      <w:rFonts w:ascii="Arial Unicode MS" w:eastAsia="Arial Unicode MS" w:hAnsi="Arial Unicode MS" w:cs="Arial Unicode MS"/>
      <w:kern w:val="0"/>
      <w:sz w:val="24"/>
    </w:rPr>
  </w:style>
  <w:style w:type="paragraph" w:styleId="a9">
    <w:name w:val="Plain Text"/>
    <w:basedOn w:val="a"/>
    <w:link w:val="aa"/>
    <w:uiPriority w:val="99"/>
    <w:qFormat/>
    <w:rPr>
      <w:rFonts w:ascii="宋体" w:hAnsi="Courier New"/>
      <w:szCs w:val="21"/>
    </w:rPr>
  </w:style>
  <w:style w:type="paragraph" w:styleId="ab">
    <w:name w:val="Date"/>
    <w:basedOn w:val="a"/>
    <w:next w:val="a"/>
    <w:link w:val="ac"/>
    <w:qFormat/>
    <w:rPr>
      <w:sz w:val="24"/>
      <w:szCs w:val="20"/>
    </w:rPr>
  </w:style>
  <w:style w:type="paragraph" w:styleId="20">
    <w:name w:val="Body Text Indent 2"/>
    <w:basedOn w:val="a"/>
    <w:qFormat/>
    <w:pPr>
      <w:spacing w:line="560" w:lineRule="exact"/>
      <w:ind w:firstLineChars="200" w:firstLine="480"/>
    </w:pPr>
    <w:rPr>
      <w:rFonts w:ascii="宋体" w:hAnsi="宋体"/>
      <w:color w:val="FF0000"/>
      <w:sz w:val="24"/>
    </w:rPr>
  </w:style>
  <w:style w:type="paragraph" w:styleId="ad">
    <w:name w:val="Balloon Text"/>
    <w:basedOn w:val="a"/>
    <w:semiHidden/>
    <w:qFormat/>
    <w:rPr>
      <w:sz w:val="18"/>
      <w:szCs w:val="18"/>
    </w:rPr>
  </w:style>
  <w:style w:type="paragraph" w:styleId="ae">
    <w:name w:val="footer"/>
    <w:basedOn w:val="a"/>
    <w:qFormat/>
    <w:pPr>
      <w:tabs>
        <w:tab w:val="center" w:pos="4153"/>
        <w:tab w:val="right" w:pos="8306"/>
      </w:tabs>
      <w:snapToGrid w:val="0"/>
      <w:jc w:val="left"/>
    </w:pPr>
    <w:rPr>
      <w:sz w:val="18"/>
      <w:szCs w:val="18"/>
    </w:rPr>
  </w:style>
  <w:style w:type="paragraph" w:styleId="af">
    <w:name w:val="header"/>
    <w:basedOn w:val="a"/>
    <w:link w:val="af0"/>
    <w:uiPriority w:val="99"/>
    <w:qFormat/>
    <w:pPr>
      <w:pBdr>
        <w:bottom w:val="single" w:sz="6" w:space="1" w:color="auto"/>
      </w:pBdr>
      <w:tabs>
        <w:tab w:val="center" w:pos="4153"/>
        <w:tab w:val="right" w:pos="8306"/>
      </w:tabs>
      <w:snapToGrid w:val="0"/>
      <w:jc w:val="center"/>
    </w:pPr>
    <w:rPr>
      <w:sz w:val="18"/>
      <w:szCs w:val="18"/>
    </w:rPr>
  </w:style>
  <w:style w:type="paragraph" w:styleId="af1">
    <w:name w:val="List"/>
    <w:basedOn w:val="a7"/>
    <w:qFormat/>
    <w:pPr>
      <w:spacing w:after="220" w:line="220" w:lineRule="atLeast"/>
      <w:ind w:left="1440" w:hanging="360"/>
    </w:pPr>
    <w:rPr>
      <w:szCs w:val="20"/>
    </w:rPr>
  </w:style>
  <w:style w:type="paragraph" w:styleId="af2">
    <w:name w:val="footnote text"/>
    <w:basedOn w:val="a"/>
    <w:link w:val="af3"/>
    <w:qFormat/>
    <w:pPr>
      <w:snapToGrid w:val="0"/>
      <w:jc w:val="left"/>
    </w:pPr>
    <w:rPr>
      <w:sz w:val="18"/>
      <w:szCs w:val="18"/>
    </w:rPr>
  </w:style>
  <w:style w:type="paragraph" w:styleId="31">
    <w:name w:val="Body Text Indent 3"/>
    <w:basedOn w:val="a"/>
    <w:qFormat/>
    <w:pPr>
      <w:spacing w:line="560" w:lineRule="exact"/>
      <w:ind w:firstLineChars="200" w:firstLine="420"/>
    </w:pPr>
    <w:rPr>
      <w:rFonts w:ascii="Arial" w:hAnsi="Arial" w:cs="Arial"/>
      <w:color w:val="FF0000"/>
    </w:rPr>
  </w:style>
  <w:style w:type="paragraph" w:styleId="af4">
    <w:name w:val="Normal (Web)"/>
    <w:basedOn w:val="a"/>
    <w:qFormat/>
    <w:pPr>
      <w:widowControl/>
      <w:spacing w:before="100" w:beforeAutospacing="1" w:after="100" w:afterAutospacing="1"/>
      <w:jc w:val="left"/>
    </w:pPr>
    <w:rPr>
      <w:rFonts w:ascii="宋体" w:hAnsi="宋体"/>
      <w:kern w:val="0"/>
      <w:sz w:val="24"/>
    </w:rPr>
  </w:style>
  <w:style w:type="paragraph" w:styleId="11">
    <w:name w:val="index 1"/>
    <w:basedOn w:val="a"/>
    <w:next w:val="a"/>
    <w:semiHidden/>
    <w:qFormat/>
    <w:pPr>
      <w:jc w:val="right"/>
    </w:pPr>
    <w:rPr>
      <w:color w:val="008000"/>
    </w:rPr>
  </w:style>
  <w:style w:type="character" w:styleId="af5">
    <w:name w:val="Strong"/>
    <w:basedOn w:val="a1"/>
    <w:uiPriority w:val="22"/>
    <w:qFormat/>
    <w:rPr>
      <w:b/>
      <w:bCs/>
    </w:rPr>
  </w:style>
  <w:style w:type="character" w:styleId="af6">
    <w:name w:val="page number"/>
    <w:basedOn w:val="a1"/>
    <w:qFormat/>
  </w:style>
  <w:style w:type="character" w:styleId="af7">
    <w:name w:val="Hyperlink"/>
    <w:basedOn w:val="a1"/>
    <w:qFormat/>
    <w:rPr>
      <w:color w:val="0000FF"/>
      <w:u w:val="single"/>
    </w:rPr>
  </w:style>
  <w:style w:type="character" w:styleId="af8">
    <w:name w:val="annotation reference"/>
    <w:basedOn w:val="a1"/>
    <w:semiHidden/>
    <w:qFormat/>
    <w:rPr>
      <w:sz w:val="21"/>
      <w:szCs w:val="21"/>
    </w:rPr>
  </w:style>
  <w:style w:type="character" w:styleId="af9">
    <w:name w:val="footnote reference"/>
    <w:basedOn w:val="a1"/>
    <w:qFormat/>
    <w:rPr>
      <w:vertAlign w:val="superscript"/>
    </w:rPr>
  </w:style>
  <w:style w:type="table" w:styleId="afa">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已访问的超链接1"/>
    <w:basedOn w:val="a1"/>
    <w:qFormat/>
    <w:rPr>
      <w:color w:val="800080"/>
      <w:u w:val="single"/>
    </w:rPr>
  </w:style>
  <w:style w:type="character" w:customStyle="1" w:styleId="c1">
    <w:name w:val="c1"/>
    <w:basedOn w:val="a1"/>
    <w:qFormat/>
    <w:rPr>
      <w:color w:val="000000"/>
      <w:sz w:val="18"/>
      <w:szCs w:val="18"/>
    </w:rPr>
  </w:style>
  <w:style w:type="paragraph" w:customStyle="1" w:styleId="font5">
    <w:name w:val="font5"/>
    <w:basedOn w:val="a"/>
    <w:qFormat/>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qFormat/>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Char">
    <w:name w:val="Char"/>
    <w:basedOn w:val="a"/>
    <w:qFormat/>
  </w:style>
  <w:style w:type="paragraph" w:customStyle="1" w:styleId="Char1">
    <w:name w:val="Char1"/>
    <w:basedOn w:val="a"/>
    <w:qFormat/>
  </w:style>
  <w:style w:type="character" w:customStyle="1" w:styleId="t1">
    <w:name w:val="t1"/>
    <w:basedOn w:val="a1"/>
    <w:rPr>
      <w:color w:val="990000"/>
    </w:rPr>
  </w:style>
  <w:style w:type="character" w:customStyle="1" w:styleId="aa">
    <w:name w:val="纯文本 字符"/>
    <w:basedOn w:val="a1"/>
    <w:link w:val="a9"/>
    <w:uiPriority w:val="99"/>
    <w:rPr>
      <w:rFonts w:ascii="宋体" w:hAnsi="Courier New"/>
      <w:kern w:val="2"/>
      <w:sz w:val="21"/>
      <w:szCs w:val="21"/>
    </w:rPr>
  </w:style>
  <w:style w:type="character" w:customStyle="1" w:styleId="af3">
    <w:name w:val="脚注文本 字符"/>
    <w:basedOn w:val="a1"/>
    <w:link w:val="af2"/>
    <w:rPr>
      <w:kern w:val="2"/>
      <w:sz w:val="18"/>
      <w:szCs w:val="18"/>
    </w:rPr>
  </w:style>
  <w:style w:type="paragraph" w:customStyle="1" w:styleId="Default">
    <w:name w:val="Default"/>
    <w:pPr>
      <w:widowControl w:val="0"/>
      <w:autoSpaceDE w:val="0"/>
      <w:autoSpaceDN w:val="0"/>
      <w:adjustRightInd w:val="0"/>
    </w:pPr>
    <w:rPr>
      <w:rFonts w:ascii="仿宋" w:hAnsi="仿宋" w:cs="仿宋"/>
      <w:color w:val="000000"/>
      <w:sz w:val="24"/>
      <w:szCs w:val="24"/>
    </w:rPr>
  </w:style>
  <w:style w:type="character" w:customStyle="1" w:styleId="af0">
    <w:name w:val="页眉 字符"/>
    <w:basedOn w:val="a1"/>
    <w:link w:val="af"/>
    <w:uiPriority w:val="99"/>
    <w:rPr>
      <w:kern w:val="2"/>
      <w:sz w:val="18"/>
      <w:szCs w:val="18"/>
    </w:rPr>
  </w:style>
  <w:style w:type="character" w:customStyle="1" w:styleId="10">
    <w:name w:val="标题 1 字符"/>
    <w:basedOn w:val="a1"/>
    <w:link w:val="1"/>
    <w:rPr>
      <w:b/>
      <w:bCs/>
      <w:kern w:val="44"/>
      <w:sz w:val="44"/>
      <w:szCs w:val="44"/>
    </w:rPr>
  </w:style>
  <w:style w:type="character" w:customStyle="1" w:styleId="ac">
    <w:name w:val="日期 字符"/>
    <w:basedOn w:val="a1"/>
    <w:link w:val="ab"/>
    <w:rPr>
      <w:kern w:val="2"/>
      <w:sz w:val="24"/>
    </w:rPr>
  </w:style>
  <w:style w:type="character" w:customStyle="1" w:styleId="30">
    <w:name w:val="标题 3 字符"/>
    <w:basedOn w:val="a1"/>
    <w:link w:val="3"/>
    <w:uiPriority w:val="9"/>
    <w:qFormat/>
    <w:rPr>
      <w:rFonts w:asciiTheme="minorHAnsi" w:eastAsiaTheme="minorEastAsia" w:hAnsiTheme="minorHAnsi" w:cstheme="min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814176">
      <w:bodyDiv w:val="1"/>
      <w:marLeft w:val="0"/>
      <w:marRight w:val="0"/>
      <w:marTop w:val="0"/>
      <w:marBottom w:val="0"/>
      <w:divBdr>
        <w:top w:val="none" w:sz="0" w:space="0" w:color="auto"/>
        <w:left w:val="none" w:sz="0" w:space="0" w:color="auto"/>
        <w:bottom w:val="none" w:sz="0" w:space="0" w:color="auto"/>
        <w:right w:val="none" w:sz="0" w:space="0" w:color="auto"/>
      </w:divBdr>
    </w:div>
    <w:div w:id="12961749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abc&#23395;&#2525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0386C61-E573-4322-A6DC-91BE50394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abc季报.dot</Template>
  <TotalTime>22</TotalTime>
  <Pages>16</Pages>
  <Words>1412</Words>
  <Characters>8053</Characters>
  <Application>Microsoft Office Word</Application>
  <DocSecurity>0</DocSecurity>
  <Lines>67</Lines>
  <Paragraphs>18</Paragraphs>
  <ScaleCrop>false</ScaleCrop>
  <Company>TRT. Ltd. Co.</Company>
  <LinksUpToDate>false</LinksUpToDate>
  <CharactersWithSpaces>9447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Yang.Wang@FA</cp:lastModifiedBy>
  <cp:revision>218</cp:revision>
  <cp:lastPrinted>2007-07-19T00:46:00Z</cp:lastPrinted>
  <dcterms:created xsi:type="dcterms:W3CDTF">2013-06-21T06:56:00Z</dcterms:created>
  <dcterms:modified xsi:type="dcterms:W3CDTF">2021-10-26T02:43:00Z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